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D80" w:rsidRDefault="00377D80" w:rsidP="00377D80">
      <w:pPr>
        <w:pStyle w:val="10"/>
        <w:ind w:firstLine="508"/>
        <w:rPr>
          <w:rFonts w:ascii="宋体"/>
        </w:rPr>
      </w:pPr>
      <w:r w:rsidRPr="00C862D2">
        <w:pict>
          <v:shapetype id="_x0000_t202" coordsize="21600,21600" o:spt="202" path="m,l,21600r21600,l21600,xe">
            <v:stroke joinstyle="miter"/>
            <v:path gradientshapeok="t" o:connecttype="rect"/>
          </v:shapetype>
          <v:shape id="_x0000_s1027" type="#_x0000_t202" style="position:absolute;left:0;text-align:left;margin-left:50.25pt;margin-top:12.15pt;width:334.95pt;height:35.8pt;z-index:251663360;mso-width-relative:page;mso-height-relative:page" stroked="f">
            <v:fill color2="black"/>
            <v:textbox inset="0,0,0,0">
              <w:txbxContent>
                <w:p w:rsidR="00377D80" w:rsidRDefault="00377D80" w:rsidP="00377D80">
                  <w:pPr>
                    <w:pStyle w:val="a3"/>
                    <w:spacing w:before="156" w:after="156" w:line="100" w:lineRule="atLeast"/>
                    <w:ind w:firstLine="508"/>
                    <w:jc w:val="center"/>
                    <w:rPr>
                      <w:i w:val="0"/>
                      <w:sz w:val="24"/>
                    </w:rPr>
                  </w:pPr>
                  <w:r>
                    <w:rPr>
                      <w:rFonts w:hint="eastAsia"/>
                      <w:i w:val="0"/>
                      <w:sz w:val="24"/>
                    </w:rPr>
                    <w:t>上海证券交易所技术文档</w:t>
                  </w:r>
                </w:p>
                <w:p w:rsidR="00377D80" w:rsidRDefault="00377D80" w:rsidP="00377D80">
                  <w:pPr>
                    <w:spacing w:before="48" w:after="48" w:line="100" w:lineRule="atLeast"/>
                    <w:ind w:firstLine="508"/>
                  </w:pPr>
                </w:p>
                <w:p w:rsidR="00377D80" w:rsidRDefault="00377D80" w:rsidP="00377D80">
                  <w:pPr>
                    <w:spacing w:before="48" w:after="48" w:line="100" w:lineRule="atLeast"/>
                    <w:ind w:firstLine="508"/>
                    <w:jc w:val="center"/>
                  </w:pPr>
                </w:p>
                <w:p w:rsidR="00377D80" w:rsidRDefault="00377D80" w:rsidP="00377D80">
                  <w:pPr>
                    <w:spacing w:before="48" w:after="48" w:line="100" w:lineRule="atLeast"/>
                    <w:ind w:firstLine="508"/>
                    <w:jc w:val="center"/>
                  </w:pPr>
                </w:p>
                <w:p w:rsidR="00377D80" w:rsidRDefault="00377D80" w:rsidP="00377D80">
                  <w:pPr>
                    <w:spacing w:before="48" w:after="48" w:line="100" w:lineRule="atLeast"/>
                    <w:ind w:firstLine="508"/>
                    <w:jc w:val="center"/>
                  </w:pPr>
                </w:p>
                <w:p w:rsidR="00377D80" w:rsidRDefault="00377D80" w:rsidP="00377D80">
                  <w:pPr>
                    <w:spacing w:before="48" w:after="48" w:line="100" w:lineRule="atLeast"/>
                    <w:ind w:firstLine="508"/>
                    <w:jc w:val="center"/>
                  </w:pPr>
                </w:p>
              </w:txbxContent>
            </v:textbox>
          </v:shape>
        </w:pict>
      </w:r>
    </w:p>
    <w:p w:rsidR="00377D80" w:rsidRDefault="00377D80" w:rsidP="00377D80">
      <w:pPr>
        <w:ind w:firstLine="508"/>
        <w:rPr>
          <w:rFonts w:ascii="宋体"/>
        </w:rPr>
      </w:pPr>
    </w:p>
    <w:p w:rsidR="00377D80" w:rsidRDefault="00377D80" w:rsidP="00377D80">
      <w:pPr>
        <w:ind w:firstLine="508"/>
        <w:rPr>
          <w:rFonts w:ascii="宋体"/>
        </w:rPr>
      </w:pPr>
    </w:p>
    <w:p w:rsidR="00377D80" w:rsidRDefault="00377D80" w:rsidP="00377D80">
      <w:pPr>
        <w:ind w:firstLine="508"/>
        <w:rPr>
          <w:rFonts w:ascii="宋体"/>
        </w:rPr>
      </w:pPr>
      <w:r>
        <w:rPr>
          <w:noProof/>
        </w:rPr>
        <w:drawing>
          <wp:anchor distT="0" distB="0" distL="114935" distR="114935" simplePos="0" relativeHeight="251662336" behindDoc="0" locked="0" layoutInCell="1" allowOverlap="1">
            <wp:simplePos x="0" y="0"/>
            <wp:positionH relativeFrom="column">
              <wp:posOffset>2383155</wp:posOffset>
            </wp:positionH>
            <wp:positionV relativeFrom="paragraph">
              <wp:posOffset>54610</wp:posOffset>
            </wp:positionV>
            <wp:extent cx="593725" cy="639445"/>
            <wp:effectExtent l="19050" t="0" r="0" b="0"/>
            <wp:wrapNone/>
            <wp:docPr id="4" name="图片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39"/>
                    <pic:cNvPicPr>
                      <a:picLocks noChangeAspect="1" noChangeArrowheads="1"/>
                    </pic:cNvPicPr>
                  </pic:nvPicPr>
                  <pic:blipFill>
                    <a:blip r:embed="rId5" cstate="print"/>
                    <a:srcRect/>
                    <a:stretch>
                      <a:fillRect/>
                    </a:stretch>
                  </pic:blipFill>
                  <pic:spPr>
                    <a:xfrm>
                      <a:off x="0" y="0"/>
                      <a:ext cx="593725" cy="639445"/>
                    </a:xfrm>
                    <a:prstGeom prst="rect">
                      <a:avLst/>
                    </a:prstGeom>
                    <a:solidFill>
                      <a:srgbClr val="FFFFFF"/>
                    </a:solidFill>
                    <a:ln w="9525">
                      <a:noFill/>
                      <a:miter lim="800000"/>
                      <a:headEnd/>
                      <a:tailEnd/>
                    </a:ln>
                  </pic:spPr>
                </pic:pic>
              </a:graphicData>
            </a:graphic>
          </wp:anchor>
        </w:drawing>
      </w:r>
    </w:p>
    <w:p w:rsidR="00377D80" w:rsidRDefault="00377D80" w:rsidP="00377D80">
      <w:pPr>
        <w:pStyle w:val="Normal0"/>
        <w:spacing w:after="120"/>
        <w:rPr>
          <w:rFonts w:ascii="宋体"/>
          <w:b/>
          <w:sz w:val="52"/>
          <w:lang w:eastAsia="zh-CN"/>
        </w:rPr>
      </w:pPr>
    </w:p>
    <w:p w:rsidR="00377D80" w:rsidRDefault="00377D80" w:rsidP="00377D80">
      <w:pPr>
        <w:pStyle w:val="Normal0"/>
        <w:spacing w:after="120"/>
        <w:rPr>
          <w:rFonts w:ascii="宋体"/>
          <w:b/>
          <w:sz w:val="52"/>
          <w:lang w:eastAsia="zh-CN"/>
        </w:rPr>
      </w:pPr>
    </w:p>
    <w:p w:rsidR="00377D80" w:rsidRDefault="00377D80" w:rsidP="00377D80">
      <w:pPr>
        <w:pStyle w:val="Normal0"/>
        <w:spacing w:after="120"/>
        <w:jc w:val="center"/>
        <w:rPr>
          <w:rFonts w:ascii="黑体" w:eastAsia="黑体" w:hAnsi="黑体"/>
          <w:b/>
          <w:bCs/>
          <w:sz w:val="36"/>
          <w:szCs w:val="36"/>
          <w:lang w:eastAsia="zh-CN"/>
        </w:rPr>
      </w:pPr>
      <w:r>
        <w:rPr>
          <w:rFonts w:ascii="黑体" w:eastAsia="黑体" w:hAnsi="黑体" w:hint="eastAsia"/>
          <w:b/>
          <w:bCs/>
          <w:sz w:val="36"/>
          <w:szCs w:val="36"/>
          <w:lang w:eastAsia="zh-CN"/>
        </w:rPr>
        <w:t xml:space="preserve">上海证券交易所 </w:t>
      </w:r>
    </w:p>
    <w:p w:rsidR="00377D80" w:rsidRDefault="00377D80" w:rsidP="00377D80">
      <w:pPr>
        <w:pStyle w:val="Normal0"/>
        <w:spacing w:after="120"/>
        <w:jc w:val="center"/>
        <w:rPr>
          <w:rFonts w:ascii="黑体" w:eastAsia="黑体" w:hAnsi="黑体"/>
          <w:b/>
          <w:bCs/>
          <w:sz w:val="36"/>
          <w:szCs w:val="36"/>
          <w:lang w:eastAsia="zh-CN"/>
        </w:rPr>
      </w:pPr>
      <w:r>
        <w:rPr>
          <w:rFonts w:ascii="黑体" w:eastAsia="黑体" w:hAnsi="黑体" w:hint="eastAsia"/>
          <w:b/>
          <w:bCs/>
          <w:sz w:val="36"/>
          <w:szCs w:val="36"/>
          <w:lang w:eastAsia="zh-CN"/>
        </w:rPr>
        <w:t>上市交易基金增加</w:t>
      </w:r>
      <w:proofErr w:type="gramStart"/>
      <w:r>
        <w:rPr>
          <w:rFonts w:ascii="黑体" w:eastAsia="黑体" w:hAnsi="黑体" w:hint="eastAsia"/>
          <w:b/>
          <w:bCs/>
          <w:sz w:val="36"/>
          <w:szCs w:val="36"/>
          <w:lang w:eastAsia="zh-CN"/>
        </w:rPr>
        <w:t>扩位证券</w:t>
      </w:r>
      <w:proofErr w:type="gramEnd"/>
      <w:r>
        <w:rPr>
          <w:rFonts w:ascii="黑体" w:eastAsia="黑体" w:hAnsi="黑体" w:hint="eastAsia"/>
          <w:b/>
          <w:bCs/>
          <w:sz w:val="36"/>
          <w:szCs w:val="36"/>
          <w:lang w:eastAsia="zh-CN"/>
        </w:rPr>
        <w:t>简称</w:t>
      </w:r>
    </w:p>
    <w:p w:rsidR="00377D80" w:rsidRDefault="00377D80" w:rsidP="00377D80">
      <w:pPr>
        <w:pStyle w:val="Normal0"/>
        <w:spacing w:after="120"/>
        <w:jc w:val="center"/>
        <w:rPr>
          <w:rFonts w:ascii="黑体" w:eastAsia="黑体" w:hAnsi="黑体"/>
          <w:b/>
          <w:bCs/>
          <w:sz w:val="36"/>
          <w:szCs w:val="36"/>
          <w:lang w:eastAsia="zh-CN"/>
        </w:rPr>
      </w:pPr>
      <w:r>
        <w:rPr>
          <w:rFonts w:ascii="黑体" w:eastAsia="黑体" w:hAnsi="黑体" w:hint="eastAsia"/>
          <w:b/>
          <w:bCs/>
          <w:sz w:val="36"/>
          <w:szCs w:val="36"/>
          <w:lang w:eastAsia="zh-CN"/>
        </w:rPr>
        <w:t>市场参与者技术实施指南</w:t>
      </w:r>
    </w:p>
    <w:p w:rsidR="00377D80" w:rsidRDefault="00377D80" w:rsidP="00377D80">
      <w:pPr>
        <w:pStyle w:val="Normal0"/>
        <w:spacing w:after="120"/>
        <w:jc w:val="center"/>
        <w:rPr>
          <w:rFonts w:ascii="黑体" w:eastAsia="黑体" w:hAnsi="黑体"/>
          <w:b/>
          <w:bCs/>
          <w:sz w:val="36"/>
          <w:szCs w:val="36"/>
          <w:lang w:eastAsia="zh-CN"/>
        </w:rPr>
      </w:pPr>
      <w:r>
        <w:rPr>
          <w:rFonts w:ascii="黑体" w:eastAsia="黑体" w:hAnsi="黑体"/>
          <w:b/>
          <w:bCs/>
          <w:sz w:val="36"/>
          <w:szCs w:val="36"/>
          <w:lang w:eastAsia="zh-CN"/>
        </w:rPr>
        <w:t>1.0</w:t>
      </w:r>
      <w:r>
        <w:rPr>
          <w:rFonts w:ascii="黑体" w:eastAsia="黑体" w:hAnsi="黑体" w:hint="eastAsia"/>
          <w:b/>
          <w:bCs/>
          <w:sz w:val="36"/>
          <w:szCs w:val="36"/>
          <w:lang w:eastAsia="zh-CN"/>
        </w:rPr>
        <w:t>版</w:t>
      </w:r>
    </w:p>
    <w:p w:rsidR="00377D80" w:rsidRDefault="00377D80" w:rsidP="00377D80">
      <w:pPr>
        <w:pStyle w:val="Normal0"/>
        <w:spacing w:after="120"/>
        <w:jc w:val="center"/>
        <w:rPr>
          <w:rFonts w:ascii="宋体"/>
          <w:sz w:val="30"/>
          <w:lang w:eastAsia="zh-CN"/>
        </w:rPr>
      </w:pPr>
    </w:p>
    <w:p w:rsidR="00377D80" w:rsidRDefault="00377D80" w:rsidP="00377D80">
      <w:pPr>
        <w:pStyle w:val="Normal0"/>
        <w:spacing w:after="120"/>
        <w:jc w:val="center"/>
        <w:rPr>
          <w:rFonts w:ascii="宋体"/>
          <w:sz w:val="30"/>
          <w:lang w:eastAsia="zh-CN"/>
        </w:rPr>
      </w:pPr>
      <w:r>
        <w:rPr>
          <w:noProof/>
          <w:lang w:eastAsia="zh-CN"/>
        </w:rPr>
        <w:drawing>
          <wp:anchor distT="0" distB="0" distL="114300" distR="114300" simplePos="0" relativeHeight="251661312" behindDoc="0" locked="0" layoutInCell="1" allowOverlap="1">
            <wp:simplePos x="0" y="0"/>
            <wp:positionH relativeFrom="column">
              <wp:posOffset>1991360</wp:posOffset>
            </wp:positionH>
            <wp:positionV relativeFrom="paragraph">
              <wp:posOffset>323215</wp:posOffset>
            </wp:positionV>
            <wp:extent cx="1897380" cy="2331720"/>
            <wp:effectExtent l="19050" t="0" r="0" b="0"/>
            <wp:wrapNone/>
            <wp:docPr id="3" name="图片 434" descr="sse_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34" descr="sse_building"/>
                    <pic:cNvPicPr>
                      <a:picLocks noChangeAspect="1" noChangeArrowheads="1"/>
                    </pic:cNvPicPr>
                  </pic:nvPicPr>
                  <pic:blipFill>
                    <a:blip r:embed="rId6" cstate="print"/>
                    <a:srcRect/>
                    <a:stretch>
                      <a:fillRect/>
                    </a:stretch>
                  </pic:blipFill>
                  <pic:spPr>
                    <a:xfrm>
                      <a:off x="0" y="0"/>
                      <a:ext cx="1897380" cy="2331720"/>
                    </a:xfrm>
                    <a:prstGeom prst="rect">
                      <a:avLst/>
                    </a:prstGeom>
                    <a:noFill/>
                    <a:ln w="9525">
                      <a:noFill/>
                      <a:miter lim="800000"/>
                      <a:headEnd/>
                      <a:tailEnd/>
                    </a:ln>
                  </pic:spPr>
                </pic:pic>
              </a:graphicData>
            </a:graphic>
          </wp:anchor>
        </w:drawing>
      </w:r>
    </w:p>
    <w:p w:rsidR="00377D80" w:rsidRDefault="00377D80" w:rsidP="00377D80">
      <w:pPr>
        <w:pStyle w:val="Normal0"/>
        <w:spacing w:after="120"/>
        <w:jc w:val="center"/>
        <w:rPr>
          <w:rFonts w:ascii="宋体"/>
          <w:sz w:val="30"/>
          <w:lang w:eastAsia="zh-CN"/>
        </w:rPr>
      </w:pPr>
    </w:p>
    <w:p w:rsidR="00377D80" w:rsidRDefault="00377D80" w:rsidP="00377D80">
      <w:pPr>
        <w:ind w:firstLine="508"/>
        <w:jc w:val="center"/>
        <w:rPr>
          <w:rFonts w:ascii="宋体"/>
        </w:rPr>
      </w:pPr>
    </w:p>
    <w:p w:rsidR="00377D80" w:rsidRDefault="00377D80" w:rsidP="00377D80">
      <w:pPr>
        <w:ind w:firstLine="508"/>
        <w:jc w:val="center"/>
        <w:rPr>
          <w:rFonts w:ascii="宋体"/>
        </w:rPr>
      </w:pPr>
    </w:p>
    <w:p w:rsidR="00377D80" w:rsidRDefault="00377D80" w:rsidP="00377D80">
      <w:pPr>
        <w:ind w:firstLine="508"/>
        <w:rPr>
          <w:rFonts w:ascii="宋体"/>
        </w:rPr>
      </w:pPr>
    </w:p>
    <w:p w:rsidR="00377D80" w:rsidRDefault="00377D80" w:rsidP="00377D80">
      <w:pPr>
        <w:ind w:firstLine="508"/>
        <w:rPr>
          <w:rFonts w:ascii="宋体"/>
        </w:rPr>
      </w:pPr>
    </w:p>
    <w:p w:rsidR="00377D80" w:rsidRDefault="00377D80" w:rsidP="00377D80">
      <w:pPr>
        <w:ind w:firstLine="508"/>
        <w:rPr>
          <w:rFonts w:ascii="宋体"/>
        </w:rPr>
      </w:pPr>
    </w:p>
    <w:p w:rsidR="00377D80" w:rsidRDefault="00377D80" w:rsidP="00377D80">
      <w:pPr>
        <w:ind w:firstLine="508"/>
        <w:rPr>
          <w:rFonts w:ascii="宋体"/>
        </w:rPr>
      </w:pPr>
    </w:p>
    <w:p w:rsidR="00377D80" w:rsidRDefault="00377D80" w:rsidP="00377D80">
      <w:pPr>
        <w:ind w:firstLine="508"/>
        <w:rPr>
          <w:rFonts w:ascii="宋体"/>
        </w:rPr>
      </w:pPr>
    </w:p>
    <w:p w:rsidR="00377D80" w:rsidRDefault="00377D80" w:rsidP="00377D80">
      <w:pPr>
        <w:ind w:firstLine="448"/>
        <w:rPr>
          <w:rFonts w:ascii="宋体"/>
          <w:b/>
          <w:bCs/>
          <w:sz w:val="28"/>
        </w:rPr>
      </w:pPr>
      <w:r w:rsidRPr="00C862D2">
        <w:pict>
          <v:shape id="_x0000_s1026" type="#_x0000_t202" style="position:absolute;left:0;text-align:left;margin-left:4.8pt;margin-top:668.2pt;width:414.4pt;height:78.75pt;z-index:251660288;mso-position-vertical-relative:page;mso-width-relative:page;mso-height-relative:page" filled="f" strokecolor="white">
            <v:stroke dashstyle="1 1" endcap="round"/>
            <v:textbox>
              <w:txbxContent>
                <w:p w:rsidR="00377D80" w:rsidRDefault="00377D80" w:rsidP="00377D80">
                  <w:pPr>
                    <w:ind w:firstLine="628"/>
                    <w:jc w:val="center"/>
                    <w:rPr>
                      <w:rStyle w:val="smallfont1"/>
                      <w:rFonts w:ascii="黑体" w:eastAsia="黑体"/>
                      <w:sz w:val="30"/>
                    </w:rPr>
                  </w:pPr>
                  <w:r>
                    <w:rPr>
                      <w:rFonts w:ascii="黑体" w:eastAsia="黑体" w:hint="eastAsia"/>
                      <w:sz w:val="30"/>
                    </w:rPr>
                    <w:t>上海证券交易所</w:t>
                  </w:r>
                </w:p>
                <w:p w:rsidR="00377D80" w:rsidRDefault="00377D80" w:rsidP="00377D80">
                  <w:pPr>
                    <w:ind w:firstLine="670"/>
                    <w:jc w:val="center"/>
                    <w:rPr>
                      <w:sz w:val="30"/>
                    </w:rPr>
                  </w:pPr>
                  <w:r>
                    <w:rPr>
                      <w:rFonts w:ascii="楷体_GB2312" w:hint="eastAsia"/>
                      <w:b/>
                      <w:sz w:val="32"/>
                    </w:rPr>
                    <w:t>二〇二〇年二月</w:t>
                  </w:r>
                </w:p>
              </w:txbxContent>
            </v:textbox>
            <w10:wrap anchory="page"/>
          </v:shape>
        </w:pict>
      </w:r>
    </w:p>
    <w:p w:rsidR="00377D80" w:rsidRDefault="00377D80" w:rsidP="00377D80">
      <w:pPr>
        <w:ind w:firstLine="590"/>
        <w:rPr>
          <w:rFonts w:ascii="宋体"/>
          <w:b/>
          <w:bCs/>
          <w:sz w:val="28"/>
        </w:rPr>
      </w:pPr>
    </w:p>
    <w:p w:rsidR="00377D80" w:rsidRDefault="00377D80" w:rsidP="00377D80">
      <w:pPr>
        <w:ind w:firstLine="590"/>
        <w:rPr>
          <w:rFonts w:ascii="宋体"/>
          <w:b/>
          <w:bCs/>
          <w:sz w:val="28"/>
        </w:rPr>
      </w:pPr>
    </w:p>
    <w:p w:rsidR="00377D80" w:rsidRDefault="00377D80" w:rsidP="00377D80">
      <w:pPr>
        <w:ind w:firstLine="590"/>
        <w:jc w:val="center"/>
        <w:rPr>
          <w:rFonts w:ascii="仿宋_GB2312" w:eastAsia="仿宋_GB2312"/>
          <w:b/>
          <w:bCs/>
          <w:sz w:val="24"/>
        </w:rPr>
      </w:pPr>
      <w:r>
        <w:rPr>
          <w:rFonts w:ascii="宋体"/>
          <w:b/>
          <w:bCs/>
          <w:sz w:val="28"/>
        </w:rPr>
        <w:br w:type="page"/>
      </w:r>
      <w:r>
        <w:rPr>
          <w:rFonts w:ascii="仿宋_GB2312" w:eastAsia="仿宋_GB2312" w:hAnsi="宋体" w:hint="eastAsia"/>
          <w:b/>
          <w:bCs/>
          <w:sz w:val="24"/>
        </w:rPr>
        <w:lastRenderedPageBreak/>
        <w:t>版本历史</w:t>
      </w:r>
    </w:p>
    <w:p w:rsidR="00377D80" w:rsidRDefault="00377D80" w:rsidP="00377D80">
      <w:pPr>
        <w:ind w:firstLine="508"/>
        <w:jc w:val="center"/>
        <w:rPr>
          <w:rFonts w:ascii="仿宋_GB2312" w:eastAsia="仿宋_GB2312"/>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6911"/>
      </w:tblGrid>
      <w:tr w:rsidR="00377D80" w:rsidTr="00B47A1B">
        <w:tc>
          <w:tcPr>
            <w:tcW w:w="1809" w:type="dxa"/>
            <w:tcBorders>
              <w:top w:val="single" w:sz="4" w:space="0" w:color="000000"/>
              <w:left w:val="single" w:sz="4" w:space="0" w:color="000000"/>
              <w:bottom w:val="single" w:sz="4" w:space="0" w:color="000000"/>
              <w:right w:val="single" w:sz="4" w:space="0" w:color="000000"/>
            </w:tcBorders>
          </w:tcPr>
          <w:p w:rsidR="00377D80" w:rsidRDefault="00377D80" w:rsidP="00B47A1B">
            <w:pPr>
              <w:ind w:firstLine="509"/>
              <w:jc w:val="center"/>
              <w:rPr>
                <w:rFonts w:ascii="仿宋_GB2312" w:eastAsia="仿宋_GB2312"/>
                <w:b/>
                <w:bCs/>
                <w:sz w:val="24"/>
              </w:rPr>
            </w:pPr>
            <w:r>
              <w:rPr>
                <w:rFonts w:ascii="仿宋_GB2312" w:eastAsia="仿宋_GB2312" w:hAnsi="宋体" w:hint="eastAsia"/>
                <w:b/>
                <w:bCs/>
                <w:sz w:val="24"/>
              </w:rPr>
              <w:t>版本号</w:t>
            </w:r>
          </w:p>
        </w:tc>
        <w:tc>
          <w:tcPr>
            <w:tcW w:w="6911" w:type="dxa"/>
            <w:tcBorders>
              <w:top w:val="single" w:sz="4" w:space="0" w:color="000000"/>
              <w:left w:val="single" w:sz="4" w:space="0" w:color="000000"/>
              <w:bottom w:val="single" w:sz="4" w:space="0" w:color="000000"/>
              <w:right w:val="single" w:sz="4" w:space="0" w:color="000000"/>
            </w:tcBorders>
          </w:tcPr>
          <w:p w:rsidR="00377D80" w:rsidRDefault="00377D80" w:rsidP="00B47A1B">
            <w:pPr>
              <w:ind w:firstLine="509"/>
              <w:jc w:val="center"/>
              <w:rPr>
                <w:rFonts w:ascii="仿宋_GB2312" w:eastAsia="仿宋_GB2312"/>
                <w:b/>
                <w:bCs/>
                <w:sz w:val="24"/>
              </w:rPr>
            </w:pPr>
            <w:r>
              <w:rPr>
                <w:rFonts w:ascii="仿宋_GB2312" w:eastAsia="仿宋_GB2312" w:hAnsi="宋体" w:hint="eastAsia"/>
                <w:b/>
                <w:bCs/>
                <w:sz w:val="24"/>
              </w:rPr>
              <w:t>调整内容</w:t>
            </w:r>
          </w:p>
        </w:tc>
      </w:tr>
      <w:tr w:rsidR="00377D80" w:rsidTr="00B47A1B">
        <w:tc>
          <w:tcPr>
            <w:tcW w:w="1809" w:type="dxa"/>
            <w:tcBorders>
              <w:top w:val="single" w:sz="4" w:space="0" w:color="000000"/>
              <w:left w:val="single" w:sz="4" w:space="0" w:color="000000"/>
              <w:bottom w:val="single" w:sz="4" w:space="0" w:color="000000"/>
              <w:right w:val="single" w:sz="4" w:space="0" w:color="000000"/>
            </w:tcBorders>
          </w:tcPr>
          <w:p w:rsidR="00377D80" w:rsidRDefault="00377D80" w:rsidP="00B47A1B">
            <w:pPr>
              <w:ind w:firstLine="508"/>
              <w:jc w:val="center"/>
              <w:rPr>
                <w:rFonts w:ascii="仿宋_GB2312" w:eastAsia="仿宋_GB2312"/>
                <w:bCs/>
                <w:sz w:val="24"/>
              </w:rPr>
            </w:pPr>
            <w:r>
              <w:rPr>
                <w:rFonts w:ascii="仿宋_GB2312" w:eastAsia="仿宋_GB2312" w:hAnsi="宋体" w:hint="eastAsia"/>
                <w:bCs/>
                <w:szCs w:val="21"/>
              </w:rPr>
              <w:t>V1.0 20200212</w:t>
            </w:r>
          </w:p>
        </w:tc>
        <w:tc>
          <w:tcPr>
            <w:tcW w:w="6911" w:type="dxa"/>
            <w:tcBorders>
              <w:top w:val="single" w:sz="4" w:space="0" w:color="000000"/>
              <w:left w:val="single" w:sz="4" w:space="0" w:color="000000"/>
              <w:bottom w:val="single" w:sz="4" w:space="0" w:color="000000"/>
              <w:right w:val="single" w:sz="4" w:space="0" w:color="000000"/>
            </w:tcBorders>
          </w:tcPr>
          <w:p w:rsidR="00377D80" w:rsidRDefault="00377D80" w:rsidP="00B47A1B">
            <w:pPr>
              <w:ind w:firstLine="508"/>
              <w:jc w:val="left"/>
              <w:rPr>
                <w:rFonts w:ascii="仿宋_GB2312" w:eastAsia="仿宋_GB2312"/>
                <w:bCs/>
                <w:sz w:val="24"/>
              </w:rPr>
            </w:pPr>
            <w:r>
              <w:rPr>
                <w:rFonts w:ascii="仿宋_GB2312" w:eastAsia="仿宋_GB2312" w:hAnsi="宋体" w:hint="eastAsia"/>
                <w:bCs/>
                <w:szCs w:val="21"/>
              </w:rPr>
              <w:t>根据上交所发布的《关于上海证券交易所上市交易基金增加扩位证券简称相关事项的通知》制定</w:t>
            </w:r>
          </w:p>
        </w:tc>
      </w:tr>
      <w:tr w:rsidR="00377D80" w:rsidTr="00B47A1B">
        <w:tc>
          <w:tcPr>
            <w:tcW w:w="1809" w:type="dxa"/>
            <w:tcBorders>
              <w:top w:val="single" w:sz="4" w:space="0" w:color="000000"/>
              <w:left w:val="single" w:sz="4" w:space="0" w:color="000000"/>
              <w:bottom w:val="single" w:sz="4" w:space="0" w:color="000000"/>
              <w:right w:val="single" w:sz="4" w:space="0" w:color="000000"/>
            </w:tcBorders>
          </w:tcPr>
          <w:p w:rsidR="00377D80" w:rsidRDefault="00377D80" w:rsidP="00B47A1B">
            <w:pPr>
              <w:ind w:firstLine="508"/>
              <w:jc w:val="center"/>
              <w:rPr>
                <w:rFonts w:ascii="宋体"/>
                <w:bCs/>
                <w:szCs w:val="21"/>
              </w:rPr>
            </w:pPr>
          </w:p>
        </w:tc>
        <w:tc>
          <w:tcPr>
            <w:tcW w:w="6911" w:type="dxa"/>
            <w:tcBorders>
              <w:top w:val="single" w:sz="4" w:space="0" w:color="000000"/>
              <w:left w:val="single" w:sz="4" w:space="0" w:color="000000"/>
              <w:bottom w:val="single" w:sz="4" w:space="0" w:color="000000"/>
              <w:right w:val="single" w:sz="4" w:space="0" w:color="000000"/>
            </w:tcBorders>
          </w:tcPr>
          <w:p w:rsidR="00377D80" w:rsidRDefault="00377D80" w:rsidP="00B47A1B">
            <w:pPr>
              <w:ind w:firstLine="508"/>
              <w:jc w:val="left"/>
              <w:rPr>
                <w:rFonts w:ascii="宋体"/>
                <w:bCs/>
                <w:szCs w:val="21"/>
              </w:rPr>
            </w:pPr>
          </w:p>
        </w:tc>
      </w:tr>
      <w:tr w:rsidR="00377D80" w:rsidTr="00B47A1B">
        <w:tc>
          <w:tcPr>
            <w:tcW w:w="1809" w:type="dxa"/>
            <w:tcBorders>
              <w:top w:val="single" w:sz="4" w:space="0" w:color="000000"/>
              <w:left w:val="single" w:sz="4" w:space="0" w:color="000000"/>
              <w:bottom w:val="single" w:sz="4" w:space="0" w:color="000000"/>
              <w:right w:val="single" w:sz="4" w:space="0" w:color="000000"/>
            </w:tcBorders>
          </w:tcPr>
          <w:p w:rsidR="00377D80" w:rsidRDefault="00377D80" w:rsidP="00B47A1B">
            <w:pPr>
              <w:ind w:firstLine="508"/>
              <w:jc w:val="center"/>
              <w:rPr>
                <w:rFonts w:ascii="宋体"/>
                <w:bCs/>
                <w:szCs w:val="21"/>
              </w:rPr>
            </w:pPr>
          </w:p>
        </w:tc>
        <w:tc>
          <w:tcPr>
            <w:tcW w:w="6911" w:type="dxa"/>
            <w:tcBorders>
              <w:top w:val="single" w:sz="4" w:space="0" w:color="000000"/>
              <w:left w:val="single" w:sz="4" w:space="0" w:color="000000"/>
              <w:bottom w:val="single" w:sz="4" w:space="0" w:color="000000"/>
              <w:right w:val="single" w:sz="4" w:space="0" w:color="000000"/>
            </w:tcBorders>
          </w:tcPr>
          <w:p w:rsidR="00377D80" w:rsidRDefault="00377D80" w:rsidP="00B47A1B">
            <w:pPr>
              <w:ind w:firstLine="508"/>
              <w:jc w:val="left"/>
              <w:rPr>
                <w:rFonts w:ascii="宋体"/>
                <w:bCs/>
                <w:szCs w:val="21"/>
              </w:rPr>
            </w:pPr>
          </w:p>
        </w:tc>
      </w:tr>
      <w:tr w:rsidR="00377D80" w:rsidTr="00B47A1B">
        <w:tc>
          <w:tcPr>
            <w:tcW w:w="1809" w:type="dxa"/>
            <w:tcBorders>
              <w:top w:val="single" w:sz="4" w:space="0" w:color="000000"/>
              <w:left w:val="single" w:sz="4" w:space="0" w:color="000000"/>
              <w:bottom w:val="single" w:sz="4" w:space="0" w:color="000000"/>
              <w:right w:val="single" w:sz="4" w:space="0" w:color="000000"/>
            </w:tcBorders>
          </w:tcPr>
          <w:p w:rsidR="00377D80" w:rsidRDefault="00377D80" w:rsidP="00B47A1B">
            <w:pPr>
              <w:ind w:firstLine="508"/>
              <w:jc w:val="center"/>
              <w:rPr>
                <w:rFonts w:ascii="宋体"/>
                <w:bCs/>
                <w:szCs w:val="21"/>
              </w:rPr>
            </w:pPr>
          </w:p>
        </w:tc>
        <w:tc>
          <w:tcPr>
            <w:tcW w:w="6911" w:type="dxa"/>
            <w:tcBorders>
              <w:top w:val="single" w:sz="4" w:space="0" w:color="000000"/>
              <w:left w:val="single" w:sz="4" w:space="0" w:color="000000"/>
              <w:bottom w:val="single" w:sz="4" w:space="0" w:color="000000"/>
              <w:right w:val="single" w:sz="4" w:space="0" w:color="000000"/>
            </w:tcBorders>
          </w:tcPr>
          <w:p w:rsidR="00377D80" w:rsidRDefault="00377D80" w:rsidP="00B47A1B">
            <w:pPr>
              <w:ind w:firstLine="508"/>
              <w:jc w:val="left"/>
              <w:rPr>
                <w:rFonts w:ascii="宋体"/>
                <w:bCs/>
                <w:szCs w:val="21"/>
              </w:rPr>
            </w:pPr>
          </w:p>
        </w:tc>
      </w:tr>
    </w:tbl>
    <w:p w:rsidR="00377D80" w:rsidRDefault="00377D80" w:rsidP="00377D80">
      <w:pPr>
        <w:ind w:firstLine="508"/>
        <w:rPr>
          <w:rFonts w:ascii="宋体"/>
          <w:bCs/>
          <w:szCs w:val="21"/>
        </w:rPr>
      </w:pPr>
    </w:p>
    <w:p w:rsidR="00377D80" w:rsidRDefault="00377D80" w:rsidP="00377D80">
      <w:pPr>
        <w:ind w:firstLine="590"/>
        <w:rPr>
          <w:rFonts w:ascii="仿宋_GB2312" w:eastAsia="仿宋_GB2312"/>
          <w:b/>
          <w:bCs/>
          <w:sz w:val="28"/>
        </w:rPr>
      </w:pPr>
      <w:r>
        <w:rPr>
          <w:rFonts w:ascii="仿宋_GB2312" w:eastAsia="仿宋_GB2312" w:hAnsi="宋体" w:hint="eastAsia"/>
          <w:b/>
          <w:bCs/>
          <w:sz w:val="28"/>
        </w:rPr>
        <w:t>文档摘要</w:t>
      </w:r>
    </w:p>
    <w:p w:rsidR="00377D80" w:rsidRDefault="00377D80" w:rsidP="00377D80">
      <w:pPr>
        <w:ind w:firstLineChars="200" w:firstLine="508"/>
        <w:rPr>
          <w:rFonts w:ascii="仿宋_GB2312" w:eastAsia="仿宋_GB2312"/>
        </w:rPr>
      </w:pPr>
      <w:r>
        <w:rPr>
          <w:rFonts w:ascii="仿宋_GB2312" w:eastAsia="仿宋_GB2312" w:hAnsi="宋体" w:hint="eastAsia"/>
          <w:sz w:val="24"/>
        </w:rPr>
        <w:t>本文档是上海证券交易所（以下简称“本所”）上市交易基金增加</w:t>
      </w:r>
      <w:proofErr w:type="gramStart"/>
      <w:r>
        <w:rPr>
          <w:rFonts w:ascii="仿宋_GB2312" w:eastAsia="仿宋_GB2312" w:hAnsi="宋体" w:hint="eastAsia"/>
          <w:sz w:val="24"/>
        </w:rPr>
        <w:t>扩位证券</w:t>
      </w:r>
      <w:proofErr w:type="gramEnd"/>
      <w:r>
        <w:rPr>
          <w:rFonts w:ascii="仿宋_GB2312" w:eastAsia="仿宋_GB2312" w:hAnsi="宋体" w:hint="eastAsia"/>
          <w:sz w:val="24"/>
        </w:rPr>
        <w:t>简称的技术实施指南</w:t>
      </w:r>
      <w:r>
        <w:rPr>
          <w:rFonts w:ascii="仿宋_GB2312" w:eastAsia="仿宋_GB2312" w:hAnsi="宋体" w:hint="eastAsia"/>
        </w:rPr>
        <w:t>。</w:t>
      </w:r>
    </w:p>
    <w:p w:rsidR="00377D80" w:rsidRDefault="00377D80" w:rsidP="00377D80">
      <w:pPr>
        <w:ind w:firstLine="509"/>
        <w:rPr>
          <w:rFonts w:ascii="仿宋_GB2312" w:eastAsia="仿宋_GB2312"/>
          <w:b/>
          <w:sz w:val="24"/>
        </w:rPr>
      </w:pPr>
    </w:p>
    <w:p w:rsidR="00377D80" w:rsidRDefault="00377D80" w:rsidP="00377D80">
      <w:pPr>
        <w:ind w:firstLine="509"/>
        <w:rPr>
          <w:rFonts w:ascii="仿宋_GB2312" w:eastAsia="仿宋_GB2312"/>
          <w:b/>
          <w:sz w:val="24"/>
        </w:rPr>
      </w:pPr>
      <w:r>
        <w:rPr>
          <w:rFonts w:ascii="仿宋_GB2312" w:eastAsia="仿宋_GB2312" w:hAnsi="宋体" w:hint="eastAsia"/>
          <w:b/>
          <w:sz w:val="28"/>
          <w:szCs w:val="28"/>
        </w:rPr>
        <w:t>特别申明</w:t>
      </w:r>
      <w:r>
        <w:rPr>
          <w:rFonts w:ascii="仿宋_GB2312" w:eastAsia="仿宋_GB2312" w:hAnsi="宋体" w:hint="eastAsia"/>
          <w:b/>
          <w:sz w:val="24"/>
        </w:rPr>
        <w:t>：</w:t>
      </w:r>
    </w:p>
    <w:p w:rsidR="00377D80" w:rsidRDefault="00377D80" w:rsidP="00377D80">
      <w:pPr>
        <w:pStyle w:val="a9"/>
        <w:numPr>
          <w:ilvl w:val="0"/>
          <w:numId w:val="2"/>
        </w:numPr>
        <w:ind w:firstLineChars="0" w:firstLine="6"/>
        <w:rPr>
          <w:rFonts w:ascii="仿宋_GB2312" w:eastAsia="仿宋_GB2312"/>
          <w:sz w:val="24"/>
        </w:rPr>
      </w:pPr>
      <w:r>
        <w:rPr>
          <w:rFonts w:ascii="仿宋_GB2312" w:eastAsia="仿宋_GB2312" w:hint="eastAsia"/>
          <w:sz w:val="24"/>
        </w:rPr>
        <w:t>本指南为技术实施指南，所涉相关业务规定以本所业务规则为准。</w:t>
      </w:r>
    </w:p>
    <w:p w:rsidR="00377D80" w:rsidRDefault="00377D80" w:rsidP="00377D80">
      <w:pPr>
        <w:pStyle w:val="a9"/>
        <w:numPr>
          <w:ilvl w:val="0"/>
          <w:numId w:val="2"/>
        </w:numPr>
        <w:ind w:firstLineChars="0" w:firstLine="6"/>
        <w:rPr>
          <w:rFonts w:ascii="仿宋_GB2312" w:eastAsia="仿宋_GB2312"/>
          <w:sz w:val="24"/>
        </w:rPr>
      </w:pPr>
      <w:r>
        <w:rPr>
          <w:rFonts w:ascii="仿宋_GB2312" w:eastAsia="仿宋_GB2312" w:hint="eastAsia"/>
          <w:sz w:val="24"/>
        </w:rPr>
        <w:t>本指南根据本所相关规则、业务方案、公告通知制定。</w:t>
      </w:r>
    </w:p>
    <w:p w:rsidR="00377D80" w:rsidRDefault="00377D80" w:rsidP="00377D80">
      <w:pPr>
        <w:pStyle w:val="a9"/>
        <w:numPr>
          <w:ilvl w:val="0"/>
          <w:numId w:val="2"/>
        </w:numPr>
        <w:ind w:firstLineChars="0" w:firstLine="6"/>
        <w:rPr>
          <w:rFonts w:ascii="仿宋_GB2312" w:eastAsia="仿宋_GB2312"/>
          <w:sz w:val="24"/>
        </w:rPr>
      </w:pPr>
      <w:r>
        <w:rPr>
          <w:rFonts w:ascii="仿宋_GB2312" w:eastAsia="仿宋_GB2312" w:hint="eastAsia"/>
          <w:sz w:val="24"/>
        </w:rPr>
        <w:t>本所保留对本指南的解释与修改权。</w:t>
      </w:r>
    </w:p>
    <w:p w:rsidR="00377D80" w:rsidRDefault="00377D80" w:rsidP="00377D80">
      <w:pPr>
        <w:ind w:firstLineChars="200" w:firstLine="448"/>
        <w:rPr>
          <w:rFonts w:ascii="仿宋_GB2312" w:eastAsia="仿宋_GB2312"/>
        </w:rPr>
      </w:pPr>
    </w:p>
    <w:p w:rsidR="00377D80" w:rsidRDefault="00377D80" w:rsidP="00377D80">
      <w:pPr>
        <w:ind w:firstLine="509"/>
        <w:rPr>
          <w:rFonts w:ascii="仿宋_GB2312" w:eastAsia="仿宋_GB2312"/>
          <w:b/>
          <w:sz w:val="28"/>
          <w:szCs w:val="28"/>
        </w:rPr>
      </w:pPr>
      <w:r>
        <w:rPr>
          <w:rFonts w:ascii="仿宋_GB2312" w:eastAsia="仿宋_GB2312" w:hAnsi="宋体" w:hint="eastAsia"/>
          <w:b/>
          <w:sz w:val="28"/>
          <w:szCs w:val="28"/>
        </w:rPr>
        <w:t>联系方式</w:t>
      </w:r>
    </w:p>
    <w:tbl>
      <w:tblPr>
        <w:tblW w:w="0" w:type="auto"/>
        <w:tblCellSpacing w:w="15" w:type="dxa"/>
        <w:tblInd w:w="448" w:type="dxa"/>
        <w:tblCellMar>
          <w:top w:w="15" w:type="dxa"/>
          <w:left w:w="15" w:type="dxa"/>
          <w:bottom w:w="15" w:type="dxa"/>
          <w:right w:w="15" w:type="dxa"/>
        </w:tblCellMar>
        <w:tblLook w:val="04A0"/>
      </w:tblPr>
      <w:tblGrid>
        <w:gridCol w:w="5487"/>
      </w:tblGrid>
      <w:tr w:rsidR="00377D80" w:rsidTr="00B47A1B">
        <w:trPr>
          <w:tblCellSpacing w:w="15" w:type="dxa"/>
        </w:trPr>
        <w:tc>
          <w:tcPr>
            <w:tcW w:w="0" w:type="auto"/>
            <w:vAlign w:val="center"/>
          </w:tcPr>
          <w:p w:rsidR="00377D80" w:rsidRDefault="00377D80" w:rsidP="00B47A1B">
            <w:pPr>
              <w:rPr>
                <w:rFonts w:ascii="仿宋_GB2312" w:eastAsia="仿宋_GB2312"/>
                <w:sz w:val="24"/>
              </w:rPr>
            </w:pPr>
            <w:r>
              <w:rPr>
                <w:rFonts w:ascii="仿宋_GB2312" w:eastAsia="仿宋_GB2312" w:hint="eastAsia"/>
                <w:sz w:val="24"/>
              </w:rPr>
              <w:t>技术服务QQ群： 　　298643611</w:t>
            </w:r>
          </w:p>
        </w:tc>
      </w:tr>
      <w:tr w:rsidR="00377D80" w:rsidTr="00B47A1B">
        <w:trPr>
          <w:tblCellSpacing w:w="15" w:type="dxa"/>
        </w:trPr>
        <w:tc>
          <w:tcPr>
            <w:tcW w:w="0" w:type="auto"/>
            <w:vAlign w:val="center"/>
          </w:tcPr>
          <w:p w:rsidR="00377D80" w:rsidRDefault="00377D80" w:rsidP="00B47A1B">
            <w:pPr>
              <w:rPr>
                <w:rFonts w:ascii="仿宋_GB2312" w:eastAsia="仿宋_GB2312"/>
                <w:sz w:val="24"/>
              </w:rPr>
            </w:pPr>
            <w:r>
              <w:rPr>
                <w:rFonts w:ascii="仿宋_GB2312" w:eastAsia="仿宋_GB2312" w:hint="eastAsia"/>
                <w:sz w:val="24"/>
              </w:rPr>
              <w:t xml:space="preserve">技术服务电话: </w:t>
            </w:r>
            <w:r>
              <w:rPr>
                <w:rFonts w:ascii="仿宋_GB2312" w:eastAsia="仿宋_GB2312" w:hint="eastAsia"/>
                <w:sz w:val="24"/>
              </w:rPr>
              <w:t> </w:t>
            </w:r>
            <w:r>
              <w:rPr>
                <w:rFonts w:ascii="仿宋_GB2312" w:eastAsia="仿宋_GB2312" w:hint="eastAsia"/>
                <w:sz w:val="24"/>
              </w:rPr>
              <w:t xml:space="preserve">　 　4009003600(8:00-20:00)</w:t>
            </w:r>
          </w:p>
        </w:tc>
      </w:tr>
      <w:tr w:rsidR="00377D80" w:rsidTr="00B47A1B">
        <w:trPr>
          <w:tblCellSpacing w:w="15" w:type="dxa"/>
        </w:trPr>
        <w:tc>
          <w:tcPr>
            <w:tcW w:w="0" w:type="auto"/>
            <w:vAlign w:val="center"/>
          </w:tcPr>
          <w:p w:rsidR="00377D80" w:rsidRDefault="00377D80" w:rsidP="00B47A1B">
            <w:pPr>
              <w:rPr>
                <w:rFonts w:ascii="仿宋_GB2312" w:eastAsia="仿宋_GB2312"/>
                <w:sz w:val="24"/>
              </w:rPr>
            </w:pPr>
            <w:r>
              <w:rPr>
                <w:rFonts w:ascii="仿宋_GB2312" w:eastAsia="仿宋_GB2312" w:hint="eastAsia"/>
                <w:sz w:val="24"/>
              </w:rPr>
              <w:t xml:space="preserve">电子邮件： </w:t>
            </w:r>
            <w:r>
              <w:rPr>
                <w:rFonts w:ascii="仿宋_GB2312" w:eastAsia="仿宋_GB2312" w:hint="eastAsia"/>
                <w:sz w:val="24"/>
              </w:rPr>
              <w:t> </w:t>
            </w:r>
            <w:r>
              <w:rPr>
                <w:rFonts w:ascii="仿宋_GB2312" w:eastAsia="仿宋_GB2312" w:hint="eastAsia"/>
                <w:sz w:val="24"/>
              </w:rPr>
              <w:t xml:space="preserve">　　    </w:t>
            </w:r>
            <w:hyperlink r:id="rId7" w:history="1">
              <w:r>
                <w:rPr>
                  <w:rStyle w:val="a8"/>
                  <w:rFonts w:ascii="仿宋_GB2312" w:eastAsia="仿宋_GB2312" w:hint="eastAsia"/>
                  <w:sz w:val="24"/>
                </w:rPr>
                <w:t>tech_support@sse.com.cn</w:t>
              </w:r>
            </w:hyperlink>
          </w:p>
        </w:tc>
      </w:tr>
      <w:tr w:rsidR="00377D80" w:rsidTr="00B47A1B">
        <w:trPr>
          <w:tblCellSpacing w:w="15" w:type="dxa"/>
        </w:trPr>
        <w:tc>
          <w:tcPr>
            <w:tcW w:w="0" w:type="auto"/>
            <w:vAlign w:val="center"/>
          </w:tcPr>
          <w:p w:rsidR="00377D80" w:rsidRDefault="00377D80" w:rsidP="00B47A1B">
            <w:pPr>
              <w:rPr>
                <w:rFonts w:ascii="仿宋_GB2312" w:eastAsia="仿宋_GB2312"/>
                <w:sz w:val="24"/>
              </w:rPr>
            </w:pPr>
            <w:r>
              <w:rPr>
                <w:rFonts w:ascii="仿宋_GB2312" w:eastAsia="仿宋_GB2312" w:hint="eastAsia"/>
                <w:sz w:val="24"/>
              </w:rPr>
              <w:t>技术服务</w:t>
            </w:r>
            <w:proofErr w:type="gramStart"/>
            <w:r>
              <w:rPr>
                <w:rFonts w:ascii="仿宋_GB2312" w:eastAsia="仿宋_GB2312" w:hint="eastAsia"/>
                <w:sz w:val="24"/>
              </w:rPr>
              <w:t>微信公众号</w:t>
            </w:r>
            <w:proofErr w:type="gramEnd"/>
            <w:r>
              <w:rPr>
                <w:rFonts w:ascii="仿宋_GB2312" w:eastAsia="仿宋_GB2312" w:hint="eastAsia"/>
                <w:sz w:val="24"/>
              </w:rPr>
              <w:t>：SSE-</w:t>
            </w:r>
            <w:proofErr w:type="spellStart"/>
            <w:r>
              <w:rPr>
                <w:rFonts w:ascii="仿宋_GB2312" w:eastAsia="仿宋_GB2312" w:hint="eastAsia"/>
                <w:sz w:val="24"/>
              </w:rPr>
              <w:t>TechService</w:t>
            </w:r>
            <w:proofErr w:type="spellEnd"/>
            <w:r>
              <w:rPr>
                <w:rFonts w:ascii="仿宋_GB2312" w:eastAsia="仿宋_GB2312" w:hint="eastAsia"/>
                <w:sz w:val="24"/>
              </w:rPr>
              <w:t xml:space="preserve"> </w:t>
            </w:r>
          </w:p>
          <w:p w:rsidR="00377D80" w:rsidRDefault="00377D80" w:rsidP="00B47A1B">
            <w:pPr>
              <w:ind w:firstLine="509"/>
              <w:rPr>
                <w:rFonts w:ascii="仿宋_GB2312" w:eastAsia="仿宋_GB2312"/>
                <w:b/>
                <w:sz w:val="24"/>
              </w:rPr>
            </w:pPr>
            <w:r>
              <w:rPr>
                <w:rFonts w:ascii="仿宋_GB2312" w:eastAsia="仿宋_GB2312" w:hint="eastAsia"/>
                <w:b/>
                <w:sz w:val="24"/>
              </w:rPr>
              <w:t xml:space="preserve">　　</w:t>
            </w:r>
            <w:r>
              <w:rPr>
                <w:rFonts w:ascii="仿宋_GB2312" w:eastAsia="仿宋_GB2312" w:hint="eastAsia"/>
                <w:b/>
                <w:noProof/>
                <w:sz w:val="24"/>
              </w:rPr>
              <w:drawing>
                <wp:inline distT="0" distB="0" distL="0" distR="0">
                  <wp:extent cx="1800225" cy="1800225"/>
                  <wp:effectExtent l="19050" t="0" r="9525" b="0"/>
                  <wp:docPr id="2" name="图片 1" descr="3e4dc5951bf0a4ce7754c754c3ef8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3e4dc5951bf0a4ce7754c754c3ef8087"/>
                          <pic:cNvPicPr>
                            <a:picLocks noChangeAspect="1" noChangeArrowheads="1"/>
                          </pic:cNvPicPr>
                        </pic:nvPicPr>
                        <pic:blipFill>
                          <a:blip r:embed="rId8" cstate="print"/>
                          <a:srcRect/>
                          <a:stretch>
                            <a:fillRect/>
                          </a:stretch>
                        </pic:blipFill>
                        <pic:spPr>
                          <a:xfrm>
                            <a:off x="0" y="0"/>
                            <a:ext cx="1800225" cy="1800225"/>
                          </a:xfrm>
                          <a:prstGeom prst="rect">
                            <a:avLst/>
                          </a:prstGeom>
                          <a:noFill/>
                          <a:ln w="9525">
                            <a:noFill/>
                            <a:miter lim="800000"/>
                            <a:headEnd/>
                            <a:tailEnd/>
                          </a:ln>
                        </pic:spPr>
                      </pic:pic>
                    </a:graphicData>
                  </a:graphic>
                </wp:inline>
              </w:drawing>
            </w:r>
          </w:p>
        </w:tc>
      </w:tr>
    </w:tbl>
    <w:p w:rsidR="00377D80" w:rsidRDefault="00377D80" w:rsidP="00377D80">
      <w:pPr>
        <w:pStyle w:val="1"/>
        <w:spacing w:before="175" w:after="175"/>
      </w:pPr>
      <w:bookmarkStart w:id="0" w:name="_Toc523132209"/>
      <w:r>
        <w:rPr>
          <w:rFonts w:hAnsi="宋体" w:hint="eastAsia"/>
        </w:rPr>
        <w:lastRenderedPageBreak/>
        <w:t>简介</w:t>
      </w:r>
      <w:bookmarkEnd w:id="0"/>
    </w:p>
    <w:p w:rsidR="00377D80" w:rsidRDefault="00377D80" w:rsidP="00377D80">
      <w:pPr>
        <w:spacing w:line="360" w:lineRule="auto"/>
        <w:ind w:firstLine="420"/>
        <w:rPr>
          <w:rFonts w:ascii="仿宋_GB2312" w:eastAsia="仿宋_GB2312" w:hAnsi="新宋体"/>
          <w:spacing w:val="-4"/>
          <w:szCs w:val="21"/>
        </w:rPr>
      </w:pPr>
      <w:r>
        <w:rPr>
          <w:rFonts w:ascii="仿宋_GB2312" w:eastAsia="仿宋_GB2312" w:hAnsi="宋体" w:hint="eastAsia"/>
          <w:bCs/>
          <w:sz w:val="24"/>
        </w:rPr>
        <w:t>根据本所发布的《关于上海证券交易所上市交易基金增加扩位证券简称相关事项的通知》，上海证券交易所将针对本</w:t>
      </w:r>
      <w:bookmarkStart w:id="1" w:name="_GoBack"/>
      <w:bookmarkEnd w:id="1"/>
      <w:r>
        <w:rPr>
          <w:rFonts w:ascii="仿宋_GB2312" w:eastAsia="仿宋_GB2312" w:hAnsi="宋体" w:hint="eastAsia"/>
          <w:bCs/>
          <w:sz w:val="24"/>
        </w:rPr>
        <w:t>所上市交易的基金产品（包括：ETF、LOF、分级基金子基金）增加</w:t>
      </w:r>
      <w:proofErr w:type="gramStart"/>
      <w:r>
        <w:rPr>
          <w:rFonts w:ascii="仿宋_GB2312" w:eastAsia="仿宋_GB2312" w:hAnsi="宋体" w:hint="eastAsia"/>
          <w:bCs/>
          <w:sz w:val="24"/>
        </w:rPr>
        <w:t>扩位证券</w:t>
      </w:r>
      <w:proofErr w:type="gramEnd"/>
      <w:r>
        <w:rPr>
          <w:rFonts w:ascii="仿宋_GB2312" w:eastAsia="仿宋_GB2312" w:hAnsi="宋体" w:hint="eastAsia"/>
          <w:bCs/>
          <w:sz w:val="24"/>
        </w:rPr>
        <w:t>简称，为此</w:t>
      </w:r>
      <w:r>
        <w:rPr>
          <w:rFonts w:ascii="仿宋_GB2312" w:eastAsia="仿宋_GB2312" w:hAnsi="新宋体" w:hint="eastAsia"/>
          <w:spacing w:val="-4"/>
          <w:sz w:val="24"/>
        </w:rPr>
        <w:t>制定《上海证券交易所上市交易基金增加扩位证券简称市场参与者技术实施指南》，对市场参与者相关的技术实施提出建议</w:t>
      </w:r>
      <w:r>
        <w:rPr>
          <w:rFonts w:ascii="仿宋_GB2312" w:eastAsia="仿宋_GB2312" w:hAnsi="新宋体" w:hint="eastAsia"/>
          <w:spacing w:val="-4"/>
          <w:szCs w:val="21"/>
        </w:rPr>
        <w:t>。</w:t>
      </w:r>
      <w:bookmarkStart w:id="2" w:name="_Toc523132210"/>
    </w:p>
    <w:p w:rsidR="00377D80" w:rsidRDefault="00377D80" w:rsidP="00377D80">
      <w:pPr>
        <w:ind w:firstLine="492"/>
        <w:rPr>
          <w:rFonts w:ascii="新宋体" w:eastAsia="新宋体" w:hAnsi="新宋体"/>
          <w:spacing w:val="-4"/>
          <w:sz w:val="24"/>
          <w:szCs w:val="21"/>
        </w:rPr>
      </w:pPr>
    </w:p>
    <w:bookmarkEnd w:id="2"/>
    <w:p w:rsidR="00377D80" w:rsidRDefault="00377D80" w:rsidP="00377D80">
      <w:pPr>
        <w:pStyle w:val="1"/>
        <w:spacing w:before="175" w:after="175"/>
      </w:pPr>
      <w:r>
        <w:rPr>
          <w:rFonts w:hint="eastAsia"/>
        </w:rPr>
        <w:t>市场接口调整说明</w:t>
      </w:r>
    </w:p>
    <w:p w:rsidR="00377D80" w:rsidRDefault="00377D80" w:rsidP="00377D80">
      <w:pPr>
        <w:spacing w:line="360" w:lineRule="auto"/>
        <w:ind w:firstLine="510"/>
        <w:rPr>
          <w:rFonts w:ascii="仿宋_GB2312" w:eastAsia="仿宋_GB2312" w:hAnsi="新宋体"/>
          <w:spacing w:val="-4"/>
          <w:sz w:val="24"/>
        </w:rPr>
      </w:pPr>
      <w:r>
        <w:rPr>
          <w:rFonts w:ascii="仿宋_GB2312" w:eastAsia="仿宋_GB2312" w:hAnsi="新宋体" w:hint="eastAsia"/>
          <w:spacing w:val="-4"/>
          <w:sz w:val="24"/>
        </w:rPr>
        <w:t>本次新增基金</w:t>
      </w:r>
      <w:proofErr w:type="gramStart"/>
      <w:r>
        <w:rPr>
          <w:rFonts w:ascii="仿宋_GB2312" w:eastAsia="仿宋_GB2312" w:hAnsi="新宋体" w:hint="eastAsia"/>
          <w:spacing w:val="-4"/>
          <w:sz w:val="24"/>
        </w:rPr>
        <w:t>扩位证券</w:t>
      </w:r>
      <w:proofErr w:type="gramEnd"/>
      <w:r>
        <w:rPr>
          <w:rFonts w:ascii="仿宋_GB2312" w:eastAsia="仿宋_GB2312" w:hAnsi="新宋体" w:hint="eastAsia"/>
          <w:spacing w:val="-4"/>
          <w:sz w:val="24"/>
        </w:rPr>
        <w:t>简称不涉及接口变化，相关市场接口文件为第二版产品信息接口文件cpxx0201MMDD.txt、cpxx0202MMDD.txt ，对应接口规范说明为《IS</w:t>
      </w:r>
      <w:r>
        <w:rPr>
          <w:rFonts w:ascii="仿宋_GB2312" w:eastAsia="仿宋_GB2312" w:hAnsi="新宋体"/>
          <w:spacing w:val="-4"/>
          <w:sz w:val="24"/>
        </w:rPr>
        <w:t>101</w:t>
      </w:r>
      <w:r>
        <w:rPr>
          <w:rFonts w:ascii="仿宋_GB2312" w:eastAsia="仿宋_GB2312" w:hAnsi="新宋体" w:hint="eastAsia"/>
          <w:spacing w:val="-4"/>
          <w:sz w:val="24"/>
        </w:rPr>
        <w:t>上海证券交易所竞价撮合平台市场参与者接口规格说明书》</w:t>
      </w:r>
      <w:r>
        <w:rPr>
          <w:rFonts w:ascii="仿宋_GB2312" w:eastAsia="仿宋_GB2312" w:hAnsi="新宋体"/>
          <w:spacing w:val="-4"/>
          <w:sz w:val="24"/>
        </w:rPr>
        <w:t xml:space="preserve"> </w:t>
      </w:r>
      <w:r>
        <w:rPr>
          <w:rFonts w:ascii="仿宋_GB2312" w:eastAsia="仿宋_GB2312" w:hAnsi="新宋体" w:hint="eastAsia"/>
          <w:spacing w:val="-4"/>
          <w:sz w:val="24"/>
        </w:rPr>
        <w:t>。基金</w:t>
      </w:r>
      <w:proofErr w:type="gramStart"/>
      <w:r>
        <w:rPr>
          <w:rFonts w:ascii="仿宋_GB2312" w:eastAsia="仿宋_GB2312" w:hAnsi="新宋体" w:hint="eastAsia"/>
          <w:spacing w:val="-4"/>
          <w:sz w:val="24"/>
        </w:rPr>
        <w:t>扩位证券</w:t>
      </w:r>
      <w:proofErr w:type="gramEnd"/>
      <w:r>
        <w:rPr>
          <w:rFonts w:ascii="仿宋_GB2312" w:eastAsia="仿宋_GB2312" w:hAnsi="新宋体" w:hint="eastAsia"/>
          <w:spacing w:val="-4"/>
          <w:sz w:val="24"/>
        </w:rPr>
        <w:t>简称将存放于第二版产品信息“中文证券名称（长）”字段，目前该字段内容同“中文证券名称（短）”，后续</w:t>
      </w:r>
      <w:proofErr w:type="gramStart"/>
      <w:r>
        <w:rPr>
          <w:rFonts w:ascii="仿宋_GB2312" w:eastAsia="仿宋_GB2312" w:hAnsi="新宋体" w:hint="eastAsia"/>
          <w:spacing w:val="-4"/>
          <w:sz w:val="24"/>
        </w:rPr>
        <w:t>基金扩位简称</w:t>
      </w:r>
      <w:proofErr w:type="gramEnd"/>
      <w:r>
        <w:rPr>
          <w:rFonts w:ascii="仿宋_GB2312" w:eastAsia="仿宋_GB2312" w:hAnsi="新宋体" w:hint="eastAsia"/>
          <w:spacing w:val="-4"/>
          <w:sz w:val="24"/>
        </w:rPr>
        <w:t>正式上线后，该字段内容可能超过8个字节。</w:t>
      </w:r>
    </w:p>
    <w:tbl>
      <w:tblPr>
        <w:tblStyle w:val="a6"/>
        <w:tblW w:w="0" w:type="auto"/>
        <w:tblLook w:val="04A0"/>
      </w:tblPr>
      <w:tblGrid>
        <w:gridCol w:w="675"/>
        <w:gridCol w:w="2127"/>
        <w:gridCol w:w="2430"/>
        <w:gridCol w:w="688"/>
        <w:gridCol w:w="2800"/>
      </w:tblGrid>
      <w:tr w:rsidR="00377D80" w:rsidTr="00B47A1B">
        <w:tc>
          <w:tcPr>
            <w:tcW w:w="8720" w:type="dxa"/>
            <w:gridSpan w:val="5"/>
          </w:tcPr>
          <w:p w:rsidR="00377D80" w:rsidRDefault="00377D80" w:rsidP="00B47A1B">
            <w:pPr>
              <w:rPr>
                <w:rFonts w:ascii="仿宋_GB2312" w:eastAsia="仿宋_GB2312" w:hAnsi="新宋体"/>
                <w:spacing w:val="-4"/>
                <w:szCs w:val="21"/>
              </w:rPr>
            </w:pPr>
            <w:r>
              <w:rPr>
                <w:rFonts w:ascii="仿宋_GB2312" w:eastAsia="仿宋_GB2312" w:hAnsi="新宋体" w:hint="eastAsia"/>
                <w:spacing w:val="-4"/>
                <w:szCs w:val="21"/>
              </w:rPr>
              <w:t xml:space="preserve">第二版产品信息接口文件cpxx0201MMDD.txt、cpxx0202MMDD.txt </w:t>
            </w:r>
          </w:p>
        </w:tc>
      </w:tr>
      <w:tr w:rsidR="00377D80" w:rsidTr="00B47A1B">
        <w:tc>
          <w:tcPr>
            <w:tcW w:w="675" w:type="dxa"/>
          </w:tcPr>
          <w:p w:rsidR="00377D80" w:rsidRDefault="00377D80" w:rsidP="00B47A1B">
            <w:pPr>
              <w:rPr>
                <w:rFonts w:ascii="仿宋_GB2312" w:eastAsia="仿宋_GB2312"/>
              </w:rPr>
            </w:pPr>
            <w:r>
              <w:rPr>
                <w:rFonts w:ascii="仿宋_GB2312" w:eastAsia="仿宋_GB2312" w:hint="eastAsia"/>
              </w:rPr>
              <w:t>序号</w:t>
            </w:r>
          </w:p>
        </w:tc>
        <w:tc>
          <w:tcPr>
            <w:tcW w:w="2127" w:type="dxa"/>
          </w:tcPr>
          <w:p w:rsidR="00377D80" w:rsidRDefault="00377D80" w:rsidP="00B47A1B">
            <w:pPr>
              <w:rPr>
                <w:rFonts w:ascii="仿宋_GB2312" w:eastAsia="仿宋_GB2312" w:hAnsi="新宋体"/>
                <w:spacing w:val="-4"/>
                <w:szCs w:val="21"/>
              </w:rPr>
            </w:pPr>
            <w:r>
              <w:rPr>
                <w:rFonts w:ascii="仿宋_GB2312" w:eastAsia="仿宋_GB2312" w:hAnsi="新宋体" w:hint="eastAsia"/>
                <w:spacing w:val="-4"/>
                <w:szCs w:val="21"/>
              </w:rPr>
              <w:t>字段名称</w:t>
            </w:r>
          </w:p>
        </w:tc>
        <w:tc>
          <w:tcPr>
            <w:tcW w:w="2430" w:type="dxa"/>
          </w:tcPr>
          <w:p w:rsidR="00377D80" w:rsidRDefault="00377D80" w:rsidP="00B47A1B">
            <w:pPr>
              <w:rPr>
                <w:rFonts w:ascii="仿宋_GB2312" w:eastAsia="仿宋_GB2312" w:hAnsi="新宋体"/>
                <w:spacing w:val="-4"/>
                <w:szCs w:val="21"/>
              </w:rPr>
            </w:pPr>
            <w:r>
              <w:rPr>
                <w:rFonts w:ascii="仿宋_GB2312" w:eastAsia="仿宋_GB2312" w:hAnsi="新宋体" w:hint="eastAsia"/>
                <w:spacing w:val="-4"/>
                <w:szCs w:val="21"/>
              </w:rPr>
              <w:t>描述</w:t>
            </w:r>
          </w:p>
        </w:tc>
        <w:tc>
          <w:tcPr>
            <w:tcW w:w="688" w:type="dxa"/>
          </w:tcPr>
          <w:p w:rsidR="00377D80" w:rsidRDefault="00377D80" w:rsidP="00B47A1B">
            <w:pPr>
              <w:rPr>
                <w:rFonts w:ascii="仿宋_GB2312" w:eastAsia="仿宋_GB2312" w:hAnsi="新宋体"/>
                <w:spacing w:val="-4"/>
                <w:szCs w:val="21"/>
              </w:rPr>
            </w:pPr>
            <w:r>
              <w:rPr>
                <w:rFonts w:ascii="仿宋_GB2312" w:eastAsia="仿宋_GB2312" w:hAnsi="新宋体" w:hint="eastAsia"/>
                <w:spacing w:val="-4"/>
                <w:szCs w:val="21"/>
              </w:rPr>
              <w:t>类型</w:t>
            </w:r>
          </w:p>
        </w:tc>
        <w:tc>
          <w:tcPr>
            <w:tcW w:w="2800" w:type="dxa"/>
          </w:tcPr>
          <w:p w:rsidR="00377D80" w:rsidRDefault="00377D80" w:rsidP="00B47A1B">
            <w:pPr>
              <w:rPr>
                <w:rFonts w:ascii="仿宋_GB2312" w:eastAsia="仿宋_GB2312" w:hAnsi="新宋体"/>
                <w:spacing w:val="-4"/>
                <w:szCs w:val="21"/>
              </w:rPr>
            </w:pPr>
            <w:r>
              <w:rPr>
                <w:rFonts w:ascii="仿宋_GB2312" w:eastAsia="仿宋_GB2312" w:hAnsi="新宋体" w:hint="eastAsia"/>
                <w:spacing w:val="-4"/>
                <w:szCs w:val="21"/>
              </w:rPr>
              <w:t>说明</w:t>
            </w:r>
          </w:p>
        </w:tc>
      </w:tr>
      <w:tr w:rsidR="00377D80" w:rsidTr="00B47A1B">
        <w:tc>
          <w:tcPr>
            <w:tcW w:w="675" w:type="dxa"/>
          </w:tcPr>
          <w:p w:rsidR="00377D80" w:rsidRDefault="00377D80" w:rsidP="00B47A1B">
            <w:pPr>
              <w:jc w:val="right"/>
              <w:rPr>
                <w:rFonts w:ascii="仿宋_GB2312" w:eastAsia="仿宋_GB2312"/>
              </w:rPr>
            </w:pPr>
            <w:r>
              <w:rPr>
                <w:rFonts w:ascii="仿宋_GB2312" w:eastAsia="仿宋_GB2312"/>
              </w:rPr>
              <w:t>4</w:t>
            </w:r>
          </w:p>
        </w:tc>
        <w:tc>
          <w:tcPr>
            <w:tcW w:w="2127" w:type="dxa"/>
          </w:tcPr>
          <w:p w:rsidR="00377D80" w:rsidRDefault="00377D80" w:rsidP="00B47A1B">
            <w:pPr>
              <w:rPr>
                <w:rFonts w:ascii="仿宋_GB2312" w:eastAsia="仿宋_GB2312" w:hAnsi="新宋体"/>
                <w:spacing w:val="-4"/>
                <w:szCs w:val="21"/>
              </w:rPr>
            </w:pPr>
            <w:r>
              <w:rPr>
                <w:rFonts w:ascii="仿宋_GB2312" w:eastAsia="仿宋_GB2312" w:hAnsi="新宋体" w:hint="eastAsia"/>
                <w:spacing w:val="-4"/>
                <w:szCs w:val="21"/>
              </w:rPr>
              <w:t>中文证券名称（短）</w:t>
            </w:r>
          </w:p>
        </w:tc>
        <w:tc>
          <w:tcPr>
            <w:tcW w:w="2430" w:type="dxa"/>
          </w:tcPr>
          <w:p w:rsidR="00377D80" w:rsidRDefault="00377D80" w:rsidP="00B47A1B">
            <w:pPr>
              <w:rPr>
                <w:rFonts w:ascii="仿宋_GB2312" w:eastAsia="仿宋_GB2312" w:hAnsi="新宋体"/>
                <w:spacing w:val="-4"/>
                <w:szCs w:val="21"/>
              </w:rPr>
            </w:pPr>
            <w:r>
              <w:rPr>
                <w:rFonts w:ascii="仿宋_GB2312" w:eastAsia="仿宋_GB2312" w:hAnsi="新宋体" w:hint="eastAsia"/>
                <w:spacing w:val="-4"/>
                <w:szCs w:val="21"/>
              </w:rPr>
              <w:t>中文证券名称（短）</w:t>
            </w:r>
          </w:p>
        </w:tc>
        <w:tc>
          <w:tcPr>
            <w:tcW w:w="688" w:type="dxa"/>
          </w:tcPr>
          <w:p w:rsidR="00377D80" w:rsidRDefault="00377D80" w:rsidP="00B47A1B">
            <w:pPr>
              <w:rPr>
                <w:rFonts w:ascii="仿宋_GB2312" w:eastAsia="仿宋_GB2312" w:hAnsi="新宋体"/>
                <w:spacing w:val="-4"/>
                <w:szCs w:val="21"/>
              </w:rPr>
            </w:pPr>
            <w:r>
              <w:rPr>
                <w:rFonts w:ascii="仿宋_GB2312" w:eastAsia="仿宋_GB2312" w:hAnsi="新宋体" w:hint="eastAsia"/>
                <w:spacing w:val="-4"/>
                <w:szCs w:val="21"/>
              </w:rPr>
              <w:t>C</w:t>
            </w:r>
            <w:r>
              <w:rPr>
                <w:rFonts w:ascii="仿宋_GB2312" w:eastAsia="仿宋_GB2312" w:hAnsi="新宋体"/>
                <w:spacing w:val="-4"/>
                <w:szCs w:val="21"/>
              </w:rPr>
              <w:t>8</w:t>
            </w:r>
          </w:p>
        </w:tc>
        <w:tc>
          <w:tcPr>
            <w:tcW w:w="2800" w:type="dxa"/>
          </w:tcPr>
          <w:p w:rsidR="00377D80" w:rsidRDefault="00377D80" w:rsidP="00B47A1B">
            <w:pPr>
              <w:jc w:val="left"/>
              <w:rPr>
                <w:rFonts w:ascii="仿宋_GB2312" w:eastAsia="仿宋_GB2312" w:hAnsi="新宋体"/>
                <w:spacing w:val="-4"/>
                <w:szCs w:val="21"/>
              </w:rPr>
            </w:pPr>
            <w:r>
              <w:rPr>
                <w:rFonts w:ascii="仿宋_GB2312" w:eastAsia="仿宋_GB2312" w:hAnsi="新宋体" w:hint="eastAsia"/>
                <w:spacing w:val="-4"/>
                <w:szCs w:val="21"/>
              </w:rPr>
              <w:t>无变化</w:t>
            </w:r>
          </w:p>
        </w:tc>
      </w:tr>
      <w:tr w:rsidR="00377D80" w:rsidTr="00B47A1B">
        <w:tc>
          <w:tcPr>
            <w:tcW w:w="675" w:type="dxa"/>
          </w:tcPr>
          <w:p w:rsidR="00377D80" w:rsidRDefault="00377D80" w:rsidP="00B47A1B">
            <w:pPr>
              <w:jc w:val="right"/>
              <w:rPr>
                <w:rFonts w:ascii="仿宋_GB2312" w:eastAsia="仿宋_GB2312"/>
              </w:rPr>
            </w:pPr>
            <w:r>
              <w:rPr>
                <w:rFonts w:ascii="仿宋_GB2312" w:eastAsia="仿宋_GB2312" w:hint="eastAsia"/>
              </w:rPr>
              <w:t>32</w:t>
            </w:r>
          </w:p>
        </w:tc>
        <w:tc>
          <w:tcPr>
            <w:tcW w:w="2127" w:type="dxa"/>
          </w:tcPr>
          <w:p w:rsidR="00377D80" w:rsidRDefault="00377D80" w:rsidP="00B47A1B">
            <w:pPr>
              <w:rPr>
                <w:rFonts w:ascii="仿宋_GB2312" w:eastAsia="仿宋_GB2312" w:hAnsi="新宋体"/>
                <w:spacing w:val="-4"/>
                <w:szCs w:val="21"/>
              </w:rPr>
            </w:pPr>
            <w:r>
              <w:rPr>
                <w:rFonts w:ascii="仿宋_GB2312" w:eastAsia="仿宋_GB2312" w:hAnsi="新宋体" w:hint="eastAsia"/>
                <w:spacing w:val="-4"/>
                <w:szCs w:val="21"/>
              </w:rPr>
              <w:t>中文证券名称（长）</w:t>
            </w:r>
          </w:p>
        </w:tc>
        <w:tc>
          <w:tcPr>
            <w:tcW w:w="2430" w:type="dxa"/>
          </w:tcPr>
          <w:p w:rsidR="00377D80" w:rsidRDefault="00377D80" w:rsidP="00B47A1B">
            <w:pPr>
              <w:rPr>
                <w:rFonts w:ascii="仿宋_GB2312" w:eastAsia="仿宋_GB2312" w:hAnsi="新宋体"/>
                <w:spacing w:val="-4"/>
                <w:szCs w:val="21"/>
              </w:rPr>
            </w:pPr>
            <w:r>
              <w:rPr>
                <w:rFonts w:ascii="仿宋_GB2312" w:eastAsia="仿宋_GB2312" w:hAnsi="新宋体" w:hint="eastAsia"/>
                <w:spacing w:val="-4"/>
                <w:szCs w:val="21"/>
              </w:rPr>
              <w:t>中文证券名称（长）</w:t>
            </w:r>
          </w:p>
        </w:tc>
        <w:tc>
          <w:tcPr>
            <w:tcW w:w="688" w:type="dxa"/>
          </w:tcPr>
          <w:p w:rsidR="00377D80" w:rsidRDefault="00377D80" w:rsidP="00B47A1B">
            <w:pPr>
              <w:rPr>
                <w:rFonts w:ascii="仿宋_GB2312" w:eastAsia="仿宋_GB2312" w:hAnsi="新宋体"/>
                <w:spacing w:val="-4"/>
                <w:szCs w:val="21"/>
              </w:rPr>
            </w:pPr>
            <w:r>
              <w:rPr>
                <w:rFonts w:ascii="仿宋_GB2312" w:eastAsia="仿宋_GB2312" w:hAnsi="新宋体" w:hint="eastAsia"/>
                <w:spacing w:val="-4"/>
                <w:szCs w:val="21"/>
              </w:rPr>
              <w:t>C32</w:t>
            </w:r>
          </w:p>
        </w:tc>
        <w:tc>
          <w:tcPr>
            <w:tcW w:w="2800" w:type="dxa"/>
          </w:tcPr>
          <w:p w:rsidR="00377D80" w:rsidRDefault="00377D80" w:rsidP="00B47A1B">
            <w:pPr>
              <w:rPr>
                <w:rFonts w:ascii="仿宋_GB2312" w:eastAsia="仿宋_GB2312" w:hAnsi="新宋体"/>
                <w:spacing w:val="-4"/>
                <w:szCs w:val="21"/>
              </w:rPr>
            </w:pPr>
            <w:r>
              <w:rPr>
                <w:rFonts w:ascii="仿宋_GB2312" w:eastAsia="仿宋_GB2312" w:hAnsi="新宋体" w:hint="eastAsia"/>
                <w:spacing w:val="-4"/>
                <w:szCs w:val="21"/>
              </w:rPr>
              <w:t>新增基金扩展证券简称</w:t>
            </w:r>
          </w:p>
        </w:tc>
      </w:tr>
    </w:tbl>
    <w:p w:rsidR="00377D80" w:rsidRDefault="00377D80" w:rsidP="00377D80"/>
    <w:p w:rsidR="00377D80" w:rsidRDefault="00377D80" w:rsidP="00377D80">
      <w:pPr>
        <w:pStyle w:val="1"/>
        <w:spacing w:before="175" w:after="175"/>
      </w:pPr>
      <w:r>
        <w:rPr>
          <w:rFonts w:hint="eastAsia"/>
        </w:rPr>
        <w:t>市场端软件说明</w:t>
      </w:r>
    </w:p>
    <w:p w:rsidR="00377D80" w:rsidRDefault="00377D80" w:rsidP="00377D80">
      <w:pPr>
        <w:spacing w:line="360" w:lineRule="auto"/>
        <w:ind w:firstLine="492"/>
        <w:rPr>
          <w:rFonts w:ascii="仿宋_GB2312" w:eastAsia="仿宋_GB2312" w:hAnsi="新宋体"/>
          <w:spacing w:val="-4"/>
          <w:sz w:val="24"/>
        </w:rPr>
      </w:pPr>
      <w:r>
        <w:rPr>
          <w:rFonts w:ascii="仿宋_GB2312" w:eastAsia="仿宋_GB2312" w:hAnsi="新宋体" w:hint="eastAsia"/>
          <w:spacing w:val="-4"/>
          <w:sz w:val="24"/>
        </w:rPr>
        <w:t>本次新增基金</w:t>
      </w:r>
      <w:proofErr w:type="gramStart"/>
      <w:r>
        <w:rPr>
          <w:rFonts w:ascii="仿宋_GB2312" w:eastAsia="仿宋_GB2312" w:hAnsi="新宋体" w:hint="eastAsia"/>
          <w:spacing w:val="-4"/>
          <w:sz w:val="24"/>
        </w:rPr>
        <w:t>扩位证券</w:t>
      </w:r>
      <w:proofErr w:type="gramEnd"/>
      <w:r>
        <w:rPr>
          <w:rFonts w:ascii="仿宋_GB2312" w:eastAsia="仿宋_GB2312" w:hAnsi="新宋体" w:hint="eastAsia"/>
          <w:spacing w:val="-4"/>
          <w:sz w:val="24"/>
        </w:rPr>
        <w:t>简称相关业务涉及市场端软件相关信息如下：</w:t>
      </w:r>
    </w:p>
    <w:tbl>
      <w:tblPr>
        <w:tblW w:w="81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1"/>
        <w:gridCol w:w="1420"/>
        <w:gridCol w:w="1843"/>
        <w:gridCol w:w="3792"/>
      </w:tblGrid>
      <w:tr w:rsidR="00377D80" w:rsidTr="00B47A1B">
        <w:tc>
          <w:tcPr>
            <w:tcW w:w="1131" w:type="dxa"/>
          </w:tcPr>
          <w:p w:rsidR="00377D80" w:rsidRDefault="00377D80" w:rsidP="00B47A1B">
            <w:pPr>
              <w:rPr>
                <w:rFonts w:ascii="仿宋_GB2312" w:eastAsia="仿宋_GB2312" w:hAnsi="新宋体"/>
                <w:spacing w:val="-4"/>
                <w:szCs w:val="21"/>
              </w:rPr>
            </w:pPr>
            <w:r>
              <w:rPr>
                <w:rFonts w:ascii="仿宋_GB2312" w:eastAsia="仿宋_GB2312" w:hAnsi="新宋体" w:hint="eastAsia"/>
                <w:spacing w:val="-4"/>
                <w:szCs w:val="21"/>
              </w:rPr>
              <w:t>软件功能</w:t>
            </w:r>
          </w:p>
        </w:tc>
        <w:tc>
          <w:tcPr>
            <w:tcW w:w="1420" w:type="dxa"/>
          </w:tcPr>
          <w:p w:rsidR="00377D80" w:rsidRDefault="00377D80" w:rsidP="00B47A1B">
            <w:pPr>
              <w:rPr>
                <w:rFonts w:ascii="仿宋_GB2312" w:eastAsia="仿宋_GB2312" w:hAnsi="新宋体"/>
                <w:spacing w:val="-4"/>
                <w:szCs w:val="21"/>
              </w:rPr>
            </w:pPr>
            <w:r>
              <w:rPr>
                <w:rFonts w:ascii="仿宋_GB2312" w:eastAsia="仿宋_GB2312" w:hAnsi="新宋体" w:hint="eastAsia"/>
                <w:spacing w:val="-4"/>
                <w:szCs w:val="21"/>
              </w:rPr>
              <w:t>软件名称</w:t>
            </w:r>
          </w:p>
        </w:tc>
        <w:tc>
          <w:tcPr>
            <w:tcW w:w="1843" w:type="dxa"/>
          </w:tcPr>
          <w:p w:rsidR="00377D80" w:rsidRDefault="00377D80" w:rsidP="00B47A1B">
            <w:pPr>
              <w:rPr>
                <w:rFonts w:ascii="仿宋_GB2312" w:eastAsia="仿宋_GB2312" w:hAnsi="新宋体"/>
                <w:spacing w:val="-4"/>
                <w:szCs w:val="21"/>
              </w:rPr>
            </w:pPr>
            <w:r>
              <w:rPr>
                <w:rFonts w:ascii="仿宋_GB2312" w:eastAsia="仿宋_GB2312" w:hAnsi="新宋体" w:hint="eastAsia"/>
                <w:spacing w:val="-4"/>
                <w:szCs w:val="21"/>
              </w:rPr>
              <w:t>版本</w:t>
            </w:r>
          </w:p>
        </w:tc>
        <w:tc>
          <w:tcPr>
            <w:tcW w:w="3792" w:type="dxa"/>
            <w:shd w:val="clear" w:color="auto" w:fill="auto"/>
          </w:tcPr>
          <w:p w:rsidR="00377D80" w:rsidRDefault="00377D80" w:rsidP="00B47A1B">
            <w:pPr>
              <w:rPr>
                <w:rFonts w:ascii="仿宋_GB2312" w:eastAsia="仿宋_GB2312" w:hAnsi="新宋体"/>
                <w:spacing w:val="-4"/>
                <w:szCs w:val="21"/>
              </w:rPr>
            </w:pPr>
            <w:r>
              <w:rPr>
                <w:rFonts w:ascii="仿宋_GB2312" w:eastAsia="仿宋_GB2312" w:hAnsi="新宋体" w:hint="eastAsia"/>
                <w:spacing w:val="-4"/>
                <w:szCs w:val="21"/>
              </w:rPr>
              <w:t>备注</w:t>
            </w:r>
          </w:p>
        </w:tc>
      </w:tr>
      <w:tr w:rsidR="00377D80" w:rsidTr="00B47A1B">
        <w:tc>
          <w:tcPr>
            <w:tcW w:w="1131" w:type="dxa"/>
            <w:vMerge w:val="restart"/>
            <w:vAlign w:val="center"/>
          </w:tcPr>
          <w:p w:rsidR="00377D80" w:rsidRDefault="00377D80" w:rsidP="00B47A1B">
            <w:pPr>
              <w:rPr>
                <w:rFonts w:ascii="仿宋_GB2312" w:eastAsia="仿宋_GB2312" w:hAnsi="新宋体"/>
                <w:spacing w:val="-4"/>
                <w:szCs w:val="21"/>
              </w:rPr>
            </w:pPr>
            <w:r>
              <w:rPr>
                <w:rFonts w:ascii="仿宋_GB2312" w:eastAsia="仿宋_GB2312" w:hAnsi="新宋体" w:hint="eastAsia"/>
                <w:spacing w:val="-4"/>
                <w:szCs w:val="21"/>
              </w:rPr>
              <w:t>行情接收软件</w:t>
            </w:r>
          </w:p>
        </w:tc>
        <w:tc>
          <w:tcPr>
            <w:tcW w:w="1420" w:type="dxa"/>
          </w:tcPr>
          <w:p w:rsidR="00377D80" w:rsidRDefault="00377D80" w:rsidP="00B47A1B">
            <w:pPr>
              <w:rPr>
                <w:rFonts w:ascii="仿宋_GB2312" w:eastAsia="仿宋_GB2312" w:hAnsi="新宋体"/>
                <w:spacing w:val="-4"/>
                <w:szCs w:val="21"/>
              </w:rPr>
            </w:pPr>
            <w:proofErr w:type="gramStart"/>
            <w:r>
              <w:rPr>
                <w:rFonts w:ascii="仿宋_GB2312" w:eastAsia="仿宋_GB2312" w:hAnsi="新宋体" w:hint="eastAsia"/>
                <w:spacing w:val="-4"/>
                <w:szCs w:val="21"/>
              </w:rPr>
              <w:t>易神系统</w:t>
            </w:r>
            <w:proofErr w:type="gramEnd"/>
            <w:r>
              <w:rPr>
                <w:rFonts w:ascii="仿宋_GB2312" w:eastAsia="仿宋_GB2312" w:hAnsi="新宋体" w:hint="eastAsia"/>
                <w:spacing w:val="-4"/>
                <w:szCs w:val="21"/>
              </w:rPr>
              <w:t>行情接收客户端（</w:t>
            </w:r>
            <w:proofErr w:type="spellStart"/>
            <w:r>
              <w:rPr>
                <w:rFonts w:ascii="仿宋_GB2312" w:eastAsia="仿宋_GB2312" w:hAnsi="新宋体" w:hint="eastAsia"/>
                <w:spacing w:val="-4"/>
                <w:szCs w:val="21"/>
              </w:rPr>
              <w:t>EzSR</w:t>
            </w:r>
            <w:proofErr w:type="spellEnd"/>
            <w:r>
              <w:rPr>
                <w:rFonts w:ascii="仿宋_GB2312" w:eastAsia="仿宋_GB2312" w:hAnsi="新宋体" w:hint="eastAsia"/>
                <w:spacing w:val="-4"/>
                <w:szCs w:val="21"/>
              </w:rPr>
              <w:t>）</w:t>
            </w:r>
          </w:p>
        </w:tc>
        <w:tc>
          <w:tcPr>
            <w:tcW w:w="1843" w:type="dxa"/>
          </w:tcPr>
          <w:p w:rsidR="00377D80" w:rsidRDefault="00377D80" w:rsidP="00B47A1B">
            <w:pPr>
              <w:rPr>
                <w:rFonts w:ascii="仿宋_GB2312" w:eastAsia="仿宋_GB2312" w:hAnsi="新宋体"/>
                <w:spacing w:val="-4"/>
                <w:szCs w:val="21"/>
              </w:rPr>
            </w:pPr>
            <w:r>
              <w:rPr>
                <w:rFonts w:ascii="仿宋_GB2312" w:eastAsia="仿宋_GB2312" w:hAnsi="新宋体" w:hint="eastAsia"/>
                <w:spacing w:val="-4"/>
                <w:szCs w:val="21"/>
              </w:rPr>
              <w:t>2014版+已有配置（包括期权接口扩容配置、</w:t>
            </w:r>
            <w:proofErr w:type="gramStart"/>
            <w:r>
              <w:rPr>
                <w:rFonts w:ascii="仿宋_GB2312" w:eastAsia="仿宋_GB2312" w:hAnsi="新宋体" w:hint="eastAsia"/>
                <w:spacing w:val="-4"/>
                <w:szCs w:val="21"/>
              </w:rPr>
              <w:t>综业</w:t>
            </w:r>
            <w:proofErr w:type="gramEnd"/>
            <w:r>
              <w:rPr>
                <w:rFonts w:ascii="仿宋_GB2312" w:eastAsia="仿宋_GB2312" w:hAnsi="新宋体" w:hint="eastAsia"/>
                <w:spacing w:val="-4"/>
                <w:szCs w:val="21"/>
              </w:rPr>
              <w:t>FAST行情配置等）</w:t>
            </w:r>
          </w:p>
        </w:tc>
        <w:tc>
          <w:tcPr>
            <w:tcW w:w="3792" w:type="dxa"/>
            <w:shd w:val="clear" w:color="auto" w:fill="auto"/>
          </w:tcPr>
          <w:p w:rsidR="00377D80" w:rsidRDefault="00377D80" w:rsidP="00B47A1B">
            <w:pPr>
              <w:rPr>
                <w:rFonts w:ascii="仿宋_GB2312" w:eastAsia="仿宋_GB2312" w:hAnsi="新宋体"/>
                <w:spacing w:val="-4"/>
                <w:szCs w:val="21"/>
              </w:rPr>
            </w:pPr>
            <w:r>
              <w:rPr>
                <w:rFonts w:ascii="仿宋_GB2312" w:eastAsia="仿宋_GB2312" w:hAnsi="新宋体" w:hint="eastAsia"/>
                <w:spacing w:val="-4"/>
                <w:szCs w:val="21"/>
              </w:rPr>
              <w:t>http://www.sse.com.cn/services/tradingservice/tradingtech/download/c/SSE_EzSR_2014.rar</w:t>
            </w:r>
          </w:p>
          <w:p w:rsidR="00377D80" w:rsidRDefault="00377D80" w:rsidP="00B47A1B">
            <w:pPr>
              <w:rPr>
                <w:rFonts w:ascii="仿宋_GB2312" w:eastAsia="仿宋_GB2312" w:hAnsi="新宋体"/>
                <w:spacing w:val="-4"/>
                <w:szCs w:val="21"/>
              </w:rPr>
            </w:pPr>
            <w:r>
              <w:rPr>
                <w:rFonts w:ascii="仿宋_GB2312" w:eastAsia="仿宋_GB2312" w:hAnsi="新宋体" w:hint="eastAsia"/>
                <w:spacing w:val="-4"/>
                <w:szCs w:val="21"/>
              </w:rPr>
              <w:t>http://www.sse.com.cn/services/tradingservice/tradingtech/download/c/SSE_EzSR_Upgrade.zip</w:t>
            </w:r>
          </w:p>
          <w:p w:rsidR="00377D80" w:rsidRDefault="00377D80" w:rsidP="00B47A1B">
            <w:pPr>
              <w:rPr>
                <w:rFonts w:ascii="仿宋_GB2312" w:eastAsia="仿宋_GB2312" w:hAnsi="新宋体"/>
                <w:spacing w:val="-4"/>
                <w:szCs w:val="21"/>
              </w:rPr>
            </w:pPr>
            <w:r>
              <w:rPr>
                <w:rFonts w:ascii="仿宋_GB2312" w:eastAsia="仿宋_GB2312" w:hAnsi="新宋体" w:hint="eastAsia"/>
                <w:spacing w:val="-4"/>
                <w:szCs w:val="21"/>
              </w:rPr>
              <w:lastRenderedPageBreak/>
              <w:t>http://www.sse.com.cn/services/tradingservice/tradingtech/download/c/SSE_EzSR_FAST_Upgrade_20190604.zip</w:t>
            </w:r>
          </w:p>
        </w:tc>
      </w:tr>
      <w:tr w:rsidR="00377D80" w:rsidTr="00B47A1B">
        <w:tc>
          <w:tcPr>
            <w:tcW w:w="1131" w:type="dxa"/>
            <w:vMerge/>
          </w:tcPr>
          <w:p w:rsidR="00377D80" w:rsidRDefault="00377D80" w:rsidP="00B47A1B">
            <w:pPr>
              <w:rPr>
                <w:rFonts w:ascii="仿宋_GB2312" w:eastAsia="仿宋_GB2312" w:hAnsi="新宋体"/>
                <w:spacing w:val="-4"/>
                <w:szCs w:val="21"/>
              </w:rPr>
            </w:pPr>
          </w:p>
        </w:tc>
        <w:tc>
          <w:tcPr>
            <w:tcW w:w="1420" w:type="dxa"/>
          </w:tcPr>
          <w:p w:rsidR="00377D80" w:rsidRDefault="00377D80" w:rsidP="00B47A1B">
            <w:pPr>
              <w:rPr>
                <w:rFonts w:ascii="仿宋_GB2312" w:eastAsia="仿宋_GB2312" w:hAnsi="新宋体"/>
                <w:spacing w:val="-4"/>
                <w:szCs w:val="21"/>
              </w:rPr>
            </w:pPr>
            <w:r>
              <w:rPr>
                <w:rFonts w:ascii="仿宋_GB2312" w:eastAsia="仿宋_GB2312" w:hAnsi="新宋体" w:hint="eastAsia"/>
                <w:spacing w:val="-4"/>
                <w:szCs w:val="21"/>
              </w:rPr>
              <w:t>行情网关软件（MDGW）</w:t>
            </w:r>
          </w:p>
        </w:tc>
        <w:tc>
          <w:tcPr>
            <w:tcW w:w="1843" w:type="dxa"/>
          </w:tcPr>
          <w:p w:rsidR="00377D80" w:rsidRDefault="00377D80" w:rsidP="00B47A1B">
            <w:pPr>
              <w:rPr>
                <w:rFonts w:ascii="仿宋_GB2312" w:eastAsia="仿宋_GB2312" w:hAnsi="新宋体"/>
                <w:spacing w:val="-4"/>
                <w:szCs w:val="21"/>
              </w:rPr>
            </w:pPr>
            <w:r>
              <w:rPr>
                <w:rFonts w:ascii="仿宋_GB2312" w:eastAsia="仿宋_GB2312" w:hAnsi="新宋体" w:hint="eastAsia"/>
                <w:spacing w:val="-4"/>
                <w:szCs w:val="21"/>
              </w:rPr>
              <w:t>0.4.1版（推荐）</w:t>
            </w:r>
          </w:p>
          <w:p w:rsidR="00377D80" w:rsidRDefault="00377D80" w:rsidP="00B47A1B">
            <w:pPr>
              <w:rPr>
                <w:rFonts w:ascii="仿宋_GB2312" w:eastAsia="仿宋_GB2312" w:hAnsi="新宋体"/>
                <w:spacing w:val="-4"/>
                <w:szCs w:val="21"/>
              </w:rPr>
            </w:pPr>
            <w:r>
              <w:rPr>
                <w:rFonts w:ascii="仿宋_GB2312" w:eastAsia="仿宋_GB2312" w:hAnsi="新宋体" w:hint="eastAsia"/>
                <w:spacing w:val="-4"/>
                <w:szCs w:val="21"/>
              </w:rPr>
              <w:t>0.3.8版</w:t>
            </w:r>
          </w:p>
        </w:tc>
        <w:tc>
          <w:tcPr>
            <w:tcW w:w="3792" w:type="dxa"/>
            <w:shd w:val="clear" w:color="auto" w:fill="auto"/>
          </w:tcPr>
          <w:p w:rsidR="00377D80" w:rsidRDefault="00377D80" w:rsidP="00B47A1B">
            <w:pPr>
              <w:rPr>
                <w:rFonts w:ascii="仿宋_GB2312" w:eastAsia="仿宋_GB2312" w:hAnsi="新宋体"/>
                <w:spacing w:val="-4"/>
                <w:szCs w:val="21"/>
              </w:rPr>
            </w:pPr>
            <w:r>
              <w:rPr>
                <w:rFonts w:ascii="仿宋_GB2312" w:eastAsia="仿宋_GB2312" w:hAnsi="新宋体" w:hint="eastAsia"/>
                <w:spacing w:val="-4"/>
                <w:szCs w:val="21"/>
              </w:rPr>
              <w:t>http://www.sse.com.cn/services/tradingservice/tradingtech/download/c/SSE_MDGW_0.4.1.rar</w:t>
            </w:r>
          </w:p>
          <w:p w:rsidR="00377D80" w:rsidRDefault="00377D80" w:rsidP="00B47A1B">
            <w:pPr>
              <w:rPr>
                <w:rFonts w:ascii="仿宋_GB2312" w:eastAsia="仿宋_GB2312" w:hAnsi="新宋体"/>
                <w:spacing w:val="-4"/>
                <w:szCs w:val="21"/>
              </w:rPr>
            </w:pPr>
            <w:r>
              <w:rPr>
                <w:rFonts w:ascii="仿宋_GB2312" w:eastAsia="仿宋_GB2312" w:hAnsi="新宋体" w:hint="eastAsia"/>
                <w:spacing w:val="-4"/>
                <w:szCs w:val="21"/>
              </w:rPr>
              <w:t>http://www.sse.com.cn/services/tradingservice/tradingtech/download/c/SSE_MDGW_0.3.8.rar</w:t>
            </w:r>
          </w:p>
        </w:tc>
      </w:tr>
    </w:tbl>
    <w:p w:rsidR="00377D80" w:rsidRDefault="00377D80" w:rsidP="00377D80">
      <w:pPr>
        <w:ind w:firstLine="508"/>
      </w:pPr>
    </w:p>
    <w:p w:rsidR="00377D80" w:rsidRDefault="00377D80" w:rsidP="00377D80">
      <w:pPr>
        <w:pStyle w:val="1"/>
        <w:spacing w:before="175" w:after="175"/>
      </w:pPr>
      <w:bookmarkStart w:id="3" w:name="_Toc364500069"/>
      <w:bookmarkStart w:id="4" w:name="_Toc417895048"/>
      <w:bookmarkStart w:id="5" w:name="_Toc351529835"/>
      <w:r>
        <w:rPr>
          <w:rFonts w:hint="eastAsia"/>
        </w:rPr>
        <w:t>市场参与者技术实施建议</w:t>
      </w:r>
      <w:bookmarkEnd w:id="3"/>
      <w:bookmarkEnd w:id="4"/>
    </w:p>
    <w:p w:rsidR="00377D80" w:rsidRDefault="00377D80" w:rsidP="00377D80">
      <w:pPr>
        <w:spacing w:line="360" w:lineRule="auto"/>
        <w:ind w:firstLineChars="200" w:firstLine="508"/>
        <w:jc w:val="left"/>
        <w:rPr>
          <w:rFonts w:ascii="仿宋_GB2312" w:eastAsia="仿宋_GB2312" w:hAnsi="宋体"/>
          <w:sz w:val="24"/>
          <w:lang w:val="en-GB"/>
        </w:rPr>
      </w:pPr>
      <w:r>
        <w:rPr>
          <w:rFonts w:ascii="仿宋_GB2312" w:eastAsia="仿宋_GB2312" w:hAnsi="宋体" w:hint="eastAsia"/>
          <w:sz w:val="24"/>
        </w:rPr>
        <w:t>市场参与者</w:t>
      </w:r>
      <w:r>
        <w:rPr>
          <w:rFonts w:ascii="仿宋_GB2312" w:eastAsia="仿宋_GB2312" w:hAnsi="宋体" w:hint="eastAsia"/>
          <w:sz w:val="24"/>
          <w:lang w:val="en-GB"/>
        </w:rPr>
        <w:t>应根据</w:t>
      </w:r>
      <w:r>
        <w:rPr>
          <w:rFonts w:ascii="仿宋_GB2312" w:eastAsia="仿宋_GB2312" w:hAnsi="宋体" w:hint="eastAsia"/>
          <w:sz w:val="24"/>
        </w:rPr>
        <w:t>《关于上交所上市交易基金增加扩位证券简称相关事项的通知》</w:t>
      </w:r>
      <w:r>
        <w:rPr>
          <w:rFonts w:ascii="仿宋_GB2312" w:eastAsia="仿宋_GB2312" w:hAnsi="宋体" w:hint="eastAsia"/>
          <w:sz w:val="24"/>
          <w:lang w:val="en-GB"/>
        </w:rPr>
        <w:t>，在保证现有上交所股票、债券、基金、期权等各类业务正常运行的基础上，提供基金</w:t>
      </w:r>
      <w:proofErr w:type="gramStart"/>
      <w:r>
        <w:rPr>
          <w:rFonts w:ascii="仿宋_GB2312" w:eastAsia="仿宋_GB2312" w:hAnsi="宋体" w:hint="eastAsia"/>
          <w:sz w:val="24"/>
          <w:lang w:val="en-GB"/>
        </w:rPr>
        <w:t>扩位证券</w:t>
      </w:r>
      <w:proofErr w:type="gramEnd"/>
      <w:r>
        <w:rPr>
          <w:rFonts w:ascii="仿宋_GB2312" w:eastAsia="仿宋_GB2312" w:hAnsi="宋体" w:hint="eastAsia"/>
          <w:sz w:val="24"/>
          <w:lang w:val="en-GB"/>
        </w:rPr>
        <w:t>简称的展示、搜索等功能。</w:t>
      </w:r>
    </w:p>
    <w:p w:rsidR="00377D80" w:rsidRDefault="00377D80" w:rsidP="00377D80">
      <w:pPr>
        <w:spacing w:line="360" w:lineRule="auto"/>
        <w:ind w:firstLineChars="200" w:firstLine="508"/>
        <w:jc w:val="left"/>
        <w:rPr>
          <w:rFonts w:ascii="仿宋_GB2312" w:eastAsia="仿宋_GB2312"/>
          <w:sz w:val="24"/>
        </w:rPr>
      </w:pPr>
      <w:r>
        <w:rPr>
          <w:rFonts w:ascii="仿宋_GB2312" w:eastAsia="仿宋_GB2312" w:hint="eastAsia"/>
          <w:sz w:val="24"/>
        </w:rPr>
        <w:t>1） “中文证券名称（长）”为主用名称。建议交易及行情等大多数界面展示“中文证券名称（长）”。所有搜索功能应同时支持“中文证券名称（长）”和“中文证券名称（短）”的模糊搜索。</w:t>
      </w:r>
    </w:p>
    <w:p w:rsidR="00377D80" w:rsidRDefault="00377D80" w:rsidP="00377D80">
      <w:pPr>
        <w:spacing w:line="360" w:lineRule="auto"/>
        <w:ind w:firstLineChars="200" w:firstLine="508"/>
        <w:rPr>
          <w:rFonts w:ascii="仿宋_GB2312" w:eastAsia="仿宋_GB2312"/>
          <w:sz w:val="24"/>
        </w:rPr>
      </w:pPr>
      <w:r>
        <w:rPr>
          <w:rFonts w:ascii="仿宋_GB2312" w:eastAsia="仿宋_GB2312" w:hint="eastAsia"/>
          <w:sz w:val="24"/>
        </w:rPr>
        <w:t>2） 特殊标记如上市首日N，除权XR, 除息XD等，目前在“中文证券名称（长）”上暂未实现。建议展示中直接使用“中文证券名称（长）”即可，不做任何改动。如考虑到用户习惯，希望保留特殊标记，对于当日有特殊标记的基金，可从“中文证券名称（短）”中提取特殊标记加在“中文证券名称（长）”前面，形成新的“中文证券名称（长）”展示。不建议使用其他加工方式。</w:t>
      </w:r>
      <w:bookmarkEnd w:id="5"/>
    </w:p>
    <w:p w:rsidR="00377D80" w:rsidRDefault="00377D80" w:rsidP="00377D80">
      <w:pPr>
        <w:spacing w:line="360" w:lineRule="auto"/>
        <w:ind w:firstLineChars="200" w:firstLine="508"/>
        <w:rPr>
          <w:rFonts w:ascii="仿宋_GB2312" w:eastAsia="仿宋_GB2312"/>
          <w:sz w:val="24"/>
        </w:rPr>
      </w:pPr>
    </w:p>
    <w:p w:rsidR="00377D80" w:rsidRDefault="00377D80" w:rsidP="00377D80">
      <w:pPr>
        <w:pStyle w:val="1"/>
        <w:spacing w:before="175" w:after="175"/>
      </w:pPr>
      <w:bookmarkStart w:id="6" w:name="_Toc523132213"/>
      <w:r>
        <w:rPr>
          <w:rFonts w:hint="eastAsia"/>
        </w:rPr>
        <w:t>相关技术文档</w:t>
      </w:r>
      <w:bookmarkEnd w:id="6"/>
    </w:p>
    <w:p w:rsidR="00377D80" w:rsidRDefault="00377D80" w:rsidP="00377D80">
      <w:pPr>
        <w:spacing w:line="360" w:lineRule="auto"/>
        <w:ind w:firstLineChars="200" w:firstLine="492"/>
        <w:rPr>
          <w:rFonts w:ascii="仿宋_GB2312" w:eastAsia="仿宋_GB2312" w:hAnsi="新宋体"/>
          <w:spacing w:val="-4"/>
          <w:sz w:val="24"/>
        </w:rPr>
      </w:pPr>
      <w:r>
        <w:rPr>
          <w:rFonts w:ascii="仿宋_GB2312" w:eastAsia="仿宋_GB2312" w:hAnsi="新宋体" w:hint="eastAsia"/>
          <w:spacing w:val="-4"/>
          <w:sz w:val="24"/>
        </w:rPr>
        <w:t>本次新增基金</w:t>
      </w:r>
      <w:proofErr w:type="gramStart"/>
      <w:r>
        <w:rPr>
          <w:rFonts w:ascii="仿宋_GB2312" w:eastAsia="仿宋_GB2312" w:hAnsi="新宋体" w:hint="eastAsia"/>
          <w:spacing w:val="-4"/>
          <w:sz w:val="24"/>
        </w:rPr>
        <w:t>扩位证券</w:t>
      </w:r>
      <w:proofErr w:type="gramEnd"/>
      <w:r>
        <w:rPr>
          <w:rFonts w:ascii="仿宋_GB2312" w:eastAsia="仿宋_GB2312" w:hAnsi="新宋体" w:hint="eastAsia"/>
          <w:spacing w:val="-4"/>
          <w:sz w:val="24"/>
        </w:rPr>
        <w:t>简称未涉及市场接口规格变化，相关技术文档无变更。</w:t>
      </w:r>
    </w:p>
    <w:p w:rsidR="00377D80" w:rsidRDefault="00377D80" w:rsidP="00377D80">
      <w:pPr>
        <w:spacing w:line="360" w:lineRule="auto"/>
        <w:ind w:firstLineChars="200" w:firstLine="492"/>
        <w:rPr>
          <w:rFonts w:ascii="仿宋_GB2312" w:eastAsia="仿宋_GB2312" w:hAnsi="新宋体"/>
          <w:spacing w:val="-4"/>
          <w:sz w:val="24"/>
        </w:rPr>
      </w:pPr>
      <w:r>
        <w:rPr>
          <w:rFonts w:ascii="仿宋_GB2312" w:eastAsia="仿宋_GB2312" w:hAnsi="新宋体" w:hint="eastAsia"/>
          <w:spacing w:val="-4"/>
          <w:sz w:val="24"/>
        </w:rPr>
        <w:t>本所最新技术文档详见上交所网站交易技术支持专区：</w:t>
      </w:r>
    </w:p>
    <w:p w:rsidR="00377D80" w:rsidRDefault="00377D80" w:rsidP="00377D80">
      <w:pPr>
        <w:spacing w:line="360" w:lineRule="auto"/>
        <w:ind w:firstLineChars="200" w:firstLine="492"/>
        <w:rPr>
          <w:rFonts w:ascii="仿宋_GB2312" w:eastAsia="仿宋_GB2312" w:hAnsi="新宋体"/>
          <w:spacing w:val="-4"/>
          <w:sz w:val="24"/>
        </w:rPr>
      </w:pPr>
      <w:r>
        <w:rPr>
          <w:rFonts w:ascii="仿宋_GB2312" w:eastAsia="仿宋_GB2312" w:hAnsi="新宋体" w:hint="eastAsia"/>
          <w:spacing w:val="-4"/>
          <w:sz w:val="24"/>
        </w:rPr>
        <w:t>IS101上海证券交易所竞价撮合平台市场参与者接口规格说明书</w:t>
      </w:r>
    </w:p>
    <w:p w:rsidR="00377D80" w:rsidRDefault="00377D80" w:rsidP="00377D80">
      <w:pPr>
        <w:spacing w:line="360" w:lineRule="auto"/>
        <w:ind w:firstLineChars="200" w:firstLine="492"/>
        <w:rPr>
          <w:rFonts w:ascii="仿宋_GB2312" w:eastAsia="仿宋_GB2312" w:hAnsi="新宋体"/>
          <w:spacing w:val="-4"/>
          <w:sz w:val="24"/>
        </w:rPr>
      </w:pPr>
      <w:r>
        <w:rPr>
          <w:rFonts w:ascii="仿宋_GB2312" w:eastAsia="仿宋_GB2312" w:hAnsi="新宋体" w:hint="eastAsia"/>
          <w:spacing w:val="-4"/>
          <w:sz w:val="24"/>
        </w:rPr>
        <w:lastRenderedPageBreak/>
        <w:t>IS111 上海证券交易所报盘软件错误代码表</w:t>
      </w:r>
    </w:p>
    <w:p w:rsidR="00377D80" w:rsidRDefault="00377D80" w:rsidP="00377D80">
      <w:pPr>
        <w:spacing w:line="360" w:lineRule="auto"/>
        <w:ind w:firstLineChars="200" w:firstLine="492"/>
        <w:rPr>
          <w:rFonts w:ascii="仿宋_GB2312" w:eastAsia="仿宋_GB2312" w:hAnsi="新宋体"/>
          <w:spacing w:val="-4"/>
          <w:sz w:val="24"/>
        </w:rPr>
      </w:pPr>
      <w:r>
        <w:rPr>
          <w:rFonts w:ascii="仿宋_GB2312" w:eastAsia="仿宋_GB2312" w:hAnsi="新宋体" w:hint="eastAsia"/>
          <w:spacing w:val="-4"/>
          <w:sz w:val="24"/>
        </w:rPr>
        <w:t>IS120 上海证券交易所行情网关BINARY数据接口规范</w:t>
      </w:r>
    </w:p>
    <w:p w:rsidR="00377D80" w:rsidRDefault="00377D80" w:rsidP="00377D80">
      <w:pPr>
        <w:spacing w:line="360" w:lineRule="auto"/>
        <w:ind w:firstLineChars="200" w:firstLine="492"/>
        <w:rPr>
          <w:rFonts w:ascii="仿宋_GB2312" w:eastAsia="仿宋_GB2312" w:hAnsi="新宋体"/>
          <w:spacing w:val="-4"/>
          <w:sz w:val="24"/>
        </w:rPr>
      </w:pPr>
      <w:r>
        <w:rPr>
          <w:rFonts w:ascii="仿宋_GB2312" w:eastAsia="仿宋_GB2312" w:hAnsi="新宋体" w:hint="eastAsia"/>
          <w:spacing w:val="-4"/>
          <w:sz w:val="24"/>
        </w:rPr>
        <w:t>IS120 上海证券交易所行情网关STEP数据接口规范</w:t>
      </w:r>
    </w:p>
    <w:p w:rsidR="00377D80" w:rsidRDefault="00377D80" w:rsidP="00377D80">
      <w:pPr>
        <w:spacing w:line="360" w:lineRule="auto"/>
        <w:ind w:firstLineChars="200" w:firstLine="448"/>
      </w:pPr>
    </w:p>
    <w:p w:rsidR="00297272" w:rsidRDefault="00297272"/>
    <w:sectPr w:rsidR="00297272" w:rsidSect="00C862D2">
      <w:headerReference w:type="even" r:id="rId9"/>
      <w:headerReference w:type="default" r:id="rId10"/>
      <w:footerReference w:type="default" r:id="rId11"/>
      <w:pgSz w:w="11906" w:h="16838"/>
      <w:pgMar w:top="1418" w:right="1701" w:bottom="1418" w:left="1701" w:header="851" w:footer="851" w:gutter="0"/>
      <w:cols w:space="425"/>
      <w:titlePg/>
      <w:docGrid w:type="linesAndChars" w:linePitch="350" w:charSpace="282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D2" w:rsidRDefault="00377D80">
    <w:pPr>
      <w:pStyle w:val="a4"/>
      <w:tabs>
        <w:tab w:val="center" w:pos="4700"/>
        <w:tab w:val="right" w:pos="9600"/>
      </w:tabs>
      <w:ind w:firstLine="360"/>
      <w:rPr>
        <w:rStyle w:val="a7"/>
        <w:rFonts w:ascii="宋体"/>
      </w:rPr>
    </w:pPr>
    <w:r>
      <w:sym w:font="Symbol" w:char="F0D3"/>
    </w:r>
    <w:r>
      <w:rPr>
        <w:rFonts w:hint="eastAsia"/>
      </w:rPr>
      <w:t>上海证券交易所</w:t>
    </w:r>
    <w:r>
      <w:tab/>
      <w:t xml:space="preserve">                  </w:t>
    </w:r>
    <w:r>
      <w:tab/>
    </w:r>
    <w:r>
      <w:rPr>
        <w:rFonts w:hint="eastAsia"/>
      </w:rPr>
      <w:t>第</w:t>
    </w: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r>
      <w:rPr>
        <w:rStyle w:val="a7"/>
        <w:rFonts w:ascii="宋体" w:hAnsi="宋体" w:hint="eastAsia"/>
      </w:rPr>
      <w:t>页</w:t>
    </w:r>
    <w:r>
      <w:rPr>
        <w:rStyle w:val="a7"/>
        <w:rFonts w:ascii="宋体" w:hAnsi="宋体"/>
      </w:rPr>
      <w:t xml:space="preserve"> </w:t>
    </w:r>
    <w:r>
      <w:rPr>
        <w:rStyle w:val="a7"/>
        <w:rFonts w:ascii="宋体" w:hAnsi="宋体" w:hint="eastAsia"/>
      </w:rPr>
      <w:t>共</w:t>
    </w:r>
    <w:r>
      <w:rPr>
        <w:rStyle w:val="a7"/>
      </w:rPr>
      <w:fldChar w:fldCharType="begin"/>
    </w:r>
    <w:r>
      <w:rPr>
        <w:rStyle w:val="a7"/>
      </w:rPr>
      <w:instrText xml:space="preserve"> NUMPAGES </w:instrText>
    </w:r>
    <w:r>
      <w:rPr>
        <w:rStyle w:val="a7"/>
      </w:rPr>
      <w:fldChar w:fldCharType="separate"/>
    </w:r>
    <w:r>
      <w:rPr>
        <w:rStyle w:val="a7"/>
        <w:noProof/>
      </w:rPr>
      <w:t>5</w:t>
    </w:r>
    <w:r>
      <w:rPr>
        <w:rStyle w:val="a7"/>
      </w:rPr>
      <w:fldChar w:fldCharType="end"/>
    </w:r>
    <w:r>
      <w:rPr>
        <w:rStyle w:val="a7"/>
        <w:rFonts w:ascii="宋体" w:hAnsi="宋体" w:hint="eastAsia"/>
      </w:rPr>
      <w:t>页</w:t>
    </w:r>
  </w:p>
  <w:p w:rsidR="00C862D2" w:rsidRDefault="00377D80">
    <w:pPr>
      <w:pStyle w:val="a4"/>
      <w:ind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D2" w:rsidRDefault="00377D80">
    <w:pPr>
      <w:pStyle w:val="a5"/>
      <w:ind w:firstLine="360"/>
    </w:pPr>
    <w:r>
      <w:rPr>
        <w:rStyle w:val="a7"/>
      </w:rPr>
      <w:fldChar w:fldCharType="begin"/>
    </w:r>
    <w:r>
      <w:rPr>
        <w:rStyle w:val="a7"/>
      </w:rPr>
      <w:instrText xml:space="preserve"> NUMPAGES </w:instrText>
    </w:r>
    <w:r>
      <w:rPr>
        <w:rStyle w:val="a7"/>
      </w:rPr>
      <w:fldChar w:fldCharType="separate"/>
    </w:r>
    <w:r>
      <w:rPr>
        <w:rStyle w:val="a7"/>
      </w:rPr>
      <w:t>9</w:t>
    </w:r>
    <w:r>
      <w:rPr>
        <w:rStyle w:val="a7"/>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D2" w:rsidRDefault="00377D80">
    <w:pPr>
      <w:pStyle w:val="a5"/>
      <w:pBdr>
        <w:bottom w:val="single" w:sz="6" w:space="3" w:color="auto"/>
      </w:pBdr>
      <w:tabs>
        <w:tab w:val="clear" w:pos="4153"/>
        <w:tab w:val="right" w:pos="9600"/>
      </w:tabs>
      <w:ind w:right="-1" w:firstLine="360"/>
      <w:jc w:val="both"/>
      <w:rPr>
        <w:sz w:val="21"/>
        <w:szCs w:val="21"/>
      </w:rPr>
    </w:pPr>
    <w:r>
      <w:rPr>
        <w:noProof/>
      </w:rPr>
      <w:drawing>
        <wp:anchor distT="0" distB="0" distL="114300" distR="114300" simplePos="0" relativeHeight="251659264" behindDoc="0" locked="0" layoutInCell="1" allowOverlap="1">
          <wp:simplePos x="0" y="0"/>
          <wp:positionH relativeFrom="column">
            <wp:posOffset>-635</wp:posOffset>
          </wp:positionH>
          <wp:positionV relativeFrom="paragraph">
            <wp:posOffset>-34290</wp:posOffset>
          </wp:positionV>
          <wp:extent cx="1443355" cy="236855"/>
          <wp:effectExtent l="19050" t="0" r="4445" b="0"/>
          <wp:wrapNone/>
          <wp:docPr id="1" name="图片 8" descr="Sse_Log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Sse_Logo_l"/>
                  <pic:cNvPicPr>
                    <a:picLocks noChangeAspect="1" noChangeArrowheads="1"/>
                  </pic:cNvPicPr>
                </pic:nvPicPr>
                <pic:blipFill>
                  <a:blip r:embed="rId1"/>
                  <a:srcRect/>
                  <a:stretch>
                    <a:fillRect/>
                  </a:stretch>
                </pic:blipFill>
                <pic:spPr>
                  <a:xfrm>
                    <a:off x="0" y="0"/>
                    <a:ext cx="1443355" cy="236855"/>
                  </a:xfrm>
                  <a:prstGeom prst="rect">
                    <a:avLst/>
                  </a:prstGeom>
                  <a:noFill/>
                  <a:ln w="9525">
                    <a:noFill/>
                    <a:miter lim="800000"/>
                    <a:headEnd/>
                    <a:tailEnd/>
                  </a:ln>
                </pic:spPr>
              </pic:pic>
            </a:graphicData>
          </a:graphic>
        </wp:anchor>
      </w:drawing>
    </w:r>
    <w:r>
      <w:rPr>
        <w:sz w:val="21"/>
        <w:szCs w:val="21"/>
      </w:rPr>
      <w:tab/>
    </w:r>
    <w:r>
      <w:rPr>
        <w:rFonts w:hint="eastAsia"/>
        <w:sz w:val="21"/>
        <w:szCs w:val="21"/>
      </w:rPr>
      <w:t>技术文档</w:t>
    </w:r>
  </w:p>
  <w:p w:rsidR="00C862D2" w:rsidRDefault="00377D80">
    <w:pPr>
      <w:pStyle w:val="a5"/>
      <w:pBdr>
        <w:bottom w:val="single" w:sz="6" w:space="3" w:color="auto"/>
      </w:pBdr>
      <w:tabs>
        <w:tab w:val="center" w:pos="4700"/>
        <w:tab w:val="right" w:pos="9600"/>
      </w:tabs>
      <w:ind w:right="-1" w:firstLine="420"/>
      <w:jc w:val="both"/>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45FD2"/>
    <w:multiLevelType w:val="multilevel"/>
    <w:tmpl w:val="6C345FD2"/>
    <w:lvl w:ilvl="0">
      <w:start w:val="1"/>
      <w:numFmt w:val="decimal"/>
      <w:pStyle w:val="1"/>
      <w:lvlText w:val="%1"/>
      <w:lvlJc w:val="left"/>
      <w:pPr>
        <w:tabs>
          <w:tab w:val="left" w:pos="432"/>
        </w:tabs>
        <w:ind w:left="432" w:hanging="432"/>
      </w:pPr>
      <w:rPr>
        <w:rFonts w:cs="Times New Roman" w:hint="eastAsia"/>
      </w:rPr>
    </w:lvl>
    <w:lvl w:ilvl="1">
      <w:start w:val="1"/>
      <w:numFmt w:val="decimal"/>
      <w:pStyle w:val="2"/>
      <w:lvlText w:val="%1.%2"/>
      <w:lvlJc w:val="left"/>
      <w:pPr>
        <w:tabs>
          <w:tab w:val="left" w:pos="2277"/>
        </w:tabs>
        <w:ind w:left="2277" w:hanging="576"/>
      </w:pPr>
      <w:rPr>
        <w:rFonts w:cs="Times New Roman" w:hint="eastAsia"/>
      </w:rPr>
    </w:lvl>
    <w:lvl w:ilvl="2">
      <w:start w:val="1"/>
      <w:numFmt w:val="decimal"/>
      <w:pStyle w:val="3"/>
      <w:lvlText w:val="%1.%2.%3"/>
      <w:lvlJc w:val="left"/>
      <w:pPr>
        <w:tabs>
          <w:tab w:val="left" w:pos="3839"/>
        </w:tabs>
        <w:ind w:left="3839" w:hanging="720"/>
      </w:pPr>
      <w:rPr>
        <w:rFonts w:cs="Times New Roman" w:hint="eastAsia"/>
      </w:rPr>
    </w:lvl>
    <w:lvl w:ilvl="3">
      <w:start w:val="1"/>
      <w:numFmt w:val="decimal"/>
      <w:pStyle w:val="4"/>
      <w:lvlText w:val="%1.%2.%3.%4"/>
      <w:lvlJc w:val="left"/>
      <w:pPr>
        <w:tabs>
          <w:tab w:val="left" w:pos="864"/>
        </w:tabs>
        <w:ind w:left="864" w:hanging="864"/>
      </w:pPr>
      <w:rPr>
        <w:rFonts w:cs="Times New Roman" w:hint="eastAsia"/>
      </w:rPr>
    </w:lvl>
    <w:lvl w:ilvl="4">
      <w:start w:val="1"/>
      <w:numFmt w:val="decimal"/>
      <w:pStyle w:val="5"/>
      <w:lvlText w:val="%1.%2.%3.%4.%5"/>
      <w:lvlJc w:val="left"/>
      <w:pPr>
        <w:tabs>
          <w:tab w:val="left" w:pos="1008"/>
        </w:tabs>
        <w:ind w:left="1008" w:hanging="1008"/>
      </w:pPr>
      <w:rPr>
        <w:rFonts w:cs="Times New Roman" w:hint="eastAsia"/>
      </w:rPr>
    </w:lvl>
    <w:lvl w:ilvl="5">
      <w:start w:val="1"/>
      <w:numFmt w:val="decimal"/>
      <w:pStyle w:val="6"/>
      <w:lvlText w:val="%1.%2.%3.%4.%5.%6"/>
      <w:lvlJc w:val="left"/>
      <w:pPr>
        <w:tabs>
          <w:tab w:val="left" w:pos="1152"/>
        </w:tabs>
        <w:ind w:left="1152" w:hanging="1152"/>
      </w:pPr>
      <w:rPr>
        <w:rFonts w:cs="Times New Roman" w:hint="eastAsia"/>
      </w:rPr>
    </w:lvl>
    <w:lvl w:ilvl="6">
      <w:start w:val="1"/>
      <w:numFmt w:val="decimal"/>
      <w:pStyle w:val="7"/>
      <w:lvlText w:val="%1.%2.%3.%4.%5.%6.%7"/>
      <w:lvlJc w:val="left"/>
      <w:pPr>
        <w:tabs>
          <w:tab w:val="left" w:pos="1296"/>
        </w:tabs>
        <w:ind w:left="1296" w:hanging="1296"/>
      </w:pPr>
      <w:rPr>
        <w:rFonts w:cs="Times New Roman" w:hint="eastAsia"/>
      </w:rPr>
    </w:lvl>
    <w:lvl w:ilvl="7">
      <w:start w:val="1"/>
      <w:numFmt w:val="decimal"/>
      <w:pStyle w:val="8"/>
      <w:lvlText w:val="%1.%2.%3.%4.%5.%6.%7.%8"/>
      <w:lvlJc w:val="left"/>
      <w:pPr>
        <w:tabs>
          <w:tab w:val="left" w:pos="1440"/>
        </w:tabs>
        <w:ind w:left="1440" w:hanging="1440"/>
      </w:pPr>
      <w:rPr>
        <w:rFonts w:cs="Times New Roman" w:hint="eastAsia"/>
      </w:rPr>
    </w:lvl>
    <w:lvl w:ilvl="8">
      <w:start w:val="1"/>
      <w:numFmt w:val="decimal"/>
      <w:pStyle w:val="9"/>
      <w:lvlText w:val="%1.%2.%3.%4.%5.%6.%7.%8.%9"/>
      <w:lvlJc w:val="left"/>
      <w:pPr>
        <w:tabs>
          <w:tab w:val="left" w:pos="1584"/>
        </w:tabs>
        <w:ind w:left="1584" w:hanging="1584"/>
      </w:pPr>
      <w:rPr>
        <w:rFonts w:cs="Times New Roman" w:hint="eastAsia"/>
      </w:rPr>
    </w:lvl>
  </w:abstractNum>
  <w:abstractNum w:abstractNumId="1">
    <w:nsid w:val="772C36D5"/>
    <w:multiLevelType w:val="multilevel"/>
    <w:tmpl w:val="772C36D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77D80"/>
    <w:rsid w:val="00297272"/>
    <w:rsid w:val="00377D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D80"/>
    <w:pPr>
      <w:widowControl w:val="0"/>
      <w:jc w:val="both"/>
    </w:pPr>
    <w:rPr>
      <w:rFonts w:ascii="Times New Roman" w:eastAsia="宋体" w:hAnsi="Times New Roman" w:cs="Times New Roman"/>
      <w:szCs w:val="24"/>
    </w:rPr>
  </w:style>
  <w:style w:type="paragraph" w:styleId="1">
    <w:name w:val="heading 1"/>
    <w:basedOn w:val="a"/>
    <w:next w:val="a"/>
    <w:link w:val="1Char"/>
    <w:qFormat/>
    <w:rsid w:val="00377D80"/>
    <w:pPr>
      <w:keepNext/>
      <w:numPr>
        <w:numId w:val="1"/>
      </w:numPr>
      <w:spacing w:beforeLines="50" w:afterLines="50"/>
      <w:jc w:val="left"/>
      <w:outlineLvl w:val="0"/>
    </w:pPr>
    <w:rPr>
      <w:b/>
      <w:sz w:val="32"/>
    </w:rPr>
  </w:style>
  <w:style w:type="paragraph" w:styleId="2">
    <w:name w:val="heading 2"/>
    <w:basedOn w:val="a"/>
    <w:next w:val="a"/>
    <w:link w:val="2Char"/>
    <w:qFormat/>
    <w:rsid w:val="00377D80"/>
    <w:pPr>
      <w:keepNext/>
      <w:keepLines/>
      <w:numPr>
        <w:ilvl w:val="1"/>
        <w:numId w:val="1"/>
      </w:numPr>
      <w:spacing w:before="100" w:beforeAutospacing="1" w:after="100" w:afterAutospacing="1"/>
      <w:jc w:val="left"/>
      <w:outlineLvl w:val="1"/>
    </w:pPr>
    <w:rPr>
      <w:rFonts w:ascii="Arial" w:hAnsi="Arial"/>
      <w:b/>
      <w:bCs/>
      <w:sz w:val="28"/>
      <w:szCs w:val="32"/>
    </w:rPr>
  </w:style>
  <w:style w:type="paragraph" w:styleId="3">
    <w:name w:val="heading 3"/>
    <w:basedOn w:val="a"/>
    <w:next w:val="a"/>
    <w:link w:val="3Char"/>
    <w:qFormat/>
    <w:rsid w:val="00377D80"/>
    <w:pPr>
      <w:keepNext/>
      <w:keepLines/>
      <w:numPr>
        <w:ilvl w:val="2"/>
        <w:numId w:val="1"/>
      </w:numPr>
      <w:spacing w:before="100" w:beforeAutospacing="1" w:after="100" w:afterAutospacing="1"/>
      <w:jc w:val="left"/>
      <w:outlineLvl w:val="2"/>
    </w:pPr>
    <w:rPr>
      <w:b/>
      <w:bCs/>
      <w:color w:val="000000"/>
      <w:sz w:val="24"/>
      <w:szCs w:val="32"/>
    </w:rPr>
  </w:style>
  <w:style w:type="paragraph" w:styleId="4">
    <w:name w:val="heading 4"/>
    <w:basedOn w:val="a"/>
    <w:next w:val="a"/>
    <w:link w:val="4Char"/>
    <w:qFormat/>
    <w:rsid w:val="00377D80"/>
    <w:pPr>
      <w:keepNext/>
      <w:numPr>
        <w:ilvl w:val="3"/>
        <w:numId w:val="1"/>
      </w:numPr>
      <w:jc w:val="left"/>
      <w:outlineLvl w:val="3"/>
    </w:pPr>
    <w:rPr>
      <w:b/>
      <w:iCs/>
    </w:rPr>
  </w:style>
  <w:style w:type="paragraph" w:styleId="5">
    <w:name w:val="heading 5"/>
    <w:basedOn w:val="a"/>
    <w:next w:val="a"/>
    <w:link w:val="5Char"/>
    <w:qFormat/>
    <w:rsid w:val="00377D80"/>
    <w:pPr>
      <w:keepNext/>
      <w:numPr>
        <w:ilvl w:val="4"/>
        <w:numId w:val="1"/>
      </w:numPr>
      <w:outlineLvl w:val="4"/>
    </w:pPr>
    <w:rPr>
      <w:i/>
      <w:sz w:val="22"/>
    </w:rPr>
  </w:style>
  <w:style w:type="paragraph" w:styleId="6">
    <w:name w:val="heading 6"/>
    <w:basedOn w:val="a"/>
    <w:next w:val="a"/>
    <w:link w:val="6Char"/>
    <w:qFormat/>
    <w:rsid w:val="00377D80"/>
    <w:pPr>
      <w:keepNext/>
      <w:numPr>
        <w:ilvl w:val="5"/>
        <w:numId w:val="1"/>
      </w:numPr>
      <w:outlineLvl w:val="5"/>
    </w:pPr>
    <w:rPr>
      <w:i/>
      <w:sz w:val="22"/>
    </w:rPr>
  </w:style>
  <w:style w:type="paragraph" w:styleId="7">
    <w:name w:val="heading 7"/>
    <w:basedOn w:val="a"/>
    <w:next w:val="a"/>
    <w:link w:val="7Char"/>
    <w:qFormat/>
    <w:rsid w:val="00377D80"/>
    <w:pPr>
      <w:keepNext/>
      <w:numPr>
        <w:ilvl w:val="6"/>
        <w:numId w:val="1"/>
      </w:numPr>
      <w:outlineLvl w:val="6"/>
    </w:pPr>
    <w:rPr>
      <w:i/>
      <w:sz w:val="22"/>
    </w:rPr>
  </w:style>
  <w:style w:type="paragraph" w:styleId="8">
    <w:name w:val="heading 8"/>
    <w:basedOn w:val="a"/>
    <w:next w:val="a"/>
    <w:link w:val="8Char"/>
    <w:qFormat/>
    <w:rsid w:val="00377D80"/>
    <w:pPr>
      <w:keepNext/>
      <w:numPr>
        <w:ilvl w:val="7"/>
        <w:numId w:val="1"/>
      </w:numPr>
      <w:outlineLvl w:val="7"/>
    </w:pPr>
    <w:rPr>
      <w:i/>
      <w:iCs/>
    </w:rPr>
  </w:style>
  <w:style w:type="paragraph" w:styleId="9">
    <w:name w:val="heading 9"/>
    <w:basedOn w:val="a"/>
    <w:next w:val="a"/>
    <w:link w:val="9Char"/>
    <w:qFormat/>
    <w:rsid w:val="00377D80"/>
    <w:pPr>
      <w:keepNext/>
      <w:numPr>
        <w:ilvl w:val="8"/>
        <w:numId w:val="1"/>
      </w:numPr>
      <w:outlineLvl w:val="8"/>
    </w:pPr>
    <w:rPr>
      <w:rFonts w:ascii="宋体" w:hAnsi="宋体"/>
      <w:bCs/>
      <w:i/>
      <w:iCs/>
      <w:color w:val="808080"/>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77D80"/>
    <w:rPr>
      <w:rFonts w:ascii="Times New Roman" w:eastAsia="宋体" w:hAnsi="Times New Roman" w:cs="Times New Roman"/>
      <w:b/>
      <w:sz w:val="32"/>
      <w:szCs w:val="24"/>
    </w:rPr>
  </w:style>
  <w:style w:type="character" w:customStyle="1" w:styleId="2Char">
    <w:name w:val="标题 2 Char"/>
    <w:basedOn w:val="a0"/>
    <w:link w:val="2"/>
    <w:rsid w:val="00377D80"/>
    <w:rPr>
      <w:rFonts w:ascii="Arial" w:eastAsia="宋体" w:hAnsi="Arial" w:cs="Times New Roman"/>
      <w:b/>
      <w:bCs/>
      <w:sz w:val="28"/>
      <w:szCs w:val="32"/>
    </w:rPr>
  </w:style>
  <w:style w:type="character" w:customStyle="1" w:styleId="3Char">
    <w:name w:val="标题 3 Char"/>
    <w:basedOn w:val="a0"/>
    <w:link w:val="3"/>
    <w:rsid w:val="00377D80"/>
    <w:rPr>
      <w:rFonts w:ascii="Times New Roman" w:eastAsia="宋体" w:hAnsi="Times New Roman" w:cs="Times New Roman"/>
      <w:b/>
      <w:bCs/>
      <w:color w:val="000000"/>
      <w:sz w:val="24"/>
      <w:szCs w:val="32"/>
    </w:rPr>
  </w:style>
  <w:style w:type="character" w:customStyle="1" w:styleId="4Char">
    <w:name w:val="标题 4 Char"/>
    <w:basedOn w:val="a0"/>
    <w:link w:val="4"/>
    <w:rsid w:val="00377D80"/>
    <w:rPr>
      <w:rFonts w:ascii="Times New Roman" w:eastAsia="宋体" w:hAnsi="Times New Roman" w:cs="Times New Roman"/>
      <w:b/>
      <w:iCs/>
      <w:szCs w:val="24"/>
    </w:rPr>
  </w:style>
  <w:style w:type="character" w:customStyle="1" w:styleId="5Char">
    <w:name w:val="标题 5 Char"/>
    <w:basedOn w:val="a0"/>
    <w:link w:val="5"/>
    <w:rsid w:val="00377D80"/>
    <w:rPr>
      <w:rFonts w:ascii="Times New Roman" w:eastAsia="宋体" w:hAnsi="Times New Roman" w:cs="Times New Roman"/>
      <w:i/>
      <w:sz w:val="22"/>
      <w:szCs w:val="24"/>
    </w:rPr>
  </w:style>
  <w:style w:type="character" w:customStyle="1" w:styleId="6Char">
    <w:name w:val="标题 6 Char"/>
    <w:basedOn w:val="a0"/>
    <w:link w:val="6"/>
    <w:rsid w:val="00377D80"/>
    <w:rPr>
      <w:rFonts w:ascii="Times New Roman" w:eastAsia="宋体" w:hAnsi="Times New Roman" w:cs="Times New Roman"/>
      <w:i/>
      <w:sz w:val="22"/>
      <w:szCs w:val="24"/>
    </w:rPr>
  </w:style>
  <w:style w:type="character" w:customStyle="1" w:styleId="7Char">
    <w:name w:val="标题 7 Char"/>
    <w:basedOn w:val="a0"/>
    <w:link w:val="7"/>
    <w:rsid w:val="00377D80"/>
    <w:rPr>
      <w:rFonts w:ascii="Times New Roman" w:eastAsia="宋体" w:hAnsi="Times New Roman" w:cs="Times New Roman"/>
      <w:i/>
      <w:sz w:val="22"/>
      <w:szCs w:val="24"/>
    </w:rPr>
  </w:style>
  <w:style w:type="character" w:customStyle="1" w:styleId="8Char">
    <w:name w:val="标题 8 Char"/>
    <w:basedOn w:val="a0"/>
    <w:link w:val="8"/>
    <w:rsid w:val="00377D80"/>
    <w:rPr>
      <w:rFonts w:ascii="Times New Roman" w:eastAsia="宋体" w:hAnsi="Times New Roman" w:cs="Times New Roman"/>
      <w:i/>
      <w:iCs/>
      <w:szCs w:val="24"/>
    </w:rPr>
  </w:style>
  <w:style w:type="character" w:customStyle="1" w:styleId="9Char">
    <w:name w:val="标题 9 Char"/>
    <w:basedOn w:val="a0"/>
    <w:link w:val="9"/>
    <w:rsid w:val="00377D80"/>
    <w:rPr>
      <w:rFonts w:ascii="宋体" w:eastAsia="宋体" w:hAnsi="宋体" w:cs="Times New Roman"/>
      <w:bCs/>
      <w:i/>
      <w:iCs/>
      <w:color w:val="808080"/>
      <w:sz w:val="18"/>
      <w:szCs w:val="24"/>
    </w:rPr>
  </w:style>
  <w:style w:type="paragraph" w:styleId="a3">
    <w:name w:val="Body Text"/>
    <w:basedOn w:val="a"/>
    <w:link w:val="Char"/>
    <w:rsid w:val="00377D80"/>
    <w:rPr>
      <w:i/>
      <w:iCs/>
      <w:sz w:val="18"/>
    </w:rPr>
  </w:style>
  <w:style w:type="character" w:customStyle="1" w:styleId="Char">
    <w:name w:val="正文文本 Char"/>
    <w:basedOn w:val="a0"/>
    <w:link w:val="a3"/>
    <w:rsid w:val="00377D80"/>
    <w:rPr>
      <w:rFonts w:ascii="Times New Roman" w:eastAsia="宋体" w:hAnsi="Times New Roman" w:cs="Times New Roman"/>
      <w:i/>
      <w:iCs/>
      <w:sz w:val="18"/>
      <w:szCs w:val="24"/>
    </w:rPr>
  </w:style>
  <w:style w:type="paragraph" w:styleId="a4">
    <w:name w:val="footer"/>
    <w:basedOn w:val="a"/>
    <w:link w:val="Char0"/>
    <w:rsid w:val="00377D80"/>
    <w:pPr>
      <w:tabs>
        <w:tab w:val="center" w:pos="4153"/>
        <w:tab w:val="right" w:pos="8306"/>
      </w:tabs>
      <w:snapToGrid w:val="0"/>
      <w:jc w:val="left"/>
    </w:pPr>
    <w:rPr>
      <w:sz w:val="18"/>
      <w:szCs w:val="18"/>
    </w:rPr>
  </w:style>
  <w:style w:type="character" w:customStyle="1" w:styleId="Char0">
    <w:name w:val="页脚 Char"/>
    <w:basedOn w:val="a0"/>
    <w:link w:val="a4"/>
    <w:rsid w:val="00377D80"/>
    <w:rPr>
      <w:rFonts w:ascii="Times New Roman" w:eastAsia="宋体" w:hAnsi="Times New Roman" w:cs="Times New Roman"/>
      <w:sz w:val="18"/>
      <w:szCs w:val="18"/>
    </w:rPr>
  </w:style>
  <w:style w:type="paragraph" w:styleId="a5">
    <w:name w:val="header"/>
    <w:basedOn w:val="a"/>
    <w:link w:val="Char1"/>
    <w:rsid w:val="00377D8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377D80"/>
    <w:rPr>
      <w:rFonts w:ascii="Times New Roman" w:eastAsia="宋体" w:hAnsi="Times New Roman" w:cs="Times New Roman"/>
      <w:sz w:val="18"/>
      <w:szCs w:val="18"/>
    </w:rPr>
  </w:style>
  <w:style w:type="paragraph" w:styleId="10">
    <w:name w:val="index 1"/>
    <w:basedOn w:val="a"/>
    <w:next w:val="a"/>
    <w:semiHidden/>
    <w:rsid w:val="00377D80"/>
  </w:style>
  <w:style w:type="table" w:styleId="a6">
    <w:name w:val="Table Grid"/>
    <w:basedOn w:val="a1"/>
    <w:rsid w:val="00377D8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rsid w:val="00377D80"/>
    <w:rPr>
      <w:rFonts w:cs="Times New Roman"/>
    </w:rPr>
  </w:style>
  <w:style w:type="character" w:styleId="a8">
    <w:name w:val="Hyperlink"/>
    <w:uiPriority w:val="99"/>
    <w:rsid w:val="00377D80"/>
    <w:rPr>
      <w:rFonts w:cs="Times New Roman"/>
      <w:color w:val="0000FF"/>
      <w:u w:val="single"/>
    </w:rPr>
  </w:style>
  <w:style w:type="paragraph" w:customStyle="1" w:styleId="Normal0">
    <w:name w:val="Normal0"/>
    <w:rsid w:val="00377D80"/>
    <w:rPr>
      <w:rFonts w:ascii="Times New Roman" w:eastAsia="宋体" w:hAnsi="Times New Roman" w:cs="Times New Roman"/>
      <w:kern w:val="0"/>
      <w:sz w:val="20"/>
      <w:szCs w:val="20"/>
      <w:lang w:eastAsia="en-US"/>
    </w:rPr>
  </w:style>
  <w:style w:type="character" w:customStyle="1" w:styleId="smallfont1">
    <w:name w:val="smallfont1"/>
    <w:rsid w:val="00377D80"/>
    <w:rPr>
      <w:rFonts w:cs="Times New Roman"/>
      <w:spacing w:val="280"/>
      <w:sz w:val="18"/>
      <w:szCs w:val="18"/>
    </w:rPr>
  </w:style>
  <w:style w:type="paragraph" w:styleId="a9">
    <w:name w:val="List Paragraph"/>
    <w:basedOn w:val="a"/>
    <w:uiPriority w:val="34"/>
    <w:qFormat/>
    <w:rsid w:val="00377D80"/>
    <w:pPr>
      <w:ind w:firstLineChars="200" w:firstLine="420"/>
    </w:pPr>
  </w:style>
  <w:style w:type="paragraph" w:styleId="aa">
    <w:name w:val="Balloon Text"/>
    <w:basedOn w:val="a"/>
    <w:link w:val="Char2"/>
    <w:uiPriority w:val="99"/>
    <w:semiHidden/>
    <w:unhideWhenUsed/>
    <w:rsid w:val="00377D80"/>
    <w:rPr>
      <w:sz w:val="18"/>
      <w:szCs w:val="18"/>
    </w:rPr>
  </w:style>
  <w:style w:type="character" w:customStyle="1" w:styleId="Char2">
    <w:name w:val="批注框文本 Char"/>
    <w:basedOn w:val="a0"/>
    <w:link w:val="aa"/>
    <w:uiPriority w:val="99"/>
    <w:semiHidden/>
    <w:rsid w:val="00377D8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ch_support@sse.com.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王有杰(拟稿)</dc:creator>
  <cp:lastModifiedBy>王有杰(拟稿)</cp:lastModifiedBy>
  <cp:revision>1</cp:revision>
  <dcterms:created xsi:type="dcterms:W3CDTF">2020-02-19T08:59:00Z</dcterms:created>
  <dcterms:modified xsi:type="dcterms:W3CDTF">2020-02-19T09:03:00Z</dcterms:modified>
</cp:coreProperties>
</file>