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CD4CB">
      <w:pPr>
        <w:spacing w:line="560" w:lineRule="exact"/>
        <w:jc w:val="left"/>
        <w:rPr>
          <w:rFonts w:hint="eastAsia" w:ascii="Times New Roman" w:hAnsi="Times New Roman" w:eastAsia="仿宋_GB2312"/>
          <w:b w:val="0"/>
          <w:bCs/>
          <w:color w:val="000000"/>
          <w:sz w:val="32"/>
          <w:szCs w:val="32"/>
          <w:lang w:val="en-US" w:eastAsia="zh-CN"/>
        </w:rPr>
      </w:pPr>
      <w:bookmarkStart w:id="11" w:name="_GoBack"/>
      <w:bookmarkEnd w:id="11"/>
      <w:r>
        <w:rPr>
          <w:rFonts w:hint="eastAsia" w:ascii="黑体" w:hAnsi="黑体" w:eastAsia="黑体" w:cs="黑体"/>
          <w:b w:val="0"/>
          <w:bCs/>
          <w:color w:val="000000"/>
          <w:sz w:val="32"/>
          <w:szCs w:val="32"/>
        </w:rPr>
        <w:t>附件</w:t>
      </w:r>
    </w:p>
    <w:p w14:paraId="56703105">
      <w:pPr>
        <w:spacing w:line="560" w:lineRule="exact"/>
        <w:jc w:val="left"/>
        <w:rPr>
          <w:rFonts w:hint="eastAsia" w:ascii="仿宋_GB2312" w:hAnsi="微软雅黑" w:eastAsia="仿宋_GB2312"/>
          <w:b/>
          <w:color w:val="000000"/>
          <w:sz w:val="30"/>
          <w:szCs w:val="30"/>
        </w:rPr>
      </w:pPr>
    </w:p>
    <w:p w14:paraId="5BFC432D">
      <w:pPr>
        <w:spacing w:line="560" w:lineRule="exact"/>
        <w:jc w:val="center"/>
        <w:rPr>
          <w:rFonts w:ascii="方正大标宋简体" w:eastAsia="方正大标宋简体"/>
          <w:sz w:val="44"/>
          <w:szCs w:val="44"/>
        </w:rPr>
      </w:pPr>
      <w:r>
        <w:rPr>
          <w:rFonts w:hint="eastAsia" w:ascii="方正大标宋简体" w:eastAsia="方正大标宋简体"/>
          <w:sz w:val="44"/>
          <w:szCs w:val="44"/>
        </w:rPr>
        <w:t>上海证券交易所上</w:t>
      </w:r>
      <w:bookmarkStart w:id="0" w:name="OLE_LINK2"/>
      <w:r>
        <w:rPr>
          <w:rFonts w:hint="eastAsia" w:ascii="方正大标宋简体" w:eastAsia="方正大标宋简体"/>
          <w:sz w:val="44"/>
          <w:szCs w:val="44"/>
        </w:rPr>
        <w:t>市公司股份协议转让</w:t>
      </w:r>
    </w:p>
    <w:p w14:paraId="7D11EF6D">
      <w:pPr>
        <w:spacing w:line="560" w:lineRule="exact"/>
        <w:jc w:val="center"/>
        <w:rPr>
          <w:rFonts w:hint="eastAsia" w:ascii="方正大标宋简体" w:eastAsia="方正大标宋简体"/>
          <w:sz w:val="44"/>
          <w:szCs w:val="44"/>
        </w:rPr>
      </w:pPr>
      <w:r>
        <w:rPr>
          <w:rFonts w:hint="eastAsia" w:ascii="方正大标宋简体" w:eastAsia="方正大标宋简体"/>
          <w:sz w:val="44"/>
          <w:szCs w:val="44"/>
        </w:rPr>
        <w:t>业务办理指引</w:t>
      </w:r>
    </w:p>
    <w:p w14:paraId="55E96275">
      <w:pPr>
        <w:spacing w:line="560" w:lineRule="exact"/>
        <w:jc w:val="center"/>
        <w:rPr>
          <w:rFonts w:ascii="方正大标宋简体" w:eastAsia="方正大标宋简体"/>
          <w:sz w:val="44"/>
          <w:szCs w:val="44"/>
        </w:rPr>
      </w:pP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年修订）</w:t>
      </w:r>
    </w:p>
    <w:bookmarkEnd w:id="0"/>
    <w:p w14:paraId="56C777DF">
      <w:pPr>
        <w:spacing w:line="560" w:lineRule="exact"/>
        <w:jc w:val="center"/>
        <w:rPr>
          <w:rFonts w:ascii="仿宋_GB2312" w:eastAsia="仿宋_GB2312"/>
          <w:sz w:val="30"/>
          <w:szCs w:val="30"/>
        </w:rPr>
      </w:pPr>
    </w:p>
    <w:p w14:paraId="3532ADDC">
      <w:pPr>
        <w:pStyle w:val="64"/>
        <w:numPr>
          <w:ilvl w:val="0"/>
          <w:numId w:val="0"/>
        </w:numPr>
        <w:spacing w:line="560" w:lineRule="exact"/>
        <w:ind w:left="0" w:leftChars="0" w:firstLine="640" w:firstLineChars="200"/>
        <w:rPr>
          <w:rFonts w:ascii="Times New Roman" w:hAnsi="Times New Roman" w:eastAsia="仿宋_GB2312"/>
          <w:sz w:val="32"/>
          <w:szCs w:val="32"/>
          <w:lang w:val="en-US" w:eastAsia="zh-CN"/>
        </w:rPr>
      </w:pPr>
      <w:r>
        <w:rPr>
          <w:rFonts w:hint="eastAsia" w:ascii="Times New Roman" w:hAnsi="Times New Roman" w:eastAsia="仿宋_GB2312"/>
          <w:sz w:val="32"/>
          <w:szCs w:val="32"/>
          <w:lang w:eastAsia="zh-CN"/>
        </w:rPr>
        <w:t>第一条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为规范上海证券交易所（以下简称本所）上市公司股份协议转让业务，明确业务受理要求和办理程序，提升市场服务水平，</w:t>
      </w:r>
      <w:bookmarkStart w:id="1" w:name="OLE_LINK19"/>
      <w:bookmarkStart w:id="2" w:name="OLE_LINK16"/>
      <w:r>
        <w:rPr>
          <w:rFonts w:hint="eastAsia" w:ascii="Times New Roman" w:hAnsi="Times New Roman" w:eastAsia="仿宋_GB2312"/>
          <w:sz w:val="32"/>
          <w:szCs w:val="32"/>
        </w:rPr>
        <w:t>依据《中华人民共和国证券法》《上市公司收购管理办法》《上市公司股东减持股份管理暂行办法》等法律、行政法规、部门规章和规范性文件（以下简称法律法规）及《</w:t>
      </w:r>
      <w:bookmarkStart w:id="3" w:name="OLE_LINK5"/>
      <w:bookmarkStart w:id="4" w:name="OLE_LINK6"/>
      <w:r>
        <w:rPr>
          <w:rFonts w:hint="eastAsia" w:ascii="Times New Roman" w:hAnsi="Times New Roman" w:eastAsia="仿宋_GB2312"/>
          <w:sz w:val="32"/>
          <w:szCs w:val="32"/>
        </w:rPr>
        <w:t>上市公司流通股协议转让业务办理暂行规则</w:t>
      </w:r>
      <w:bookmarkEnd w:id="3"/>
      <w:bookmarkEnd w:id="4"/>
      <w:r>
        <w:rPr>
          <w:rFonts w:hint="eastAsia" w:ascii="Times New Roman" w:hAnsi="Times New Roman" w:eastAsia="仿宋_GB2312"/>
          <w:sz w:val="32"/>
          <w:szCs w:val="32"/>
        </w:rPr>
        <w:t>》</w:t>
      </w:r>
      <w:bookmarkEnd w:id="1"/>
      <w:bookmarkEnd w:id="2"/>
      <w:r>
        <w:rPr>
          <w:rFonts w:hint="eastAsia" w:ascii="Times New Roman" w:hAnsi="Times New Roman" w:eastAsia="仿宋_GB2312"/>
          <w:sz w:val="32"/>
          <w:szCs w:val="32"/>
        </w:rPr>
        <w:t>（以下简称《</w:t>
      </w:r>
      <w:r>
        <w:rPr>
          <w:rFonts w:hint="eastAsia" w:ascii="Times New Roman" w:hAnsi="Times New Roman" w:eastAsia="仿宋_GB2312"/>
          <w:sz w:val="32"/>
          <w:szCs w:val="32"/>
          <w:lang w:eastAsia="zh-CN"/>
        </w:rPr>
        <w:t>办理</w:t>
      </w:r>
      <w:r>
        <w:rPr>
          <w:rFonts w:hint="eastAsia" w:ascii="Times New Roman" w:hAnsi="Times New Roman" w:eastAsia="仿宋_GB2312"/>
          <w:sz w:val="32"/>
          <w:szCs w:val="32"/>
        </w:rPr>
        <w:t>规则》）</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r>
        <w:rPr>
          <w:rFonts w:ascii="Times New Roman" w:hAnsi="Times New Roman" w:eastAsia="仿宋_GB2312"/>
          <w:sz w:val="32"/>
          <w:szCs w:val="32"/>
          <w:lang w:val="en-US" w:eastAsia="zh-CN"/>
        </w:rPr>
        <w:t>上海证券交易所上市公司自律监管指引第15号——股东及董事、高级管理人员减持股份</w:t>
      </w:r>
      <w:r>
        <w:rPr>
          <w:rFonts w:hint="eastAsia" w:ascii="Times New Roman" w:hAnsi="Times New Roman" w:eastAsia="仿宋_GB2312"/>
          <w:sz w:val="32"/>
          <w:szCs w:val="32"/>
        </w:rPr>
        <w:t>》（以下简称《减持</w:t>
      </w:r>
      <w:r>
        <w:rPr>
          <w:rFonts w:hint="eastAsia" w:ascii="Times New Roman" w:hAnsi="Times New Roman" w:eastAsia="仿宋_GB2312"/>
          <w:sz w:val="32"/>
          <w:szCs w:val="32"/>
          <w:lang w:eastAsia="zh-CN"/>
        </w:rPr>
        <w:t>指引</w:t>
      </w:r>
      <w:r>
        <w:rPr>
          <w:rFonts w:hint="eastAsia" w:ascii="Times New Roman" w:hAnsi="Times New Roman" w:eastAsia="仿宋_GB2312"/>
          <w:sz w:val="32"/>
          <w:szCs w:val="32"/>
        </w:rPr>
        <w:t>》）等有关规定，制定本指引。</w:t>
      </w:r>
    </w:p>
    <w:p w14:paraId="5D1BF40E">
      <w:pPr>
        <w:pStyle w:val="64"/>
        <w:numPr>
          <w:ilvl w:val="0"/>
          <w:numId w:val="0"/>
        </w:numPr>
        <w:spacing w:line="560" w:lineRule="exact"/>
        <w:ind w:left="0"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第二条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出让方和受让方（以下统称转让双方）依据依法订立的协议，办理本所上市公司流通股股份转让业务（以下简称协议转让），适用本指引。</w:t>
      </w:r>
    </w:p>
    <w:p w14:paraId="5FA3007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本所对通过协议转让方式进行股票质押式回购交易违约处置另有规定的，从其规定。</w:t>
      </w:r>
    </w:p>
    <w:p w14:paraId="35C1E1AA">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第三条 转让双方在本所办理上市公司股份协议转让业务，应当遵守法律法规、本所业务规则的相关规定，不得违反转让双方或任何一方作出的承诺。</w:t>
      </w:r>
    </w:p>
    <w:p w14:paraId="64C14BC6">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转让双方保证向本所提交的办理材料真实、准确、完整、合法合规，</w:t>
      </w:r>
      <w:r>
        <w:rPr>
          <w:rFonts w:ascii="Times New Roman" w:hAnsi="Times New Roman" w:eastAsia="仿宋_GB2312"/>
          <w:sz w:val="32"/>
          <w:szCs w:val="32"/>
        </w:rPr>
        <w:t>保证拟转让的股份为依法取得、有权处分的资产，</w:t>
      </w:r>
      <w:r>
        <w:rPr>
          <w:rFonts w:hint="eastAsia" w:ascii="Times New Roman" w:hAnsi="Times New Roman" w:eastAsia="仿宋_GB2312"/>
          <w:sz w:val="32"/>
          <w:szCs w:val="32"/>
        </w:rPr>
        <w:t>且</w:t>
      </w:r>
      <w:r>
        <w:rPr>
          <w:rFonts w:ascii="Times New Roman" w:hAnsi="Times New Roman" w:eastAsia="仿宋_GB2312"/>
          <w:sz w:val="32"/>
          <w:szCs w:val="32"/>
        </w:rPr>
        <w:t>已根据相关规定履行相应的审批或备案程序</w:t>
      </w:r>
      <w:r>
        <w:rPr>
          <w:rFonts w:hint="eastAsia" w:ascii="Times New Roman" w:hAnsi="Times New Roman" w:eastAsia="仿宋_GB2312"/>
          <w:sz w:val="32"/>
          <w:szCs w:val="32"/>
        </w:rPr>
        <w:t>，并自行承担协议转让的风险和与之有关的法律责任。</w:t>
      </w:r>
    </w:p>
    <w:p w14:paraId="59F13DA2">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第四条 本所依据《</w:t>
      </w:r>
      <w:r>
        <w:rPr>
          <w:rFonts w:hint="eastAsia" w:ascii="Times New Roman" w:hAnsi="Times New Roman" w:eastAsia="仿宋_GB2312"/>
          <w:sz w:val="32"/>
          <w:szCs w:val="32"/>
          <w:lang w:eastAsia="zh-CN"/>
        </w:rPr>
        <w:t>办理</w:t>
      </w:r>
      <w:r>
        <w:rPr>
          <w:rFonts w:hint="eastAsia" w:ascii="Times New Roman" w:hAnsi="Times New Roman" w:eastAsia="仿宋_GB2312"/>
          <w:sz w:val="32"/>
          <w:szCs w:val="32"/>
        </w:rPr>
        <w:t>规则》及本指引的规定办理协议转让业务，对转让双方提交的办理材料进行完备性核对，并对符合条件的协议转让出具确认意见。</w:t>
      </w:r>
    </w:p>
    <w:p w14:paraId="0470363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第五条 具有以下情形之一的，可以向本所提交协议转让办理材料：</w:t>
      </w:r>
    </w:p>
    <w:p w14:paraId="64A70195">
      <w:pPr>
        <w:tabs>
          <w:tab w:val="left" w:pos="1980"/>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（一） </w:t>
      </w:r>
      <w:r>
        <w:rPr>
          <w:rFonts w:ascii="Times New Roman" w:hAnsi="Times New Roman" w:eastAsia="仿宋_GB2312"/>
          <w:sz w:val="32"/>
          <w:szCs w:val="32"/>
        </w:rPr>
        <w:t>转让股份数量不低于</w:t>
      </w:r>
      <w:r>
        <w:rPr>
          <w:rFonts w:hint="eastAsia" w:ascii="Times New Roman" w:hAnsi="Times New Roman" w:eastAsia="仿宋_GB2312"/>
          <w:sz w:val="32"/>
          <w:szCs w:val="32"/>
        </w:rPr>
        <w:t>上市公司总股本</w:t>
      </w:r>
      <w:r>
        <w:rPr>
          <w:rFonts w:ascii="Times New Roman" w:hAnsi="Times New Roman" w:eastAsia="仿宋_GB2312"/>
          <w:sz w:val="32"/>
          <w:szCs w:val="32"/>
        </w:rPr>
        <w:t>5%的</w:t>
      </w:r>
      <w:r>
        <w:rPr>
          <w:rFonts w:hint="eastAsia" w:ascii="Times New Roman" w:hAnsi="Times New Roman" w:eastAsia="仿宋_GB2312"/>
          <w:sz w:val="32"/>
          <w:szCs w:val="32"/>
        </w:rPr>
        <w:t>协议</w:t>
      </w:r>
      <w:r>
        <w:rPr>
          <w:rFonts w:ascii="Times New Roman" w:hAnsi="Times New Roman" w:eastAsia="仿宋_GB2312"/>
          <w:sz w:val="32"/>
          <w:szCs w:val="32"/>
        </w:rPr>
        <w:t>转让</w:t>
      </w:r>
      <w:r>
        <w:rPr>
          <w:rFonts w:hint="eastAsia" w:ascii="Times New Roman" w:hAnsi="Times New Roman" w:eastAsia="仿宋_GB2312"/>
          <w:sz w:val="32"/>
          <w:szCs w:val="32"/>
        </w:rPr>
        <w:t>；</w:t>
      </w:r>
    </w:p>
    <w:p w14:paraId="346DB8B7">
      <w:pPr>
        <w:tabs>
          <w:tab w:val="left" w:pos="1980"/>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（二）转让双方存在实际控制关系，或均受同一控制人所控制的协议转让</w:t>
      </w:r>
      <w:r>
        <w:rPr>
          <w:rFonts w:ascii="Times New Roman" w:hAnsi="Times New Roman" w:eastAsia="仿宋_GB2312"/>
          <w:sz w:val="32"/>
          <w:szCs w:val="32"/>
        </w:rPr>
        <w:t>，</w:t>
      </w:r>
      <w:r>
        <w:rPr>
          <w:rFonts w:hint="eastAsia" w:ascii="Times New Roman" w:hAnsi="Times New Roman" w:eastAsia="仿宋_GB2312"/>
          <w:sz w:val="32"/>
          <w:szCs w:val="32"/>
        </w:rPr>
        <w:t>转让股份数量不受前项不低于</w:t>
      </w:r>
      <w:r>
        <w:rPr>
          <w:rFonts w:ascii="Times New Roman" w:hAnsi="Times New Roman" w:eastAsia="仿宋_GB2312"/>
          <w:sz w:val="32"/>
          <w:szCs w:val="32"/>
        </w:rPr>
        <w:t>5%的限制</w:t>
      </w:r>
      <w:r>
        <w:rPr>
          <w:rFonts w:hint="eastAsia" w:ascii="Times New Roman" w:hAnsi="Times New Roman" w:eastAsia="仿宋_GB2312"/>
          <w:sz w:val="32"/>
          <w:szCs w:val="32"/>
        </w:rPr>
        <w:t>；</w:t>
      </w:r>
    </w:p>
    <w:p w14:paraId="4FF52E9F">
      <w:pPr>
        <w:tabs>
          <w:tab w:val="left" w:pos="1980"/>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（三）外国投资者战略投资上市公司涉及的协议转让；</w:t>
      </w:r>
    </w:p>
    <w:p w14:paraId="2BEF0A20">
      <w:pPr>
        <w:tabs>
          <w:tab w:val="left" w:pos="1980"/>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（四）法律法规、中国证监会及本所业务规则认定的其他情形。</w:t>
      </w:r>
    </w:p>
    <w:p w14:paraId="0F85F528">
      <w:pPr>
        <w:tabs>
          <w:tab w:val="left" w:pos="1980"/>
        </w:tabs>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收回股权分置改革中的垫付股份、国有股东转让所持上市公司股份、业绩承诺未达标导致的股份回购或补偿等情形，比照本指引办理。</w:t>
      </w:r>
    </w:p>
    <w:p w14:paraId="1C3D660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第六条 转让双方办理协议转让业务，应当符合以下要求：</w:t>
      </w:r>
    </w:p>
    <w:p w14:paraId="3CB7459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（一）转让协议依法生效；</w:t>
      </w:r>
    </w:p>
    <w:p w14:paraId="0A9947CA">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（二）协议各方为自然人或者依法设立并有效存续的法人、其他组织；</w:t>
      </w:r>
    </w:p>
    <w:p w14:paraId="46939CC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（三）拟转让股份的性质为无限售条件流通股，法律法规以及本所业务规则另有规定的除外；</w:t>
      </w:r>
    </w:p>
    <w:p w14:paraId="2F65C2F8">
      <w:pPr>
        <w:spacing w:line="560" w:lineRule="exact"/>
        <w:ind w:firstLine="640" w:firstLineChars="200"/>
        <w:rPr>
          <w:rFonts w:ascii="Times New Roman" w:hAnsi="Times New Roman" w:eastAsia="仿宋_GB2312"/>
          <w:color w:val="FF0000"/>
          <w:sz w:val="32"/>
          <w:szCs w:val="32"/>
        </w:rPr>
      </w:pPr>
      <w:r>
        <w:rPr>
          <w:rFonts w:hint="eastAsia" w:ascii="Times New Roman" w:hAnsi="Times New Roman" w:eastAsia="仿宋_GB2312"/>
          <w:sz w:val="32"/>
          <w:szCs w:val="32"/>
        </w:rPr>
        <w:t>（四）单个受让方的受让比例不低于上市公司总股本的5%，转让双方存在实际控制关系、均受同一控制人所控制及法律法规、本所业务规则另有规定的除外；</w:t>
      </w:r>
    </w:p>
    <w:p w14:paraId="50A3445A">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（五）股份转让价格不低于转让协议签署日（当日为非交易日的顺延至次一交易日）公司股份大宗交易价格范围的下限，法律法规、本所业务规则另有规定的除外；</w:t>
      </w:r>
    </w:p>
    <w:p w14:paraId="25A954C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w:t>
      </w:r>
      <w:r>
        <w:rPr>
          <w:rFonts w:ascii="Times New Roman" w:hAnsi="Times New Roman" w:eastAsia="仿宋_GB2312"/>
          <w:sz w:val="32"/>
          <w:szCs w:val="32"/>
        </w:rPr>
        <w:t>转让双方就股份转让协议签订补充协议</w:t>
      </w:r>
      <w:r>
        <w:rPr>
          <w:rFonts w:hint="eastAsia" w:ascii="Times New Roman" w:hAnsi="Times New Roman" w:eastAsia="仿宋_GB2312"/>
          <w:sz w:val="32"/>
          <w:szCs w:val="32"/>
        </w:rPr>
        <w:t>，涉及变更转让主体、转让价格或者转让股份数量等任一情形的，股份转让价格不低于</w:t>
      </w:r>
      <w:r>
        <w:rPr>
          <w:rFonts w:ascii="Times New Roman" w:hAnsi="Times New Roman" w:eastAsia="仿宋_GB2312"/>
          <w:sz w:val="32"/>
          <w:szCs w:val="32"/>
        </w:rPr>
        <w:t>补充协议</w:t>
      </w:r>
      <w:r>
        <w:rPr>
          <w:rFonts w:hint="eastAsia" w:ascii="Times New Roman" w:hAnsi="Times New Roman" w:eastAsia="仿宋_GB2312"/>
          <w:sz w:val="32"/>
          <w:szCs w:val="32"/>
        </w:rPr>
        <w:t>签署日（当日为非交易日的顺延至次一交易日）公司股份大宗交易价格范围的下限；</w:t>
      </w:r>
    </w:p>
    <w:p w14:paraId="18B8D15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（七）依据相关规定应当经行政审批方可进行的协议转让，已获得有关部门的批准；</w:t>
      </w:r>
    </w:p>
    <w:p w14:paraId="430804D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（八）转让双方应当披露相关信息的，已经依法合规履行信息披露义务；</w:t>
      </w:r>
    </w:p>
    <w:p w14:paraId="3B01E5E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（九）中国证监会及本所认定的其他要求。</w:t>
      </w:r>
    </w:p>
    <w:p w14:paraId="744CE076">
      <w:pPr>
        <w:spacing w:line="560" w:lineRule="exact"/>
        <w:ind w:firstLine="640" w:firstLineChars="200"/>
        <w:rPr>
          <w:rFonts w:ascii="Times New Roman" w:hAnsi="Times New Roman" w:eastAsia="仿宋_GB2312"/>
          <w:sz w:val="32"/>
          <w:szCs w:val="32"/>
        </w:rPr>
      </w:pPr>
      <w:bookmarkStart w:id="5" w:name="OLE_LINK7"/>
      <w:bookmarkStart w:id="6" w:name="OLE_LINK8"/>
      <w:r>
        <w:rPr>
          <w:rFonts w:hint="eastAsia" w:ascii="Times New Roman" w:hAnsi="Times New Roman" w:eastAsia="仿宋_GB2312"/>
          <w:sz w:val="32"/>
          <w:szCs w:val="32"/>
        </w:rPr>
        <w:t>第七条 转让双方办理协议转让业务存在以下情形之一的，本所不予受理：</w:t>
      </w:r>
    </w:p>
    <w:p w14:paraId="0A8883D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（一）不符合本指引第六条规定的要求；</w:t>
      </w:r>
    </w:p>
    <w:p w14:paraId="4242B0C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（二）拟转让股份已经被质押且质权人未书面同意转让；</w:t>
      </w:r>
    </w:p>
    <w:p w14:paraId="5C1FFCF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w:t>
      </w:r>
      <w:bookmarkStart w:id="7" w:name="OLE_LINK10"/>
      <w:bookmarkStart w:id="8" w:name="OLE_LINK9"/>
      <w:r>
        <w:rPr>
          <w:rFonts w:hint="eastAsia" w:ascii="Times New Roman" w:hAnsi="Times New Roman" w:eastAsia="仿宋_GB2312"/>
          <w:sz w:val="32"/>
          <w:szCs w:val="32"/>
        </w:rPr>
        <w:t>拟转让股份存在尚未了结的诉讼、仲裁、其它争议或者被司法冻结等权利受限情形</w:t>
      </w:r>
      <w:bookmarkEnd w:id="7"/>
      <w:bookmarkEnd w:id="8"/>
      <w:r>
        <w:rPr>
          <w:rFonts w:hint="eastAsia" w:ascii="Times New Roman" w:hAnsi="Times New Roman" w:eastAsia="仿宋_GB2312"/>
          <w:sz w:val="32"/>
          <w:szCs w:val="32"/>
        </w:rPr>
        <w:t>，但按照《关于进一步规范人民法院冻结上市公司质押股票工作的意见》取得人民法院准许文件的除外；</w:t>
      </w:r>
    </w:p>
    <w:p w14:paraId="352237E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（四）拟转让股份存在中国证监会《上市公司股东减持股份管理暂行办法》或《减持指引》规定的不得减持的情形；</w:t>
      </w:r>
    </w:p>
    <w:p w14:paraId="0416E4F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（五）本次转让可能导致规避股份限售相关规定；</w:t>
      </w:r>
    </w:p>
    <w:p w14:paraId="0AE748C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（六）违反转让双方或者任何一方作出的承诺；</w:t>
      </w:r>
    </w:p>
    <w:p w14:paraId="3153AF0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（七）协议签署日与提交申请日间隔超过6个月且无正当理由；</w:t>
      </w:r>
    </w:p>
    <w:p w14:paraId="1F594C9C">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（八）本次转让可能构成短线交易或者存在其他违反法律法规或本所业务规则的情形；</w:t>
      </w:r>
    </w:p>
    <w:p w14:paraId="012D668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（九）转让双方任意一方被中国证监会采取不得在证券交易场所交易证券的市场禁入措施尚在禁入期内的，但根据《证券市场禁入规定》第六条可以交易证券的除外；</w:t>
      </w:r>
    </w:p>
    <w:p w14:paraId="7B2AF7A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（十）本所认定的其他情形。</w:t>
      </w:r>
    </w:p>
    <w:bookmarkEnd w:id="5"/>
    <w:bookmarkEnd w:id="6"/>
    <w:p w14:paraId="2ABA959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第八条  转让双方根据拟办理的协议转让业务类型，按照</w:t>
      </w:r>
      <w:r>
        <w:rPr>
          <w:rFonts w:ascii="Times New Roman" w:hAnsi="Times New Roman" w:eastAsia="仿宋_GB2312"/>
          <w:sz w:val="32"/>
          <w:szCs w:val="32"/>
        </w:rPr>
        <w:t>本所相关办理指南</w:t>
      </w:r>
      <w:r>
        <w:rPr>
          <w:rFonts w:hint="eastAsia" w:ascii="Times New Roman" w:hAnsi="Times New Roman" w:eastAsia="仿宋_GB2312"/>
          <w:sz w:val="32"/>
          <w:szCs w:val="32"/>
        </w:rPr>
        <w:t>所列材料清单，向本所提交相应办理材料。</w:t>
      </w:r>
    </w:p>
    <w:p w14:paraId="6C72569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办理协议转让，转让双方涉及自然人的，由本人或者持公证授权委托书的代理人办理；涉及法人、其他组织的，由法定代表人、负责人或者其授权的代理人办理。</w:t>
      </w:r>
    </w:p>
    <w:p w14:paraId="1E3FB1F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转让双方应当如实填写确认表、承诺相关事项，并由本人或授权代表签字、盖章。</w:t>
      </w:r>
    </w:p>
    <w:p w14:paraId="311E721C">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 xml:space="preserve">第九条  </w:t>
      </w:r>
      <w:r>
        <w:rPr>
          <w:rFonts w:ascii="Times New Roman" w:hAnsi="Times New Roman" w:eastAsia="仿宋_GB2312"/>
          <w:sz w:val="32"/>
          <w:szCs w:val="32"/>
        </w:rPr>
        <w:t>可以</w:t>
      </w:r>
      <w:r>
        <w:rPr>
          <w:rFonts w:hint="eastAsia" w:ascii="Times New Roman" w:hAnsi="Times New Roman" w:eastAsia="仿宋_GB2312"/>
          <w:sz w:val="32"/>
          <w:szCs w:val="32"/>
        </w:rPr>
        <w:t>通过公开的政府官方渠道进行网络核验的</w:t>
      </w:r>
      <w:r>
        <w:rPr>
          <w:rFonts w:ascii="Times New Roman" w:hAnsi="Times New Roman" w:eastAsia="仿宋_GB2312"/>
          <w:sz w:val="32"/>
          <w:szCs w:val="32"/>
        </w:rPr>
        <w:t>法定证照类证明</w:t>
      </w:r>
      <w:r>
        <w:rPr>
          <w:rFonts w:hint="eastAsia" w:ascii="Times New Roman" w:hAnsi="Times New Roman" w:eastAsia="仿宋_GB2312"/>
          <w:sz w:val="32"/>
          <w:szCs w:val="32"/>
        </w:rPr>
        <w:t>文件</w:t>
      </w:r>
      <w:r>
        <w:rPr>
          <w:rFonts w:ascii="Times New Roman" w:hAnsi="Times New Roman" w:eastAsia="仿宋_GB2312"/>
          <w:sz w:val="32"/>
          <w:szCs w:val="32"/>
        </w:rPr>
        <w:t>，原则上</w:t>
      </w:r>
      <w:r>
        <w:rPr>
          <w:rFonts w:hint="eastAsia" w:ascii="Times New Roman" w:hAnsi="Times New Roman" w:eastAsia="仿宋_GB2312"/>
          <w:sz w:val="32"/>
          <w:szCs w:val="32"/>
        </w:rPr>
        <w:t>不再收取，由转让双方提供相关办理信息，并保证相关信息真实、准确、完整</w:t>
      </w:r>
      <w:r>
        <w:rPr>
          <w:rFonts w:ascii="Times New Roman" w:hAnsi="Times New Roman" w:eastAsia="仿宋_GB2312"/>
          <w:sz w:val="32"/>
          <w:szCs w:val="32"/>
        </w:rPr>
        <w:t>。</w:t>
      </w:r>
    </w:p>
    <w:p w14:paraId="1678A7DD">
      <w:pPr>
        <w:pStyle w:val="64"/>
        <w:spacing w:line="560" w:lineRule="exact"/>
        <w:ind w:firstLine="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材料清单中涉及由本所出具的文件，无需转让双方自行提交。</w:t>
      </w:r>
    </w:p>
    <w:p w14:paraId="1FB005E2">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拟转让股份的持有情况证明文件，由转让双方于提交协议转让办理材料当日，向中国证券登记结算有限责任公司（以下简称中国结算）上海分公司申请查询并打印。</w:t>
      </w:r>
    </w:p>
    <w:p w14:paraId="0D47E2F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第十条 本所按照</w:t>
      </w:r>
      <w:r>
        <w:rPr>
          <w:rFonts w:ascii="Times New Roman" w:hAnsi="Times New Roman" w:eastAsia="仿宋_GB2312"/>
          <w:sz w:val="32"/>
          <w:szCs w:val="32"/>
        </w:rPr>
        <w:t>相关办理指南</w:t>
      </w:r>
      <w:r>
        <w:rPr>
          <w:rFonts w:hint="eastAsia" w:ascii="Times New Roman" w:hAnsi="Times New Roman" w:eastAsia="仿宋_GB2312"/>
          <w:sz w:val="32"/>
          <w:szCs w:val="32"/>
        </w:rPr>
        <w:t>所列材料清单，对转让双方提交的协议转让办理材料进行完备性核对。办理材料完备的，本所予以受理，并自受理之日起3个交易日内出具协议转让确认意见。</w:t>
      </w:r>
    </w:p>
    <w:p w14:paraId="6C22A02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办理材料不完备的，本所自接收材料之日起3个交易日内通过书面形式向转让双方反馈需补充的材料。转让双方未补充完备的，本所不予受理。</w:t>
      </w:r>
    </w:p>
    <w:p w14:paraId="2EC34FD1">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需要补充材料的，补充材料的时间不计入确认时限。</w:t>
      </w:r>
    </w:p>
    <w:p w14:paraId="5770DBBC">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第十一条 本所对符合《</w:t>
      </w:r>
      <w:r>
        <w:rPr>
          <w:rFonts w:hint="eastAsia" w:ascii="Times New Roman" w:hAnsi="Times New Roman" w:eastAsia="仿宋_GB2312"/>
          <w:sz w:val="32"/>
          <w:szCs w:val="32"/>
          <w:lang w:eastAsia="zh-CN"/>
        </w:rPr>
        <w:t>办理</w:t>
      </w:r>
      <w:r>
        <w:rPr>
          <w:rFonts w:hint="eastAsia" w:ascii="Times New Roman" w:hAnsi="Times New Roman" w:eastAsia="仿宋_GB2312"/>
          <w:sz w:val="32"/>
          <w:szCs w:val="32"/>
        </w:rPr>
        <w:t>规则》和本指引规定的协议转让业务出具确认意见的，转让双方应当按照本所关于股票集中竞价交易的收费标准缴纳费用，法律法规及本所业务规则另有规定的除外。</w:t>
      </w:r>
    </w:p>
    <w:p w14:paraId="09904604">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对于每笔协议转让的单个出让方和受让方，收取费用的上限各为10万元人民币，下限各为50元人民币，法律法规及本所业务规则另有规定的除外。</w:t>
      </w:r>
    </w:p>
    <w:p w14:paraId="3A41A1FF">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第十二条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同一次协议转让申请涉及多个出让方或者受让方，其中任一出让方的出让比例或者任一受让方的受让比例低于</w:t>
      </w:r>
      <w:r>
        <w:rPr>
          <w:rFonts w:ascii="Times New Roman" w:hAnsi="Times New Roman" w:eastAsia="仿宋_GB2312"/>
          <w:sz w:val="32"/>
          <w:szCs w:val="32"/>
        </w:rPr>
        <w:t>5%的，</w:t>
      </w:r>
      <w:r>
        <w:rPr>
          <w:rFonts w:hint="eastAsia" w:ascii="Times New Roman" w:hAnsi="Times New Roman" w:eastAsia="仿宋_GB2312"/>
          <w:sz w:val="32"/>
          <w:szCs w:val="32"/>
        </w:rPr>
        <w:t>全部出让方和受让方应当同时办理股份过户手续，并一次性完成过户登记，法律法规及本所业务规则另有规定的除外。</w:t>
      </w:r>
    </w:p>
    <w:p w14:paraId="52E05B8B">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第十三条 协议转让确认意见自本所出具之日起</w:t>
      </w:r>
      <w:r>
        <w:rPr>
          <w:rFonts w:hint="eastAsia" w:ascii="Times New Roman" w:hAnsi="Times New Roman" w:eastAsia="仿宋_GB2312"/>
          <w:sz w:val="32"/>
          <w:szCs w:val="32"/>
          <w:lang w:eastAsia="zh-CN"/>
        </w:rPr>
        <w:t>6</w:t>
      </w:r>
      <w:r>
        <w:rPr>
          <w:rFonts w:hint="eastAsia" w:ascii="Times New Roman" w:hAnsi="Times New Roman" w:eastAsia="仿宋_GB2312"/>
          <w:sz w:val="32"/>
          <w:szCs w:val="32"/>
        </w:rPr>
        <w:t>个月内有效。转让双方逾期未到中国结算上海分公司申请办理股份过户登记的，应当向本所重新提交申请。</w:t>
      </w:r>
    </w:p>
    <w:p w14:paraId="1C070925">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转让双方应当按照</w:t>
      </w:r>
      <w:r>
        <w:rPr>
          <w:rFonts w:ascii="Times New Roman" w:hAnsi="Times New Roman" w:eastAsia="仿宋_GB2312"/>
          <w:sz w:val="32"/>
          <w:szCs w:val="32"/>
        </w:rPr>
        <w:t>本所</w:t>
      </w:r>
      <w:r>
        <w:rPr>
          <w:rFonts w:hint="eastAsia" w:ascii="Times New Roman" w:hAnsi="Times New Roman" w:eastAsia="仿宋_GB2312"/>
          <w:sz w:val="32"/>
          <w:szCs w:val="32"/>
        </w:rPr>
        <w:t>出具的协议转让确认表中载明的转让股份数量一次性办理过户登记。</w:t>
      </w:r>
    </w:p>
    <w:p w14:paraId="2F539AD2">
      <w:pPr>
        <w:pStyle w:val="64"/>
        <w:spacing w:line="560" w:lineRule="exact"/>
        <w:ind w:firstLine="600"/>
        <w:rPr>
          <w:rFonts w:ascii="Times New Roman" w:hAnsi="Times New Roman" w:eastAsia="仿宋_GB2312"/>
          <w:sz w:val="32"/>
          <w:szCs w:val="32"/>
        </w:rPr>
      </w:pPr>
      <w:bookmarkStart w:id="9" w:name="OLE_LINK14"/>
      <w:bookmarkStart w:id="10" w:name="OLE_LINK13"/>
      <w:r>
        <w:rPr>
          <w:rFonts w:hint="eastAsia" w:ascii="Times New Roman" w:hAnsi="Times New Roman" w:eastAsia="仿宋_GB2312"/>
          <w:sz w:val="32"/>
          <w:szCs w:val="32"/>
        </w:rPr>
        <w:t>第十四条 转让双方应当严格遵守在协议转让办理过程中作出的承诺，达到信息披露要求的，还应当及时在协议转让进展公告中披露承诺内容。</w:t>
      </w:r>
    </w:p>
    <w:p w14:paraId="295EB186">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第十五条 转让双方在本次协议转让后减持公司股份的，应当严格遵守法律法规、本所业务规则等文件作出的以及转让双方自行承诺的关于股份减持的有关规定，并严格遵守短线交易的禁止性规定。</w:t>
      </w:r>
      <w:bookmarkEnd w:id="9"/>
      <w:bookmarkEnd w:id="10"/>
    </w:p>
    <w:p w14:paraId="5FCB3D8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highlight w:val="none"/>
        </w:rPr>
        <w:t>第十六条 协议转让过户完成后，同一受让方3个月内不得就其所受让的股份再次申请协议转让。</w:t>
      </w:r>
    </w:p>
    <w:p w14:paraId="793A0A99">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第十七条 转让双方或者任何一方存在以下情形之一的，本所可以采取口头警示、书面警示等监管措施；情节严重的，给予通报批评、公开谴责、限制证券账户交易、公开认定不适合担任上市公司董事、高级管理人员等纪律处分：</w:t>
      </w:r>
    </w:p>
    <w:p w14:paraId="1503CE21">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（一）提交的协议转让办理材料不真实、不准确、不完整；</w:t>
      </w:r>
    </w:p>
    <w:p w14:paraId="7FF0C906">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（二）办理的协议转让业务违反法律法规、本所业务规则的相关规定；</w:t>
      </w:r>
    </w:p>
    <w:p w14:paraId="48684CDD">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（三）办理的协议转让业务违反了转让双方或者任何一方作出的承诺；</w:t>
      </w:r>
    </w:p>
    <w:p w14:paraId="17308332">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（四）通过交易、转让或者其他安排规避本指引的规定；</w:t>
      </w:r>
    </w:p>
    <w:p w14:paraId="6B1FF126">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（五）违反转让双方或者任何一方在办理协议转让业务时作出的承诺；</w:t>
      </w:r>
    </w:p>
    <w:p w14:paraId="4007A8C4">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（六）违反本指引规定的其他情形。</w:t>
      </w:r>
    </w:p>
    <w:p w14:paraId="5F342AF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转让双方因前款规定情形被本所给予通报批评、公开谴责或公开认定不适合担任上市公司董事、高级管理人员的纪律处分的，本所在相关纪律处分决定作出之日起12个月内，暂不受理相关当事方的协议转让业务。</w:t>
      </w:r>
    </w:p>
    <w:p w14:paraId="3DB9B45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第十八条 本指引涉及用语含义如下：</w:t>
      </w:r>
    </w:p>
    <w:p w14:paraId="6B19783D">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（一）上市公司总股本：是指上市公司境内外发行股份的总数，包括人民币普通股票（A股）、人民币特种股票（B股）、境外上市股票（含H股等）的股份数量之和；</w:t>
      </w:r>
    </w:p>
    <w:p w14:paraId="6B98BC6C">
      <w:pPr>
        <w:pStyle w:val="64"/>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（二）转让双方存在实际控制关系，或均受同一控制人所控制：是指</w:t>
      </w:r>
      <w:r>
        <w:rPr>
          <w:rFonts w:ascii="Times New Roman" w:hAnsi="Times New Roman" w:eastAsia="仿宋_GB2312"/>
          <w:sz w:val="32"/>
          <w:szCs w:val="32"/>
        </w:rPr>
        <w:t>自然人、法人或其他主体对公司持股</w:t>
      </w:r>
      <w:r>
        <w:rPr>
          <w:rFonts w:hint="eastAsia" w:ascii="Times New Roman" w:hAnsi="Times New Roman" w:eastAsia="仿宋_GB2312"/>
          <w:sz w:val="32"/>
          <w:szCs w:val="32"/>
        </w:rPr>
        <w:t>比例超过</w:t>
      </w:r>
      <w:r>
        <w:rPr>
          <w:rFonts w:ascii="Times New Roman" w:hAnsi="Times New Roman" w:eastAsia="仿宋_GB2312"/>
          <w:sz w:val="32"/>
          <w:szCs w:val="32"/>
        </w:rPr>
        <w:t>50%</w:t>
      </w:r>
      <w:r>
        <w:rPr>
          <w:rFonts w:hint="eastAsia" w:ascii="Times New Roman" w:hAnsi="Times New Roman" w:eastAsia="仿宋_GB2312"/>
          <w:sz w:val="32"/>
          <w:szCs w:val="32"/>
        </w:rPr>
        <w:t>，或根据中国证监会有关规定构成</w:t>
      </w:r>
      <w:r>
        <w:rPr>
          <w:rFonts w:ascii="Times New Roman" w:hAnsi="Times New Roman" w:eastAsia="仿宋_GB2312"/>
          <w:sz w:val="32"/>
          <w:szCs w:val="32"/>
        </w:rPr>
        <w:t>实际控制关系</w:t>
      </w:r>
      <w:r>
        <w:rPr>
          <w:rFonts w:hint="eastAsia" w:ascii="Times New Roman" w:hAnsi="Times New Roman" w:eastAsia="仿宋_GB2312"/>
          <w:sz w:val="32"/>
          <w:szCs w:val="32"/>
        </w:rPr>
        <w:t>或</w:t>
      </w:r>
      <w:r>
        <w:rPr>
          <w:rFonts w:ascii="Times New Roman" w:hAnsi="Times New Roman" w:eastAsia="仿宋_GB2312"/>
          <w:sz w:val="32"/>
          <w:szCs w:val="32"/>
        </w:rPr>
        <w:t>均受同一控制人所控制</w:t>
      </w:r>
      <w:r>
        <w:rPr>
          <w:rFonts w:hint="eastAsia" w:ascii="Times New Roman" w:hAnsi="Times New Roman" w:eastAsia="仿宋_GB2312"/>
          <w:sz w:val="32"/>
          <w:szCs w:val="32"/>
        </w:rPr>
        <w:t>。</w:t>
      </w:r>
    </w:p>
    <w:p w14:paraId="524C232A">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第十九条 本指引由本所负责解释。</w:t>
      </w:r>
    </w:p>
    <w:p w14:paraId="672DE1B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第二十条 本指引自发布之日起施行。</w:t>
      </w:r>
    </w:p>
    <w:p w14:paraId="68DCB60F">
      <w:pPr>
        <w:spacing w:line="560" w:lineRule="exact"/>
        <w:ind w:firstLine="600" w:firstLineChars="200"/>
        <w:rPr>
          <w:rFonts w:ascii="仿宋_GB2312" w:hAnsi="仿宋" w:eastAsia="仿宋_GB2312"/>
          <w:sz w:val="30"/>
          <w:szCs w:val="30"/>
        </w:rPr>
      </w:pPr>
    </w:p>
    <w:p w14:paraId="56BEB068">
      <w:pPr>
        <w:spacing w:line="560" w:lineRule="exact"/>
      </w:pPr>
    </w:p>
    <w:p w14:paraId="10CA6242">
      <w:pPr>
        <w:spacing w:line="560" w:lineRule="exact"/>
        <w:jc w:val="left"/>
        <w:rPr>
          <w:rFonts w:ascii="仿宋_GB2312" w:hAnsi="微软雅黑" w:eastAsia="仿宋_GB2312"/>
          <w:b/>
          <w:color w:val="000000"/>
          <w:sz w:val="30"/>
          <w:szCs w:val="30"/>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w:altName w:val="Times New Roman"/>
    <w:panose1 w:val="020B0604020202020204"/>
    <w:charset w:val="00"/>
    <w:family w:val="auto"/>
    <w:pitch w:val="default"/>
    <w:sig w:usb0="E0002AFF" w:usb1="C0007843" w:usb2="00000009" w:usb3="00000000" w:csb0="400001FF" w:csb1="FFFF0000"/>
  </w:font>
  <w:font w:name="Cambria">
    <w:altName w:val="Noto Sans Syriac Eastern"/>
    <w:panose1 w:val="02040503050406030204"/>
    <w:charset w:val="00"/>
    <w:family w:val="roman"/>
    <w:pitch w:val="default"/>
    <w:sig w:usb0="E00002FF" w:usb1="400004FF"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大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楷体_GB2312">
    <w:panose1 w:val="02000000000000000000"/>
    <w:charset w:val="86"/>
    <w:family w:val="modern"/>
    <w:pitch w:val="default"/>
    <w:sig w:usb0="A00002BF" w:usb1="184F6CFA" w:usb2="00000012" w:usb3="00000000" w:csb0="00040001" w:csb1="00000000"/>
  </w:font>
  <w:font w:name="ClassGarmnd BT">
    <w:altName w:val="Times New Roman"/>
    <w:panose1 w:val="00000000000000000000"/>
    <w:charset w:val="00"/>
    <w:family w:val="roman"/>
    <w:pitch w:val="default"/>
    <w:sig w:usb0="00000000" w:usb1="00000000" w:usb2="00000000" w:usb3="00000000" w:csb0="00040001" w:csb1="00000000"/>
  </w:font>
  <w:font w:name="汉仪中等线简">
    <w:panose1 w:val="02010600000101010101"/>
    <w:charset w:val="86"/>
    <w:family w:val="modern"/>
    <w:pitch w:val="default"/>
    <w:sig w:usb0="00000001" w:usb1="080E0800" w:usb2="00000002" w:usb3="00000000" w:csb0="00040000" w:csb1="00000000"/>
  </w:font>
  <w:font w:name="微软雅黑">
    <w:altName w:val="黑体"/>
    <w:panose1 w:val="020B0503020204020204"/>
    <w:charset w:val="00"/>
    <w:family w:val="swiss"/>
    <w:pitch w:val="default"/>
    <w:sig w:usb0="80000287" w:usb1="280F3C52" w:usb2="00000016" w:usb3="00000000" w:csb0="0004001F" w:csb1="00000000"/>
  </w:font>
  <w:font w:name="Arial Unicode MS">
    <w:altName w:val="Times New Roman"/>
    <w:panose1 w:val="020B0604020202020204"/>
    <w:charset w:val="00"/>
    <w:family w:val="auto"/>
    <w:pitch w:val="default"/>
    <w:sig w:usb0="FFFFFFFF" w:usb1="E9FFFFFF" w:usb2="0000003F" w:usb3="00000000" w:csb0="603F01FF" w:csb1="FFFF0000"/>
  </w:font>
  <w:font w:name="Helvetica">
    <w:altName w:val="DejaVu Sans"/>
    <w:panose1 w:val="020B0604020202020204"/>
    <w:charset w:val="00"/>
    <w:family w:val="swiss"/>
    <w:pitch w:val="default"/>
    <w:sig w:usb0="00000003" w:usb1="00000000" w:usb2="00000000" w:usb3="00000000" w:csb0="00000001" w:csb1="00000000"/>
  </w:font>
  <w:font w:name="Frutiger 45 Light">
    <w:altName w:val="阿里巴巴普惠体 R"/>
    <w:panose1 w:val="00000000000000000000"/>
    <w:charset w:val="00"/>
    <w:family w:val="auto"/>
    <w:pitch w:val="default"/>
    <w:sig w:usb0="A00000AF" w:usb1="5000205B" w:usb2="00000000" w:usb3="00000000" w:csb0="00000193" w:csb1="00000000"/>
  </w:font>
  <w:font w:name="阿里巴巴普惠体 R">
    <w:panose1 w:val="00020600040101010101"/>
    <w:charset w:val="86"/>
    <w:family w:val="auto"/>
    <w:pitch w:val="default"/>
    <w:sig w:usb0="A00002FF" w:usb1="7ACF7CFB" w:usb2="0000001E" w:usb3="00000000" w:csb0="0004009F" w:csb1="00000000"/>
  </w:font>
  <w:font w:name="华文楷体">
    <w:altName w:val="方正楷体_GBK"/>
    <w:panose1 w:val="02010600040101010101"/>
    <w:charset w:val="00"/>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Univers">
    <w:altName w:val="阿里巴巴普惠体 R"/>
    <w:panose1 w:val="00000000000000000000"/>
    <w:charset w:val="00"/>
    <w:family w:val="swiss"/>
    <w:pitch w:val="default"/>
    <w:sig w:usb0="80000287" w:usb1="00000000" w:usb2="00000000" w:usb3="00000000" w:csb0="0000000F" w:csb1="00000000"/>
  </w:font>
  <w:font w:name="等线">
    <w:altName w:val="宋体"/>
    <w:panose1 w:val="02010600030101010101"/>
    <w:charset w:val="00"/>
    <w:family w:val="auto"/>
    <w:pitch w:val="default"/>
    <w:sig w:usb0="A00002BF" w:usb1="38CF7CFA" w:usb2="00000016" w:usb3="00000000" w:csb0="0004000F" w:csb1="00000000"/>
  </w:font>
  <w:font w:name="仿宋">
    <w:altName w:val="宋体"/>
    <w:panose1 w:val="02010609060101010101"/>
    <w:charset w:val="00"/>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15FB5">
    <w:pPr>
      <w:pStyle w:val="18"/>
      <w:framePr w:wrap="around" w:vAnchor="text" w:hAnchor="margin" w:xAlign="center" w:y="1"/>
      <w:jc w:val="center"/>
      <w:rPr>
        <w:rStyle w:val="32"/>
        <w:rFonts w:hint="eastAsia"/>
      </w:rPr>
    </w:pPr>
  </w:p>
  <w:p w14:paraId="145F64C0">
    <w:pPr>
      <w:pStyle w:val="18"/>
      <w:jc w:val="right"/>
      <w:rPr>
        <w:rFonts w:hint="eastAsia" w:ascii="仿宋_GB2312" w:eastAsia="仿宋_GB2312"/>
      </w:rPr>
    </w:pPr>
    <w:r>
      <w:rPr>
        <w:rFonts w:hint="eastAsia" w:ascii="仿宋_GB2312" w:eastAsia="仿宋_GB2312"/>
        <w:bCs/>
        <w:sz w:val="28"/>
      </w:rPr>
      <w:t>－</w:t>
    </w:r>
    <w:r>
      <w:rPr>
        <w:rFonts w:hint="eastAsia" w:ascii="仿宋_GB2312" w:eastAsia="仿宋_GB2312"/>
        <w:sz w:val="28"/>
      </w:rPr>
      <w:fldChar w:fldCharType="begin"/>
    </w:r>
    <w:r>
      <w:rPr>
        <w:rFonts w:hint="eastAsia" w:ascii="仿宋_GB2312" w:eastAsia="仿宋_GB2312"/>
        <w:sz w:val="28"/>
      </w:rPr>
      <w:instrText xml:space="preserve"> PAGE </w:instrText>
    </w:r>
    <w:r>
      <w:rPr>
        <w:rFonts w:hint="eastAsia" w:ascii="仿宋_GB2312" w:eastAsia="仿宋_GB2312"/>
        <w:sz w:val="28"/>
      </w:rPr>
      <w:fldChar w:fldCharType="separate"/>
    </w:r>
    <w:r>
      <w:rPr>
        <w:rFonts w:ascii="仿宋_GB2312" w:eastAsia="仿宋_GB2312"/>
        <w:sz w:val="28"/>
        <w:lang/>
      </w:rPr>
      <w:t>7</w:t>
    </w:r>
    <w:r>
      <w:rPr>
        <w:rFonts w:hint="eastAsia" w:ascii="仿宋_GB2312" w:eastAsia="仿宋_GB2312"/>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CB92A">
    <w:pPr>
      <w:pStyle w:val="18"/>
      <w:framePr w:wrap="around" w:vAnchor="text" w:hAnchor="margin" w:xAlign="center" w:y="1"/>
      <w:rPr>
        <w:rStyle w:val="32"/>
      </w:rPr>
    </w:pPr>
  </w:p>
  <w:p w14:paraId="36C89286">
    <w:pPr>
      <w:pStyle w:val="18"/>
      <w:rPr>
        <w:rFonts w:hint="eastAsia" w:ascii="仿宋_GB2312" w:eastAsia="仿宋_GB2312"/>
      </w:rPr>
    </w:pPr>
    <w:r>
      <w:rPr>
        <w:rFonts w:hint="eastAsia" w:ascii="仿宋_GB2312" w:eastAsia="仿宋_GB2312"/>
        <w:bCs/>
        <w:sz w:val="28"/>
      </w:rPr>
      <w:t>－</w:t>
    </w:r>
    <w:r>
      <w:rPr>
        <w:rFonts w:hint="eastAsia" w:ascii="仿宋_GB2312" w:eastAsia="仿宋_GB2312"/>
        <w:sz w:val="28"/>
      </w:rPr>
      <w:fldChar w:fldCharType="begin"/>
    </w:r>
    <w:r>
      <w:rPr>
        <w:rFonts w:hint="eastAsia" w:ascii="仿宋_GB2312" w:eastAsia="仿宋_GB2312"/>
        <w:sz w:val="28"/>
      </w:rPr>
      <w:instrText xml:space="preserve"> PAGE </w:instrText>
    </w:r>
    <w:r>
      <w:rPr>
        <w:rFonts w:hint="eastAsia" w:ascii="仿宋_GB2312" w:eastAsia="仿宋_GB2312"/>
        <w:sz w:val="28"/>
      </w:rPr>
      <w:fldChar w:fldCharType="separate"/>
    </w:r>
    <w:r>
      <w:rPr>
        <w:rFonts w:ascii="仿宋_GB2312" w:eastAsia="仿宋_GB2312"/>
        <w:sz w:val="28"/>
        <w:lang/>
      </w:rPr>
      <w:t>6</w:t>
    </w:r>
    <w:r>
      <w:rPr>
        <w:rFonts w:hint="eastAsia" w:ascii="仿宋_GB2312" w:eastAsia="仿宋_GB2312"/>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04"/>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1">
    <w:nsid w:val="41D67951"/>
    <w:multiLevelType w:val="multilevel"/>
    <w:tmpl w:val="41D67951"/>
    <w:lvl w:ilvl="0" w:tentative="0">
      <w:start w:val="1"/>
      <w:numFmt w:val="japaneseCounting"/>
      <w:pStyle w:val="153"/>
      <w:lvlText w:val="第%1条"/>
      <w:lvlJc w:val="left"/>
      <w:pPr>
        <w:ind w:left="2547" w:hanging="420"/>
      </w:pPr>
      <w:rPr>
        <w:rFonts w:hint="eastAsia" w:ascii="仿宋_GB2312" w:hAnsi="黑体" w:eastAsia="仿宋_GB2312"/>
        <w:b w:val="0"/>
        <w:color w:val="auto"/>
        <w:sz w:val="30"/>
        <w:szCs w:val="30"/>
        <w:lang w:val="en-US"/>
      </w:rPr>
    </w:lvl>
    <w:lvl w:ilvl="1" w:tentative="0">
      <w:start w:val="1"/>
      <w:numFmt w:val="chineseCountingThousand"/>
      <w:lvlText w:val="(%2)"/>
      <w:lvlJc w:val="left"/>
      <w:pPr>
        <w:ind w:left="154" w:hanging="720"/>
      </w:pPr>
      <w:rPr>
        <w:rFonts w:hint="default"/>
        <w:lang w:val="en-US"/>
      </w:rPr>
    </w:lvl>
    <w:lvl w:ilvl="2" w:tentative="0">
      <w:start w:val="1"/>
      <w:numFmt w:val="japaneseCounting"/>
      <w:lvlText w:val="第%3节"/>
      <w:lvlJc w:val="left"/>
      <w:pPr>
        <w:ind w:left="284" w:hanging="720"/>
      </w:pPr>
      <w:rPr>
        <w:rFonts w:hint="default"/>
      </w:rPr>
    </w:lvl>
    <w:lvl w:ilvl="3" w:tentative="0">
      <w:start w:val="1"/>
      <w:numFmt w:val="japaneseCounting"/>
      <w:lvlText w:val="（%4）"/>
      <w:lvlJc w:val="left"/>
      <w:pPr>
        <w:ind w:left="1064" w:hanging="1080"/>
      </w:pPr>
      <w:rPr>
        <w:rFonts w:hint="default"/>
      </w:rPr>
    </w:lvl>
    <w:lvl w:ilvl="4" w:tentative="0">
      <w:start w:val="1"/>
      <w:numFmt w:val="lowerLetter"/>
      <w:lvlText w:val="%5)"/>
      <w:lvlJc w:val="left"/>
      <w:pPr>
        <w:ind w:left="824" w:hanging="420"/>
      </w:pPr>
    </w:lvl>
    <w:lvl w:ilvl="5" w:tentative="0">
      <w:start w:val="1"/>
      <w:numFmt w:val="lowerRoman"/>
      <w:lvlText w:val="%6."/>
      <w:lvlJc w:val="right"/>
      <w:pPr>
        <w:ind w:left="1244" w:hanging="420"/>
      </w:pPr>
    </w:lvl>
    <w:lvl w:ilvl="6" w:tentative="0">
      <w:start w:val="1"/>
      <w:numFmt w:val="decimal"/>
      <w:lvlText w:val="%7."/>
      <w:lvlJc w:val="left"/>
      <w:pPr>
        <w:ind w:left="1664" w:hanging="420"/>
      </w:pPr>
    </w:lvl>
    <w:lvl w:ilvl="7" w:tentative="0">
      <w:start w:val="1"/>
      <w:numFmt w:val="lowerLetter"/>
      <w:lvlText w:val="%8)"/>
      <w:lvlJc w:val="left"/>
      <w:pPr>
        <w:ind w:left="2084" w:hanging="420"/>
      </w:pPr>
    </w:lvl>
    <w:lvl w:ilvl="8" w:tentative="0">
      <w:start w:val="1"/>
      <w:numFmt w:val="lowerRoman"/>
      <w:lvlText w:val="%9."/>
      <w:lvlJc w:val="right"/>
      <w:pPr>
        <w:ind w:left="2504" w:hanging="420"/>
      </w:pPr>
    </w:lvl>
  </w:abstractNum>
  <w:abstractNum w:abstractNumId="2">
    <w:nsid w:val="5EA656DE"/>
    <w:multiLevelType w:val="multilevel"/>
    <w:tmpl w:val="5EA656DE"/>
    <w:lvl w:ilvl="0" w:tentative="0">
      <w:start w:val="1"/>
      <w:numFmt w:val="japaneseCounting"/>
      <w:pStyle w:val="91"/>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2EF"/>
    <w:rsid w:val="00001B4B"/>
    <w:rsid w:val="00001C7D"/>
    <w:rsid w:val="00002E4D"/>
    <w:rsid w:val="00002F8A"/>
    <w:rsid w:val="00004247"/>
    <w:rsid w:val="00007153"/>
    <w:rsid w:val="000123C7"/>
    <w:rsid w:val="00015CF8"/>
    <w:rsid w:val="00023C6B"/>
    <w:rsid w:val="00023D06"/>
    <w:rsid w:val="00024D17"/>
    <w:rsid w:val="00025A12"/>
    <w:rsid w:val="00025D14"/>
    <w:rsid w:val="00030A3E"/>
    <w:rsid w:val="00031432"/>
    <w:rsid w:val="00032A04"/>
    <w:rsid w:val="00034D02"/>
    <w:rsid w:val="000373C8"/>
    <w:rsid w:val="00040EBC"/>
    <w:rsid w:val="00041A60"/>
    <w:rsid w:val="00042926"/>
    <w:rsid w:val="000432C6"/>
    <w:rsid w:val="00044E84"/>
    <w:rsid w:val="00045B5A"/>
    <w:rsid w:val="00052CA3"/>
    <w:rsid w:val="00054E91"/>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803F2"/>
    <w:rsid w:val="00081D93"/>
    <w:rsid w:val="000825BD"/>
    <w:rsid w:val="000829BB"/>
    <w:rsid w:val="00084847"/>
    <w:rsid w:val="0008558C"/>
    <w:rsid w:val="0008603B"/>
    <w:rsid w:val="00092467"/>
    <w:rsid w:val="000926AA"/>
    <w:rsid w:val="000932C8"/>
    <w:rsid w:val="00094F31"/>
    <w:rsid w:val="000A2AE9"/>
    <w:rsid w:val="000A36F5"/>
    <w:rsid w:val="000A3859"/>
    <w:rsid w:val="000A4874"/>
    <w:rsid w:val="000A4E05"/>
    <w:rsid w:val="000A5BC9"/>
    <w:rsid w:val="000A5CA0"/>
    <w:rsid w:val="000A78EC"/>
    <w:rsid w:val="000B135F"/>
    <w:rsid w:val="000B19DE"/>
    <w:rsid w:val="000B1C87"/>
    <w:rsid w:val="000B1CA3"/>
    <w:rsid w:val="000B2003"/>
    <w:rsid w:val="000B233F"/>
    <w:rsid w:val="000B5A96"/>
    <w:rsid w:val="000B6B84"/>
    <w:rsid w:val="000C1296"/>
    <w:rsid w:val="000D3E58"/>
    <w:rsid w:val="000D5E80"/>
    <w:rsid w:val="000D6713"/>
    <w:rsid w:val="000D6920"/>
    <w:rsid w:val="000E0C54"/>
    <w:rsid w:val="000E0F35"/>
    <w:rsid w:val="000E1D7A"/>
    <w:rsid w:val="000E28C6"/>
    <w:rsid w:val="000E3BF1"/>
    <w:rsid w:val="000E75BE"/>
    <w:rsid w:val="000E7A26"/>
    <w:rsid w:val="000E7A4C"/>
    <w:rsid w:val="000F1729"/>
    <w:rsid w:val="000F234A"/>
    <w:rsid w:val="000F3A20"/>
    <w:rsid w:val="000F3DDE"/>
    <w:rsid w:val="000F52A2"/>
    <w:rsid w:val="000F7690"/>
    <w:rsid w:val="00103077"/>
    <w:rsid w:val="00104481"/>
    <w:rsid w:val="0010553A"/>
    <w:rsid w:val="00106537"/>
    <w:rsid w:val="00106E5E"/>
    <w:rsid w:val="00112324"/>
    <w:rsid w:val="0011790D"/>
    <w:rsid w:val="00120EA1"/>
    <w:rsid w:val="00121D8C"/>
    <w:rsid w:val="001236BB"/>
    <w:rsid w:val="0012471B"/>
    <w:rsid w:val="00124948"/>
    <w:rsid w:val="00126898"/>
    <w:rsid w:val="00127BB8"/>
    <w:rsid w:val="001303BE"/>
    <w:rsid w:val="001313FC"/>
    <w:rsid w:val="001320F9"/>
    <w:rsid w:val="0013265E"/>
    <w:rsid w:val="00132F87"/>
    <w:rsid w:val="00135048"/>
    <w:rsid w:val="00135676"/>
    <w:rsid w:val="00136D79"/>
    <w:rsid w:val="00136E1D"/>
    <w:rsid w:val="00141A5B"/>
    <w:rsid w:val="00142BF9"/>
    <w:rsid w:val="00143741"/>
    <w:rsid w:val="0014416A"/>
    <w:rsid w:val="00144741"/>
    <w:rsid w:val="00145463"/>
    <w:rsid w:val="00145E5C"/>
    <w:rsid w:val="00146E00"/>
    <w:rsid w:val="00152423"/>
    <w:rsid w:val="0015502E"/>
    <w:rsid w:val="00156E9B"/>
    <w:rsid w:val="001607D9"/>
    <w:rsid w:val="00160C0B"/>
    <w:rsid w:val="0016249D"/>
    <w:rsid w:val="001628DD"/>
    <w:rsid w:val="00162B2D"/>
    <w:rsid w:val="001636A4"/>
    <w:rsid w:val="00163F0D"/>
    <w:rsid w:val="00165363"/>
    <w:rsid w:val="001675AF"/>
    <w:rsid w:val="0017731B"/>
    <w:rsid w:val="00177844"/>
    <w:rsid w:val="00185194"/>
    <w:rsid w:val="00186386"/>
    <w:rsid w:val="00191A1F"/>
    <w:rsid w:val="0019316F"/>
    <w:rsid w:val="00195F7F"/>
    <w:rsid w:val="00197495"/>
    <w:rsid w:val="00197504"/>
    <w:rsid w:val="001A27B8"/>
    <w:rsid w:val="001A306E"/>
    <w:rsid w:val="001A4038"/>
    <w:rsid w:val="001A47AF"/>
    <w:rsid w:val="001A5E3D"/>
    <w:rsid w:val="001B0CC8"/>
    <w:rsid w:val="001B0E13"/>
    <w:rsid w:val="001B2E0F"/>
    <w:rsid w:val="001B3FDC"/>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7F0"/>
    <w:rsid w:val="001E2BC7"/>
    <w:rsid w:val="001E2F7B"/>
    <w:rsid w:val="001E52DC"/>
    <w:rsid w:val="001E53A2"/>
    <w:rsid w:val="001E55F0"/>
    <w:rsid w:val="001E594A"/>
    <w:rsid w:val="001E7729"/>
    <w:rsid w:val="001F31C1"/>
    <w:rsid w:val="001F3DCC"/>
    <w:rsid w:val="001F658F"/>
    <w:rsid w:val="001F6A6E"/>
    <w:rsid w:val="00201124"/>
    <w:rsid w:val="00201763"/>
    <w:rsid w:val="00204177"/>
    <w:rsid w:val="0021054A"/>
    <w:rsid w:val="002106B0"/>
    <w:rsid w:val="00210AB6"/>
    <w:rsid w:val="00211106"/>
    <w:rsid w:val="0021196D"/>
    <w:rsid w:val="00212492"/>
    <w:rsid w:val="002141CC"/>
    <w:rsid w:val="0021537B"/>
    <w:rsid w:val="00216DCB"/>
    <w:rsid w:val="00217D52"/>
    <w:rsid w:val="00220EFA"/>
    <w:rsid w:val="00222218"/>
    <w:rsid w:val="0022256E"/>
    <w:rsid w:val="0022274E"/>
    <w:rsid w:val="00222DC0"/>
    <w:rsid w:val="002243B6"/>
    <w:rsid w:val="00227A2C"/>
    <w:rsid w:val="00230603"/>
    <w:rsid w:val="00230694"/>
    <w:rsid w:val="00230E4E"/>
    <w:rsid w:val="00232702"/>
    <w:rsid w:val="00232F16"/>
    <w:rsid w:val="00233149"/>
    <w:rsid w:val="002344BE"/>
    <w:rsid w:val="00234A4F"/>
    <w:rsid w:val="00234E30"/>
    <w:rsid w:val="00235263"/>
    <w:rsid w:val="00240656"/>
    <w:rsid w:val="00241C94"/>
    <w:rsid w:val="002436E6"/>
    <w:rsid w:val="00243E11"/>
    <w:rsid w:val="002441E9"/>
    <w:rsid w:val="00244718"/>
    <w:rsid w:val="00245FED"/>
    <w:rsid w:val="002470D8"/>
    <w:rsid w:val="00247A8F"/>
    <w:rsid w:val="002549B0"/>
    <w:rsid w:val="00256A60"/>
    <w:rsid w:val="00260879"/>
    <w:rsid w:val="00260FCD"/>
    <w:rsid w:val="002616D1"/>
    <w:rsid w:val="002618E8"/>
    <w:rsid w:val="00261C52"/>
    <w:rsid w:val="0026217A"/>
    <w:rsid w:val="002635C2"/>
    <w:rsid w:val="00263787"/>
    <w:rsid w:val="002649A0"/>
    <w:rsid w:val="00266DD8"/>
    <w:rsid w:val="002679E4"/>
    <w:rsid w:val="00267B6F"/>
    <w:rsid w:val="00267D17"/>
    <w:rsid w:val="0027033D"/>
    <w:rsid w:val="00270D15"/>
    <w:rsid w:val="00271DEA"/>
    <w:rsid w:val="00272B98"/>
    <w:rsid w:val="002742F8"/>
    <w:rsid w:val="00275429"/>
    <w:rsid w:val="0027565F"/>
    <w:rsid w:val="00275CBD"/>
    <w:rsid w:val="00275FED"/>
    <w:rsid w:val="00277FFE"/>
    <w:rsid w:val="00280575"/>
    <w:rsid w:val="00281615"/>
    <w:rsid w:val="002839B7"/>
    <w:rsid w:val="0028470E"/>
    <w:rsid w:val="002850BA"/>
    <w:rsid w:val="00291DB3"/>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AC9"/>
    <w:rsid w:val="002C7EF9"/>
    <w:rsid w:val="002D03C3"/>
    <w:rsid w:val="002D247D"/>
    <w:rsid w:val="002D5D60"/>
    <w:rsid w:val="002D7AA5"/>
    <w:rsid w:val="002E07CD"/>
    <w:rsid w:val="002E2810"/>
    <w:rsid w:val="002E2C77"/>
    <w:rsid w:val="002E3469"/>
    <w:rsid w:val="002E42D0"/>
    <w:rsid w:val="002E4C05"/>
    <w:rsid w:val="002E4D4C"/>
    <w:rsid w:val="002E7143"/>
    <w:rsid w:val="002E7913"/>
    <w:rsid w:val="002E7C38"/>
    <w:rsid w:val="002F0D79"/>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148C"/>
    <w:rsid w:val="00323793"/>
    <w:rsid w:val="0032399D"/>
    <w:rsid w:val="00324FB8"/>
    <w:rsid w:val="00326C6B"/>
    <w:rsid w:val="00327E4E"/>
    <w:rsid w:val="003317AD"/>
    <w:rsid w:val="00333B5A"/>
    <w:rsid w:val="003342AD"/>
    <w:rsid w:val="003369A0"/>
    <w:rsid w:val="00337B01"/>
    <w:rsid w:val="0034251F"/>
    <w:rsid w:val="00343987"/>
    <w:rsid w:val="003459FC"/>
    <w:rsid w:val="00350A49"/>
    <w:rsid w:val="0035170E"/>
    <w:rsid w:val="0035204B"/>
    <w:rsid w:val="00352DDF"/>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372"/>
    <w:rsid w:val="00386A61"/>
    <w:rsid w:val="0038722F"/>
    <w:rsid w:val="00387B66"/>
    <w:rsid w:val="0039017A"/>
    <w:rsid w:val="003935C7"/>
    <w:rsid w:val="00393AC8"/>
    <w:rsid w:val="00397420"/>
    <w:rsid w:val="003979FD"/>
    <w:rsid w:val="003A2017"/>
    <w:rsid w:val="003A4275"/>
    <w:rsid w:val="003A46E9"/>
    <w:rsid w:val="003A4957"/>
    <w:rsid w:val="003A5630"/>
    <w:rsid w:val="003A5A71"/>
    <w:rsid w:val="003A646D"/>
    <w:rsid w:val="003B1962"/>
    <w:rsid w:val="003B1B87"/>
    <w:rsid w:val="003B1ED9"/>
    <w:rsid w:val="003B2A6C"/>
    <w:rsid w:val="003B2F8E"/>
    <w:rsid w:val="003B45A3"/>
    <w:rsid w:val="003B6094"/>
    <w:rsid w:val="003B65E2"/>
    <w:rsid w:val="003B7D3A"/>
    <w:rsid w:val="003C23AD"/>
    <w:rsid w:val="003C293C"/>
    <w:rsid w:val="003C37A4"/>
    <w:rsid w:val="003C37A5"/>
    <w:rsid w:val="003C5E90"/>
    <w:rsid w:val="003C7171"/>
    <w:rsid w:val="003D24C9"/>
    <w:rsid w:val="003D3027"/>
    <w:rsid w:val="003D4890"/>
    <w:rsid w:val="003D5445"/>
    <w:rsid w:val="003D73C7"/>
    <w:rsid w:val="003D7920"/>
    <w:rsid w:val="003E06D1"/>
    <w:rsid w:val="003E100F"/>
    <w:rsid w:val="003E1D04"/>
    <w:rsid w:val="003E75F6"/>
    <w:rsid w:val="003E785F"/>
    <w:rsid w:val="003F318F"/>
    <w:rsid w:val="003F6CCE"/>
    <w:rsid w:val="003F78E1"/>
    <w:rsid w:val="0040193F"/>
    <w:rsid w:val="00401D7B"/>
    <w:rsid w:val="00401ED0"/>
    <w:rsid w:val="004050CB"/>
    <w:rsid w:val="0040559C"/>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8A5"/>
    <w:rsid w:val="00433D0E"/>
    <w:rsid w:val="004342BF"/>
    <w:rsid w:val="004347DB"/>
    <w:rsid w:val="00434DF5"/>
    <w:rsid w:val="0043610F"/>
    <w:rsid w:val="00436F3C"/>
    <w:rsid w:val="00440411"/>
    <w:rsid w:val="004418F4"/>
    <w:rsid w:val="004473CB"/>
    <w:rsid w:val="004503F5"/>
    <w:rsid w:val="00450748"/>
    <w:rsid w:val="004512D0"/>
    <w:rsid w:val="00451DE9"/>
    <w:rsid w:val="00453B56"/>
    <w:rsid w:val="0045439F"/>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2CC4"/>
    <w:rsid w:val="004B7CA4"/>
    <w:rsid w:val="004C0FBE"/>
    <w:rsid w:val="004C19B8"/>
    <w:rsid w:val="004C2EB9"/>
    <w:rsid w:val="004C3061"/>
    <w:rsid w:val="004C30AE"/>
    <w:rsid w:val="004C36A0"/>
    <w:rsid w:val="004C3E81"/>
    <w:rsid w:val="004C5C9E"/>
    <w:rsid w:val="004C6332"/>
    <w:rsid w:val="004C75A5"/>
    <w:rsid w:val="004C7695"/>
    <w:rsid w:val="004C7A14"/>
    <w:rsid w:val="004D006C"/>
    <w:rsid w:val="004D1213"/>
    <w:rsid w:val="004D192C"/>
    <w:rsid w:val="004D2769"/>
    <w:rsid w:val="004D3CA9"/>
    <w:rsid w:val="004D3D37"/>
    <w:rsid w:val="004D3ED3"/>
    <w:rsid w:val="004D3EE9"/>
    <w:rsid w:val="004D47EE"/>
    <w:rsid w:val="004D56FB"/>
    <w:rsid w:val="004D5968"/>
    <w:rsid w:val="004D77F2"/>
    <w:rsid w:val="004E3143"/>
    <w:rsid w:val="004E46A0"/>
    <w:rsid w:val="004E60FA"/>
    <w:rsid w:val="004E70D1"/>
    <w:rsid w:val="004F0560"/>
    <w:rsid w:val="004F0E96"/>
    <w:rsid w:val="004F282C"/>
    <w:rsid w:val="005012B2"/>
    <w:rsid w:val="00501E8E"/>
    <w:rsid w:val="00502B77"/>
    <w:rsid w:val="0050608F"/>
    <w:rsid w:val="00506CFA"/>
    <w:rsid w:val="00511DA3"/>
    <w:rsid w:val="00514115"/>
    <w:rsid w:val="00515589"/>
    <w:rsid w:val="0051598C"/>
    <w:rsid w:val="005166C5"/>
    <w:rsid w:val="00524254"/>
    <w:rsid w:val="00524516"/>
    <w:rsid w:val="0052596B"/>
    <w:rsid w:val="005267E3"/>
    <w:rsid w:val="005269DB"/>
    <w:rsid w:val="00526EC7"/>
    <w:rsid w:val="00530BB1"/>
    <w:rsid w:val="0053123E"/>
    <w:rsid w:val="0053175B"/>
    <w:rsid w:val="00531853"/>
    <w:rsid w:val="00532C03"/>
    <w:rsid w:val="0053321A"/>
    <w:rsid w:val="005357B4"/>
    <w:rsid w:val="0053655F"/>
    <w:rsid w:val="00537B28"/>
    <w:rsid w:val="00540E15"/>
    <w:rsid w:val="00542AD1"/>
    <w:rsid w:val="00545E78"/>
    <w:rsid w:val="00546621"/>
    <w:rsid w:val="0055053A"/>
    <w:rsid w:val="00550946"/>
    <w:rsid w:val="00551C59"/>
    <w:rsid w:val="00555BF7"/>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076"/>
    <w:rsid w:val="005852F4"/>
    <w:rsid w:val="00586A5C"/>
    <w:rsid w:val="005871A7"/>
    <w:rsid w:val="00591567"/>
    <w:rsid w:val="0059289B"/>
    <w:rsid w:val="00597C58"/>
    <w:rsid w:val="005A0248"/>
    <w:rsid w:val="005A729C"/>
    <w:rsid w:val="005B0A0A"/>
    <w:rsid w:val="005B1EF7"/>
    <w:rsid w:val="005B3346"/>
    <w:rsid w:val="005B4A0C"/>
    <w:rsid w:val="005B73E7"/>
    <w:rsid w:val="005B740A"/>
    <w:rsid w:val="005C0AA5"/>
    <w:rsid w:val="005C1D93"/>
    <w:rsid w:val="005C2403"/>
    <w:rsid w:val="005C533A"/>
    <w:rsid w:val="005C7940"/>
    <w:rsid w:val="005D1E77"/>
    <w:rsid w:val="005D34F3"/>
    <w:rsid w:val="005D655A"/>
    <w:rsid w:val="005E4BD1"/>
    <w:rsid w:val="005E6B96"/>
    <w:rsid w:val="005E6D26"/>
    <w:rsid w:val="005F0B5C"/>
    <w:rsid w:val="005F1000"/>
    <w:rsid w:val="005F5CEB"/>
    <w:rsid w:val="006012ED"/>
    <w:rsid w:val="00604249"/>
    <w:rsid w:val="006046F4"/>
    <w:rsid w:val="00604D58"/>
    <w:rsid w:val="00607B22"/>
    <w:rsid w:val="00612558"/>
    <w:rsid w:val="00613446"/>
    <w:rsid w:val="006160EB"/>
    <w:rsid w:val="006224DE"/>
    <w:rsid w:val="006226D3"/>
    <w:rsid w:val="00622999"/>
    <w:rsid w:val="00624E99"/>
    <w:rsid w:val="006252D0"/>
    <w:rsid w:val="00625B9F"/>
    <w:rsid w:val="0062772F"/>
    <w:rsid w:val="0062773F"/>
    <w:rsid w:val="00631857"/>
    <w:rsid w:val="006322C3"/>
    <w:rsid w:val="00634068"/>
    <w:rsid w:val="006347CB"/>
    <w:rsid w:val="006355BD"/>
    <w:rsid w:val="0063617D"/>
    <w:rsid w:val="00636194"/>
    <w:rsid w:val="00636241"/>
    <w:rsid w:val="0063648A"/>
    <w:rsid w:val="0063751D"/>
    <w:rsid w:val="00637B93"/>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57D50"/>
    <w:rsid w:val="00660EA6"/>
    <w:rsid w:val="00660ED0"/>
    <w:rsid w:val="00661A30"/>
    <w:rsid w:val="006626EC"/>
    <w:rsid w:val="006634DC"/>
    <w:rsid w:val="00663BF9"/>
    <w:rsid w:val="006643A1"/>
    <w:rsid w:val="00664A78"/>
    <w:rsid w:val="0066604E"/>
    <w:rsid w:val="00671031"/>
    <w:rsid w:val="006733B8"/>
    <w:rsid w:val="00675DA4"/>
    <w:rsid w:val="0067618A"/>
    <w:rsid w:val="006774D8"/>
    <w:rsid w:val="00677C37"/>
    <w:rsid w:val="00687AD3"/>
    <w:rsid w:val="00687B1F"/>
    <w:rsid w:val="006942A0"/>
    <w:rsid w:val="006950E9"/>
    <w:rsid w:val="00695BE1"/>
    <w:rsid w:val="006A0837"/>
    <w:rsid w:val="006A1C89"/>
    <w:rsid w:val="006A2EFC"/>
    <w:rsid w:val="006A5E0F"/>
    <w:rsid w:val="006B12E3"/>
    <w:rsid w:val="006B1CB8"/>
    <w:rsid w:val="006B212A"/>
    <w:rsid w:val="006B309B"/>
    <w:rsid w:val="006B3B78"/>
    <w:rsid w:val="006B3EFA"/>
    <w:rsid w:val="006B42DD"/>
    <w:rsid w:val="006B71BA"/>
    <w:rsid w:val="006B7AD2"/>
    <w:rsid w:val="006C271C"/>
    <w:rsid w:val="006C4D4D"/>
    <w:rsid w:val="006C4F79"/>
    <w:rsid w:val="006C7059"/>
    <w:rsid w:val="006D070F"/>
    <w:rsid w:val="006D46CE"/>
    <w:rsid w:val="006D5D36"/>
    <w:rsid w:val="006D77DA"/>
    <w:rsid w:val="006E1373"/>
    <w:rsid w:val="006E1852"/>
    <w:rsid w:val="006E2493"/>
    <w:rsid w:val="006E3C7D"/>
    <w:rsid w:val="006E3D07"/>
    <w:rsid w:val="006E43AF"/>
    <w:rsid w:val="006E53B6"/>
    <w:rsid w:val="006E5931"/>
    <w:rsid w:val="006F0FD0"/>
    <w:rsid w:val="006F1AC8"/>
    <w:rsid w:val="006F2772"/>
    <w:rsid w:val="006F3EC4"/>
    <w:rsid w:val="006F4002"/>
    <w:rsid w:val="006F4BC0"/>
    <w:rsid w:val="006F76EC"/>
    <w:rsid w:val="00700E2A"/>
    <w:rsid w:val="00700EDE"/>
    <w:rsid w:val="00701434"/>
    <w:rsid w:val="00702262"/>
    <w:rsid w:val="00702B5A"/>
    <w:rsid w:val="00702F9F"/>
    <w:rsid w:val="00706175"/>
    <w:rsid w:val="0071240E"/>
    <w:rsid w:val="0071283D"/>
    <w:rsid w:val="00712F62"/>
    <w:rsid w:val="00713A56"/>
    <w:rsid w:val="00714813"/>
    <w:rsid w:val="0071491B"/>
    <w:rsid w:val="00717276"/>
    <w:rsid w:val="007177B6"/>
    <w:rsid w:val="007202D5"/>
    <w:rsid w:val="0072046E"/>
    <w:rsid w:val="007222DB"/>
    <w:rsid w:val="0072316A"/>
    <w:rsid w:val="0073155B"/>
    <w:rsid w:val="007315AB"/>
    <w:rsid w:val="00733A2F"/>
    <w:rsid w:val="00737001"/>
    <w:rsid w:val="00737881"/>
    <w:rsid w:val="00737B33"/>
    <w:rsid w:val="0074005F"/>
    <w:rsid w:val="0074121D"/>
    <w:rsid w:val="00743198"/>
    <w:rsid w:val="00743305"/>
    <w:rsid w:val="007437FC"/>
    <w:rsid w:val="0074538D"/>
    <w:rsid w:val="00746780"/>
    <w:rsid w:val="00747D97"/>
    <w:rsid w:val="007527F4"/>
    <w:rsid w:val="00753327"/>
    <w:rsid w:val="007533EB"/>
    <w:rsid w:val="00755115"/>
    <w:rsid w:val="00760416"/>
    <w:rsid w:val="007677C1"/>
    <w:rsid w:val="00772ABE"/>
    <w:rsid w:val="00772D4D"/>
    <w:rsid w:val="00772E38"/>
    <w:rsid w:val="00773E8A"/>
    <w:rsid w:val="0077613F"/>
    <w:rsid w:val="0077623D"/>
    <w:rsid w:val="007763AD"/>
    <w:rsid w:val="007808CE"/>
    <w:rsid w:val="007825D2"/>
    <w:rsid w:val="007830C3"/>
    <w:rsid w:val="00784B4B"/>
    <w:rsid w:val="00784FDA"/>
    <w:rsid w:val="00790888"/>
    <w:rsid w:val="00790B83"/>
    <w:rsid w:val="007A097C"/>
    <w:rsid w:val="007A0D40"/>
    <w:rsid w:val="007A138E"/>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5B"/>
    <w:rsid w:val="007C5711"/>
    <w:rsid w:val="007C59A1"/>
    <w:rsid w:val="007C728C"/>
    <w:rsid w:val="007D0941"/>
    <w:rsid w:val="007D16C1"/>
    <w:rsid w:val="007D3C28"/>
    <w:rsid w:val="007D3DD0"/>
    <w:rsid w:val="007D54E4"/>
    <w:rsid w:val="007D5C87"/>
    <w:rsid w:val="007D70E3"/>
    <w:rsid w:val="007E0C8B"/>
    <w:rsid w:val="007E2FA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7688"/>
    <w:rsid w:val="00817CA1"/>
    <w:rsid w:val="00820EF8"/>
    <w:rsid w:val="008217E1"/>
    <w:rsid w:val="00821C89"/>
    <w:rsid w:val="00821D4C"/>
    <w:rsid w:val="00822ABF"/>
    <w:rsid w:val="00822BA2"/>
    <w:rsid w:val="00824394"/>
    <w:rsid w:val="0082486A"/>
    <w:rsid w:val="00824A87"/>
    <w:rsid w:val="00825046"/>
    <w:rsid w:val="00826807"/>
    <w:rsid w:val="00826992"/>
    <w:rsid w:val="008272B9"/>
    <w:rsid w:val="00831510"/>
    <w:rsid w:val="00832781"/>
    <w:rsid w:val="008328A3"/>
    <w:rsid w:val="00833B84"/>
    <w:rsid w:val="00835872"/>
    <w:rsid w:val="00836B7B"/>
    <w:rsid w:val="00837048"/>
    <w:rsid w:val="00837188"/>
    <w:rsid w:val="00842134"/>
    <w:rsid w:val="00844BD0"/>
    <w:rsid w:val="00844F9D"/>
    <w:rsid w:val="00847709"/>
    <w:rsid w:val="00850281"/>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2E61"/>
    <w:rsid w:val="00883A4B"/>
    <w:rsid w:val="00883BB2"/>
    <w:rsid w:val="00887655"/>
    <w:rsid w:val="008876D1"/>
    <w:rsid w:val="0088799E"/>
    <w:rsid w:val="0089079B"/>
    <w:rsid w:val="00890AAC"/>
    <w:rsid w:val="00890D5D"/>
    <w:rsid w:val="008934F6"/>
    <w:rsid w:val="00896230"/>
    <w:rsid w:val="00896FD1"/>
    <w:rsid w:val="008A007C"/>
    <w:rsid w:val="008A1745"/>
    <w:rsid w:val="008A5BEB"/>
    <w:rsid w:val="008A5E4F"/>
    <w:rsid w:val="008B2795"/>
    <w:rsid w:val="008B2F51"/>
    <w:rsid w:val="008B3083"/>
    <w:rsid w:val="008B3745"/>
    <w:rsid w:val="008B577C"/>
    <w:rsid w:val="008C09C1"/>
    <w:rsid w:val="008C0A41"/>
    <w:rsid w:val="008C2274"/>
    <w:rsid w:val="008C3EF1"/>
    <w:rsid w:val="008C76F6"/>
    <w:rsid w:val="008D0B9E"/>
    <w:rsid w:val="008D3ECB"/>
    <w:rsid w:val="008D40AB"/>
    <w:rsid w:val="008D4424"/>
    <w:rsid w:val="008D48F1"/>
    <w:rsid w:val="008D4D45"/>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0A5A"/>
    <w:rsid w:val="00931828"/>
    <w:rsid w:val="009329BE"/>
    <w:rsid w:val="00932D6A"/>
    <w:rsid w:val="00934EAC"/>
    <w:rsid w:val="00934F0D"/>
    <w:rsid w:val="0093659D"/>
    <w:rsid w:val="00937FA6"/>
    <w:rsid w:val="00941EA3"/>
    <w:rsid w:val="00942841"/>
    <w:rsid w:val="0094344B"/>
    <w:rsid w:val="00944CA6"/>
    <w:rsid w:val="009469CA"/>
    <w:rsid w:val="00946AF3"/>
    <w:rsid w:val="00946E57"/>
    <w:rsid w:val="00947BF3"/>
    <w:rsid w:val="00950B78"/>
    <w:rsid w:val="0095420C"/>
    <w:rsid w:val="00956996"/>
    <w:rsid w:val="00956D22"/>
    <w:rsid w:val="009571BD"/>
    <w:rsid w:val="00957968"/>
    <w:rsid w:val="00961E9B"/>
    <w:rsid w:val="00962833"/>
    <w:rsid w:val="00962E5E"/>
    <w:rsid w:val="009637B8"/>
    <w:rsid w:val="009661BD"/>
    <w:rsid w:val="00967F26"/>
    <w:rsid w:val="00972165"/>
    <w:rsid w:val="0097258E"/>
    <w:rsid w:val="0097636E"/>
    <w:rsid w:val="00981F0B"/>
    <w:rsid w:val="009837BA"/>
    <w:rsid w:val="00984982"/>
    <w:rsid w:val="009856EB"/>
    <w:rsid w:val="0098660E"/>
    <w:rsid w:val="0098747C"/>
    <w:rsid w:val="00987544"/>
    <w:rsid w:val="009876E3"/>
    <w:rsid w:val="00987F07"/>
    <w:rsid w:val="00990027"/>
    <w:rsid w:val="00992635"/>
    <w:rsid w:val="00995B90"/>
    <w:rsid w:val="00996D3E"/>
    <w:rsid w:val="009A1519"/>
    <w:rsid w:val="009A1E71"/>
    <w:rsid w:val="009A45F5"/>
    <w:rsid w:val="009A52E1"/>
    <w:rsid w:val="009A54EE"/>
    <w:rsid w:val="009A605E"/>
    <w:rsid w:val="009B03B4"/>
    <w:rsid w:val="009B04E7"/>
    <w:rsid w:val="009B2C2E"/>
    <w:rsid w:val="009B3A90"/>
    <w:rsid w:val="009B3D6E"/>
    <w:rsid w:val="009B697A"/>
    <w:rsid w:val="009B7FE0"/>
    <w:rsid w:val="009C61AC"/>
    <w:rsid w:val="009D0CF1"/>
    <w:rsid w:val="009D1433"/>
    <w:rsid w:val="009D1623"/>
    <w:rsid w:val="009D172A"/>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0F08"/>
    <w:rsid w:val="00A213F5"/>
    <w:rsid w:val="00A2341D"/>
    <w:rsid w:val="00A2393F"/>
    <w:rsid w:val="00A247ED"/>
    <w:rsid w:val="00A271E5"/>
    <w:rsid w:val="00A273D3"/>
    <w:rsid w:val="00A27D95"/>
    <w:rsid w:val="00A34790"/>
    <w:rsid w:val="00A35972"/>
    <w:rsid w:val="00A40995"/>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58A8"/>
    <w:rsid w:val="00A576FA"/>
    <w:rsid w:val="00A643AB"/>
    <w:rsid w:val="00A67700"/>
    <w:rsid w:val="00A715FB"/>
    <w:rsid w:val="00A74481"/>
    <w:rsid w:val="00A76668"/>
    <w:rsid w:val="00A80257"/>
    <w:rsid w:val="00A81A50"/>
    <w:rsid w:val="00A839F1"/>
    <w:rsid w:val="00A83B31"/>
    <w:rsid w:val="00A843AB"/>
    <w:rsid w:val="00A84B52"/>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2777"/>
    <w:rsid w:val="00AA3D7C"/>
    <w:rsid w:val="00AB1C92"/>
    <w:rsid w:val="00AB21CF"/>
    <w:rsid w:val="00AB2B60"/>
    <w:rsid w:val="00AB2F83"/>
    <w:rsid w:val="00AB331D"/>
    <w:rsid w:val="00AB3AB3"/>
    <w:rsid w:val="00AB6F38"/>
    <w:rsid w:val="00AB749B"/>
    <w:rsid w:val="00AB7CE1"/>
    <w:rsid w:val="00AC12AE"/>
    <w:rsid w:val="00AC1905"/>
    <w:rsid w:val="00AC3767"/>
    <w:rsid w:val="00AC379A"/>
    <w:rsid w:val="00AC38E7"/>
    <w:rsid w:val="00AC495F"/>
    <w:rsid w:val="00AC58A3"/>
    <w:rsid w:val="00AC7176"/>
    <w:rsid w:val="00AD27F5"/>
    <w:rsid w:val="00AD3D98"/>
    <w:rsid w:val="00AD407F"/>
    <w:rsid w:val="00AD66B6"/>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6A94"/>
    <w:rsid w:val="00B07573"/>
    <w:rsid w:val="00B07B8B"/>
    <w:rsid w:val="00B127DC"/>
    <w:rsid w:val="00B12AF6"/>
    <w:rsid w:val="00B134E7"/>
    <w:rsid w:val="00B13B2F"/>
    <w:rsid w:val="00B1419A"/>
    <w:rsid w:val="00B17073"/>
    <w:rsid w:val="00B17E6D"/>
    <w:rsid w:val="00B205BE"/>
    <w:rsid w:val="00B24DED"/>
    <w:rsid w:val="00B274D6"/>
    <w:rsid w:val="00B27721"/>
    <w:rsid w:val="00B27751"/>
    <w:rsid w:val="00B3095A"/>
    <w:rsid w:val="00B310D5"/>
    <w:rsid w:val="00B318A4"/>
    <w:rsid w:val="00B33921"/>
    <w:rsid w:val="00B3428E"/>
    <w:rsid w:val="00B34BAD"/>
    <w:rsid w:val="00B352BC"/>
    <w:rsid w:val="00B417B5"/>
    <w:rsid w:val="00B41CF9"/>
    <w:rsid w:val="00B42677"/>
    <w:rsid w:val="00B46694"/>
    <w:rsid w:val="00B5283F"/>
    <w:rsid w:val="00B57B90"/>
    <w:rsid w:val="00B62790"/>
    <w:rsid w:val="00B62F7C"/>
    <w:rsid w:val="00B6567C"/>
    <w:rsid w:val="00B65B98"/>
    <w:rsid w:val="00B661EC"/>
    <w:rsid w:val="00B6696B"/>
    <w:rsid w:val="00B671AF"/>
    <w:rsid w:val="00B67E73"/>
    <w:rsid w:val="00B72D35"/>
    <w:rsid w:val="00B73134"/>
    <w:rsid w:val="00B73B59"/>
    <w:rsid w:val="00B74853"/>
    <w:rsid w:val="00B74CFF"/>
    <w:rsid w:val="00B76DF7"/>
    <w:rsid w:val="00B777DC"/>
    <w:rsid w:val="00B81C86"/>
    <w:rsid w:val="00B8482E"/>
    <w:rsid w:val="00B84D0F"/>
    <w:rsid w:val="00B85CB9"/>
    <w:rsid w:val="00B86ACD"/>
    <w:rsid w:val="00B86C6A"/>
    <w:rsid w:val="00B9008D"/>
    <w:rsid w:val="00B91F88"/>
    <w:rsid w:val="00B95AC1"/>
    <w:rsid w:val="00B972D5"/>
    <w:rsid w:val="00BA08DC"/>
    <w:rsid w:val="00BA0A6D"/>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204F"/>
    <w:rsid w:val="00BD27FF"/>
    <w:rsid w:val="00BD329E"/>
    <w:rsid w:val="00BE1E28"/>
    <w:rsid w:val="00BE2432"/>
    <w:rsid w:val="00BE315A"/>
    <w:rsid w:val="00BE3C9B"/>
    <w:rsid w:val="00BE458C"/>
    <w:rsid w:val="00BE5DEB"/>
    <w:rsid w:val="00BF01C8"/>
    <w:rsid w:val="00BF02E0"/>
    <w:rsid w:val="00BF03E4"/>
    <w:rsid w:val="00BF1067"/>
    <w:rsid w:val="00BF4692"/>
    <w:rsid w:val="00BF48E2"/>
    <w:rsid w:val="00BF54AF"/>
    <w:rsid w:val="00BF69B9"/>
    <w:rsid w:val="00BF7CEC"/>
    <w:rsid w:val="00C010F2"/>
    <w:rsid w:val="00C0135E"/>
    <w:rsid w:val="00C044E4"/>
    <w:rsid w:val="00C04696"/>
    <w:rsid w:val="00C074F2"/>
    <w:rsid w:val="00C07E89"/>
    <w:rsid w:val="00C13461"/>
    <w:rsid w:val="00C13FFE"/>
    <w:rsid w:val="00C141BA"/>
    <w:rsid w:val="00C167D3"/>
    <w:rsid w:val="00C177C8"/>
    <w:rsid w:val="00C22077"/>
    <w:rsid w:val="00C23FA9"/>
    <w:rsid w:val="00C24220"/>
    <w:rsid w:val="00C3069F"/>
    <w:rsid w:val="00C314A7"/>
    <w:rsid w:val="00C318EB"/>
    <w:rsid w:val="00C32C09"/>
    <w:rsid w:val="00C34157"/>
    <w:rsid w:val="00C34AC1"/>
    <w:rsid w:val="00C35C33"/>
    <w:rsid w:val="00C36242"/>
    <w:rsid w:val="00C36676"/>
    <w:rsid w:val="00C36F56"/>
    <w:rsid w:val="00C379BA"/>
    <w:rsid w:val="00C37FDA"/>
    <w:rsid w:val="00C4130D"/>
    <w:rsid w:val="00C42C11"/>
    <w:rsid w:val="00C42E98"/>
    <w:rsid w:val="00C43757"/>
    <w:rsid w:val="00C448E0"/>
    <w:rsid w:val="00C44B6D"/>
    <w:rsid w:val="00C46276"/>
    <w:rsid w:val="00C52770"/>
    <w:rsid w:val="00C554A3"/>
    <w:rsid w:val="00C55F9C"/>
    <w:rsid w:val="00C57EE8"/>
    <w:rsid w:val="00C656A0"/>
    <w:rsid w:val="00C659B1"/>
    <w:rsid w:val="00C66584"/>
    <w:rsid w:val="00C66C32"/>
    <w:rsid w:val="00C70250"/>
    <w:rsid w:val="00C70E82"/>
    <w:rsid w:val="00C722C3"/>
    <w:rsid w:val="00C72CEB"/>
    <w:rsid w:val="00C73209"/>
    <w:rsid w:val="00C7414D"/>
    <w:rsid w:val="00C74F21"/>
    <w:rsid w:val="00C761FD"/>
    <w:rsid w:val="00C762F4"/>
    <w:rsid w:val="00C77AFA"/>
    <w:rsid w:val="00C82C63"/>
    <w:rsid w:val="00C833B0"/>
    <w:rsid w:val="00C84700"/>
    <w:rsid w:val="00C85236"/>
    <w:rsid w:val="00C8595A"/>
    <w:rsid w:val="00C86B02"/>
    <w:rsid w:val="00C86E5D"/>
    <w:rsid w:val="00C86FEF"/>
    <w:rsid w:val="00C87D3B"/>
    <w:rsid w:val="00C9066A"/>
    <w:rsid w:val="00C95850"/>
    <w:rsid w:val="00C959C2"/>
    <w:rsid w:val="00C962A7"/>
    <w:rsid w:val="00CA08D1"/>
    <w:rsid w:val="00CA1284"/>
    <w:rsid w:val="00CA1ABB"/>
    <w:rsid w:val="00CA394C"/>
    <w:rsid w:val="00CA5E67"/>
    <w:rsid w:val="00CB041E"/>
    <w:rsid w:val="00CB132D"/>
    <w:rsid w:val="00CB5201"/>
    <w:rsid w:val="00CB5610"/>
    <w:rsid w:val="00CB5AE1"/>
    <w:rsid w:val="00CB64F4"/>
    <w:rsid w:val="00CC093D"/>
    <w:rsid w:val="00CC2E77"/>
    <w:rsid w:val="00CC2E7A"/>
    <w:rsid w:val="00CC4111"/>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045C"/>
    <w:rsid w:val="00CF1715"/>
    <w:rsid w:val="00CF3DEF"/>
    <w:rsid w:val="00CF409C"/>
    <w:rsid w:val="00CF5088"/>
    <w:rsid w:val="00CF7C56"/>
    <w:rsid w:val="00CF7F11"/>
    <w:rsid w:val="00D016F4"/>
    <w:rsid w:val="00D01BBE"/>
    <w:rsid w:val="00D040DC"/>
    <w:rsid w:val="00D0552B"/>
    <w:rsid w:val="00D05D21"/>
    <w:rsid w:val="00D0686C"/>
    <w:rsid w:val="00D06FE9"/>
    <w:rsid w:val="00D07D94"/>
    <w:rsid w:val="00D07DD8"/>
    <w:rsid w:val="00D07E97"/>
    <w:rsid w:val="00D109A6"/>
    <w:rsid w:val="00D12BCF"/>
    <w:rsid w:val="00D13A35"/>
    <w:rsid w:val="00D13BFC"/>
    <w:rsid w:val="00D15A21"/>
    <w:rsid w:val="00D16F07"/>
    <w:rsid w:val="00D20661"/>
    <w:rsid w:val="00D2253E"/>
    <w:rsid w:val="00D23733"/>
    <w:rsid w:val="00D23E03"/>
    <w:rsid w:val="00D24329"/>
    <w:rsid w:val="00D253D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3A1F"/>
    <w:rsid w:val="00D64812"/>
    <w:rsid w:val="00D64971"/>
    <w:rsid w:val="00D671AC"/>
    <w:rsid w:val="00D700D5"/>
    <w:rsid w:val="00D712AB"/>
    <w:rsid w:val="00D719BD"/>
    <w:rsid w:val="00D72578"/>
    <w:rsid w:val="00D728E3"/>
    <w:rsid w:val="00D731DD"/>
    <w:rsid w:val="00D7460C"/>
    <w:rsid w:val="00D75F8A"/>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1322"/>
    <w:rsid w:val="00DA4190"/>
    <w:rsid w:val="00DA4932"/>
    <w:rsid w:val="00DA4BD9"/>
    <w:rsid w:val="00DA6F52"/>
    <w:rsid w:val="00DA72ED"/>
    <w:rsid w:val="00DA76D6"/>
    <w:rsid w:val="00DB0693"/>
    <w:rsid w:val="00DB42D5"/>
    <w:rsid w:val="00DB4DC0"/>
    <w:rsid w:val="00DB572C"/>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301F"/>
    <w:rsid w:val="00DE37DF"/>
    <w:rsid w:val="00DE38BC"/>
    <w:rsid w:val="00DE421D"/>
    <w:rsid w:val="00DE4905"/>
    <w:rsid w:val="00DE4F52"/>
    <w:rsid w:val="00DE7FCC"/>
    <w:rsid w:val="00DF1725"/>
    <w:rsid w:val="00DF200B"/>
    <w:rsid w:val="00DF21E2"/>
    <w:rsid w:val="00DF527D"/>
    <w:rsid w:val="00DF594C"/>
    <w:rsid w:val="00DF59AD"/>
    <w:rsid w:val="00DF6F3F"/>
    <w:rsid w:val="00DF7696"/>
    <w:rsid w:val="00E02B93"/>
    <w:rsid w:val="00E037E4"/>
    <w:rsid w:val="00E05AE9"/>
    <w:rsid w:val="00E06E44"/>
    <w:rsid w:val="00E10910"/>
    <w:rsid w:val="00E1170D"/>
    <w:rsid w:val="00E11A6F"/>
    <w:rsid w:val="00E11B42"/>
    <w:rsid w:val="00E124E5"/>
    <w:rsid w:val="00E132F3"/>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0C67"/>
    <w:rsid w:val="00E43C6C"/>
    <w:rsid w:val="00E4406C"/>
    <w:rsid w:val="00E44550"/>
    <w:rsid w:val="00E449BA"/>
    <w:rsid w:val="00E46994"/>
    <w:rsid w:val="00E46E15"/>
    <w:rsid w:val="00E5043D"/>
    <w:rsid w:val="00E5078A"/>
    <w:rsid w:val="00E50CE8"/>
    <w:rsid w:val="00E511BA"/>
    <w:rsid w:val="00E5173A"/>
    <w:rsid w:val="00E51EB6"/>
    <w:rsid w:val="00E52E6F"/>
    <w:rsid w:val="00E57C14"/>
    <w:rsid w:val="00E610DA"/>
    <w:rsid w:val="00E6461E"/>
    <w:rsid w:val="00E71441"/>
    <w:rsid w:val="00E71875"/>
    <w:rsid w:val="00E71BF0"/>
    <w:rsid w:val="00E77C2F"/>
    <w:rsid w:val="00E80F43"/>
    <w:rsid w:val="00E818EC"/>
    <w:rsid w:val="00E81A7A"/>
    <w:rsid w:val="00E82B0D"/>
    <w:rsid w:val="00E833C4"/>
    <w:rsid w:val="00E837DF"/>
    <w:rsid w:val="00E86D70"/>
    <w:rsid w:val="00E87403"/>
    <w:rsid w:val="00E87DED"/>
    <w:rsid w:val="00E90204"/>
    <w:rsid w:val="00E92748"/>
    <w:rsid w:val="00E93766"/>
    <w:rsid w:val="00E95344"/>
    <w:rsid w:val="00E9568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8D2"/>
    <w:rsid w:val="00EB59F8"/>
    <w:rsid w:val="00EB71B2"/>
    <w:rsid w:val="00EC06BA"/>
    <w:rsid w:val="00EC21DD"/>
    <w:rsid w:val="00EC3A09"/>
    <w:rsid w:val="00EC6FF1"/>
    <w:rsid w:val="00EC74A0"/>
    <w:rsid w:val="00EC778B"/>
    <w:rsid w:val="00ED1009"/>
    <w:rsid w:val="00ED240E"/>
    <w:rsid w:val="00ED3827"/>
    <w:rsid w:val="00ED42EC"/>
    <w:rsid w:val="00ED6233"/>
    <w:rsid w:val="00ED703B"/>
    <w:rsid w:val="00EE3E43"/>
    <w:rsid w:val="00EE54EF"/>
    <w:rsid w:val="00EE6733"/>
    <w:rsid w:val="00EF0F9B"/>
    <w:rsid w:val="00EF1F4E"/>
    <w:rsid w:val="00EF5671"/>
    <w:rsid w:val="00EF61D8"/>
    <w:rsid w:val="00EF64EB"/>
    <w:rsid w:val="00EF6944"/>
    <w:rsid w:val="00F0077C"/>
    <w:rsid w:val="00F026C1"/>
    <w:rsid w:val="00F02E46"/>
    <w:rsid w:val="00F0311C"/>
    <w:rsid w:val="00F03516"/>
    <w:rsid w:val="00F12172"/>
    <w:rsid w:val="00F1244D"/>
    <w:rsid w:val="00F13CD3"/>
    <w:rsid w:val="00F16739"/>
    <w:rsid w:val="00F16AC4"/>
    <w:rsid w:val="00F232F6"/>
    <w:rsid w:val="00F247F7"/>
    <w:rsid w:val="00F251D0"/>
    <w:rsid w:val="00F268FA"/>
    <w:rsid w:val="00F30D3E"/>
    <w:rsid w:val="00F33585"/>
    <w:rsid w:val="00F35D72"/>
    <w:rsid w:val="00F40887"/>
    <w:rsid w:val="00F41C82"/>
    <w:rsid w:val="00F4274C"/>
    <w:rsid w:val="00F428B1"/>
    <w:rsid w:val="00F43401"/>
    <w:rsid w:val="00F43E37"/>
    <w:rsid w:val="00F44962"/>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6B83"/>
    <w:rsid w:val="00FB37DA"/>
    <w:rsid w:val="00FB46E4"/>
    <w:rsid w:val="00FB4AB8"/>
    <w:rsid w:val="00FB723D"/>
    <w:rsid w:val="00FC36BC"/>
    <w:rsid w:val="00FC60FB"/>
    <w:rsid w:val="00FC7A1C"/>
    <w:rsid w:val="00FD08F7"/>
    <w:rsid w:val="00FD1AFA"/>
    <w:rsid w:val="00FD285C"/>
    <w:rsid w:val="00FD305F"/>
    <w:rsid w:val="00FD32EF"/>
    <w:rsid w:val="00FD4291"/>
    <w:rsid w:val="00FD4BE8"/>
    <w:rsid w:val="00FD5A59"/>
    <w:rsid w:val="00FE10FC"/>
    <w:rsid w:val="00FE1872"/>
    <w:rsid w:val="00FE1AD3"/>
    <w:rsid w:val="00FE1C97"/>
    <w:rsid w:val="00FE2137"/>
    <w:rsid w:val="00FE7B4A"/>
    <w:rsid w:val="00FE7B50"/>
    <w:rsid w:val="00FF15AB"/>
    <w:rsid w:val="00FF1D6C"/>
    <w:rsid w:val="00FF20FC"/>
    <w:rsid w:val="00FF2685"/>
    <w:rsid w:val="00FF3412"/>
    <w:rsid w:val="00FF5017"/>
    <w:rsid w:val="00FF56C0"/>
    <w:rsid w:val="00FF57A6"/>
    <w:rsid w:val="00FF60C8"/>
    <w:rsid w:val="087C4CE5"/>
    <w:rsid w:val="091F2CE9"/>
    <w:rsid w:val="1BFE248B"/>
    <w:rsid w:val="211E464C"/>
    <w:rsid w:val="260C4A05"/>
    <w:rsid w:val="2E7CBB3F"/>
    <w:rsid w:val="2FDDCBB5"/>
    <w:rsid w:val="3F352CE3"/>
    <w:rsid w:val="3FAFC5D2"/>
    <w:rsid w:val="409E2428"/>
    <w:rsid w:val="503B467C"/>
    <w:rsid w:val="540C2A26"/>
    <w:rsid w:val="5617654C"/>
    <w:rsid w:val="5B8004F2"/>
    <w:rsid w:val="5EFF240B"/>
    <w:rsid w:val="6DBA0E3A"/>
    <w:rsid w:val="6F994244"/>
    <w:rsid w:val="7B653ABF"/>
    <w:rsid w:val="7D9E6006"/>
    <w:rsid w:val="7DCE0E6A"/>
    <w:rsid w:val="9FFDE36F"/>
    <w:rsid w:val="BFBCE9A5"/>
    <w:rsid w:val="DBEDE079"/>
    <w:rsid w:val="F7F0AF87"/>
    <w:rsid w:val="FDFEBEA7"/>
    <w:rsid w:val="FF9DA5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0"/>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1"/>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2"/>
    <w:unhideWhenUsed/>
    <w:qFormat/>
    <w:uiPriority w:val="0"/>
    <w:pPr>
      <w:keepNext/>
      <w:keepLines/>
      <w:spacing w:before="240" w:after="64" w:line="319" w:lineRule="auto"/>
      <w:outlineLvl w:val="5"/>
    </w:pPr>
    <w:rPr>
      <w:rFonts w:ascii="Arial" w:hAnsi="Arial" w:eastAsia="黑体"/>
      <w:b/>
      <w:bCs/>
      <w:sz w:val="24"/>
      <w:szCs w:val="24"/>
    </w:rPr>
  </w:style>
  <w:style w:type="character" w:default="1" w:styleId="29">
    <w:name w:val="Default Paragraph Font"/>
    <w:semiHidden/>
    <w:uiPriority w:val="0"/>
  </w:style>
  <w:style w:type="table" w:default="1" w:styleId="27">
    <w:name w:val="Normal Table"/>
    <w:semiHidden/>
    <w:uiPriority w:val="0"/>
    <w:tblPr>
      <w:tblStyle w:val="27"/>
      <w:tblCellMar>
        <w:top w:w="0" w:type="dxa"/>
        <w:left w:w="108" w:type="dxa"/>
        <w:bottom w:w="0" w:type="dxa"/>
        <w:right w:w="108" w:type="dxa"/>
      </w:tblCellMar>
    </w:tblPr>
  </w:style>
  <w:style w:type="paragraph" w:styleId="8">
    <w:name w:val="annotation text"/>
    <w:basedOn w:val="1"/>
    <w:link w:val="43"/>
    <w:uiPriority w:val="0"/>
    <w:pPr>
      <w:jc w:val="left"/>
    </w:pPr>
    <w:rPr>
      <w:kern w:val="0"/>
      <w:sz w:val="24"/>
      <w:szCs w:val="24"/>
    </w:rPr>
  </w:style>
  <w:style w:type="paragraph" w:styleId="9">
    <w:name w:val="Body Text 3"/>
    <w:basedOn w:val="1"/>
    <w:link w:val="44"/>
    <w:uiPriority w:val="0"/>
    <w:pPr>
      <w:spacing w:line="840" w:lineRule="exact"/>
      <w:jc w:val="center"/>
    </w:pPr>
    <w:rPr>
      <w:rFonts w:ascii="方正大标宋简体" w:hAnsi="宋体" w:eastAsia="方正大标宋简体"/>
      <w:bCs/>
      <w:sz w:val="42"/>
      <w:szCs w:val="42"/>
      <w:lang/>
    </w:rPr>
  </w:style>
  <w:style w:type="paragraph" w:styleId="10">
    <w:name w:val="Body Text"/>
    <w:basedOn w:val="1"/>
    <w:link w:val="45"/>
    <w:uiPriority w:val="0"/>
    <w:pPr>
      <w:spacing w:after="120"/>
    </w:pPr>
    <w:rPr>
      <w:rFonts w:eastAsia="Times New Roman"/>
      <w:szCs w:val="24"/>
      <w:lang/>
    </w:rPr>
  </w:style>
  <w:style w:type="paragraph" w:styleId="11">
    <w:name w:val="Body Text Indent"/>
    <w:basedOn w:val="1"/>
    <w:link w:val="46"/>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uiPriority w:val="99"/>
    <w:pPr>
      <w:widowControl/>
      <w:spacing w:after="240"/>
      <w:jc w:val="left"/>
    </w:pPr>
    <w:rPr>
      <w:kern w:val="0"/>
      <w:sz w:val="24"/>
      <w:lang w:eastAsia="en-US"/>
    </w:rPr>
  </w:style>
  <w:style w:type="paragraph" w:styleId="13">
    <w:name w:val="Plain Text"/>
    <w:basedOn w:val="1"/>
    <w:link w:val="47"/>
    <w:uiPriority w:val="0"/>
    <w:rPr>
      <w:rFonts w:ascii="宋体" w:hAnsi="Courier New" w:cs="Courier New"/>
      <w:szCs w:val="21"/>
    </w:rPr>
  </w:style>
  <w:style w:type="paragraph" w:styleId="14">
    <w:name w:val="Date"/>
    <w:basedOn w:val="1"/>
    <w:next w:val="1"/>
    <w:link w:val="48"/>
    <w:uiPriority w:val="0"/>
    <w:rPr>
      <w:rFonts w:ascii="楷体_GB2312" w:eastAsia="楷体_GB2312"/>
      <w:sz w:val="32"/>
    </w:rPr>
  </w:style>
  <w:style w:type="paragraph" w:styleId="15">
    <w:name w:val="Body Text Indent 2"/>
    <w:basedOn w:val="1"/>
    <w:link w:val="49"/>
    <w:uiPriority w:val="0"/>
    <w:pPr>
      <w:spacing w:line="600" w:lineRule="exact"/>
      <w:ind w:firstLine="600" w:firstLineChars="200"/>
    </w:pPr>
    <w:rPr>
      <w:rFonts w:ascii="仿宋_GB2312" w:hAnsi="宋体" w:eastAsia="仿宋_GB2312"/>
      <w:sz w:val="30"/>
      <w:szCs w:val="30"/>
      <w:lang/>
    </w:rPr>
  </w:style>
  <w:style w:type="paragraph" w:styleId="16">
    <w:name w:val="endnote text"/>
    <w:basedOn w:val="1"/>
    <w:link w:val="50"/>
    <w:uiPriority w:val="0"/>
    <w:pPr>
      <w:snapToGrid w:val="0"/>
      <w:jc w:val="left"/>
    </w:pPr>
    <w:rPr>
      <w:kern w:val="0"/>
      <w:sz w:val="24"/>
      <w:szCs w:val="24"/>
    </w:rPr>
  </w:style>
  <w:style w:type="paragraph" w:styleId="17">
    <w:name w:val="Balloon Text"/>
    <w:basedOn w:val="1"/>
    <w:link w:val="51"/>
    <w:uiPriority w:val="0"/>
    <w:rPr>
      <w:sz w:val="18"/>
      <w:szCs w:val="18"/>
    </w:rPr>
  </w:style>
  <w:style w:type="paragraph" w:styleId="18">
    <w:name w:val="footer"/>
    <w:basedOn w:val="1"/>
    <w:link w:val="52"/>
    <w:uiPriority w:val="99"/>
    <w:pPr>
      <w:tabs>
        <w:tab w:val="center" w:pos="4153"/>
        <w:tab w:val="right" w:pos="8306"/>
      </w:tabs>
      <w:snapToGrid w:val="0"/>
      <w:jc w:val="left"/>
    </w:pPr>
    <w:rPr>
      <w:sz w:val="18"/>
      <w:szCs w:val="18"/>
    </w:rPr>
  </w:style>
  <w:style w:type="paragraph" w:styleId="19">
    <w:name w:val="header"/>
    <w:basedOn w:val="1"/>
    <w:link w:val="53"/>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54"/>
    <w:qFormat/>
    <w:uiPriority w:val="0"/>
    <w:pPr>
      <w:spacing w:before="240" w:after="60" w:line="312" w:lineRule="auto"/>
      <w:jc w:val="center"/>
      <w:outlineLvl w:val="1"/>
    </w:pPr>
    <w:rPr>
      <w:rFonts w:ascii="Cambria" w:hAnsi="Cambria"/>
      <w:b/>
      <w:bCs/>
      <w:kern w:val="28"/>
      <w:sz w:val="32"/>
      <w:szCs w:val="32"/>
    </w:rPr>
  </w:style>
  <w:style w:type="paragraph" w:styleId="21">
    <w:name w:val="footnote text"/>
    <w:basedOn w:val="1"/>
    <w:link w:val="55"/>
    <w:uiPriority w:val="0"/>
    <w:pPr>
      <w:snapToGrid w:val="0"/>
      <w:jc w:val="left"/>
    </w:pPr>
    <w:rPr>
      <w:rFonts w:eastAsia="Times New Roman"/>
      <w:sz w:val="18"/>
      <w:szCs w:val="18"/>
      <w:lang/>
    </w:rPr>
  </w:style>
  <w:style w:type="paragraph" w:styleId="22">
    <w:name w:val="Body Text Indent 3"/>
    <w:basedOn w:val="1"/>
    <w:link w:val="56"/>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1"/>
    <w:link w:val="57"/>
    <w:uiPriority w:val="0"/>
    <w:pPr>
      <w:spacing w:line="840" w:lineRule="exact"/>
      <w:jc w:val="center"/>
    </w:pPr>
    <w:rPr>
      <w:rFonts w:ascii="宋体" w:hAnsi="Courier New"/>
      <w:kern w:val="0"/>
      <w:szCs w:val="21"/>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58"/>
    <w:qFormat/>
    <w:uiPriority w:val="0"/>
    <w:pPr>
      <w:widowControl/>
      <w:suppressAutoHyphens/>
      <w:overflowPunct w:val="0"/>
      <w:autoSpaceDE w:val="0"/>
      <w:jc w:val="center"/>
    </w:pPr>
    <w:rPr>
      <w:rFonts w:ascii="ClassGarmnd BT" w:hAnsi="ClassGarmnd BT"/>
      <w:b/>
      <w:kern w:val="1"/>
      <w:sz w:val="32"/>
      <w:lang w:val="en-AU" w:eastAsia="ar-SA"/>
    </w:rPr>
  </w:style>
  <w:style w:type="paragraph" w:styleId="26">
    <w:name w:val="annotation subject"/>
    <w:basedOn w:val="8"/>
    <w:next w:val="8"/>
    <w:link w:val="59"/>
    <w:uiPriority w:val="0"/>
    <w:rPr>
      <w:b/>
      <w:bCs/>
      <w:kern w:val="2"/>
      <w:sz w:val="21"/>
    </w:rPr>
  </w:style>
  <w:style w:type="table" w:styleId="28">
    <w:name w:val="Table Grid"/>
    <w:basedOn w:val="27"/>
    <w:qFormat/>
    <w:uiPriority w:val="59"/>
    <w:rPr>
      <w:rFonts w:ascii="Calibri" w:hAnsi="Calibri" w:eastAsia="宋体" w:cs="Times New Roman"/>
      <w:kern w:val="2"/>
      <w:sz w:val="21"/>
      <w:szCs w:val="22"/>
    </w:rPr>
    <w:tblPr>
      <w:tblStyle w:val="2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endnote reference"/>
    <w:uiPriority w:val="0"/>
    <w:rPr>
      <w:rFonts w:cs="Times New Roman"/>
      <w:vertAlign w:val="superscript"/>
    </w:rPr>
  </w:style>
  <w:style w:type="character" w:styleId="32">
    <w:name w:val="page number"/>
    <w:basedOn w:val="29"/>
    <w:uiPriority w:val="0"/>
  </w:style>
  <w:style w:type="character" w:styleId="33">
    <w:name w:val="FollowedHyperlink"/>
    <w:uiPriority w:val="99"/>
    <w:rPr>
      <w:color w:val="800080"/>
      <w:u w:val="single"/>
    </w:rPr>
  </w:style>
  <w:style w:type="character" w:styleId="34">
    <w:name w:val="Hyperlink"/>
    <w:uiPriority w:val="99"/>
    <w:rPr>
      <w:rFonts w:cs="Times New Roman"/>
      <w:color w:val="0000FF"/>
      <w:u w:val="single"/>
    </w:rPr>
  </w:style>
  <w:style w:type="character" w:styleId="35">
    <w:name w:val="annotation reference"/>
    <w:uiPriority w:val="99"/>
    <w:rPr>
      <w:rFonts w:cs="Times New Roman"/>
      <w:sz w:val="21"/>
      <w:szCs w:val="21"/>
    </w:rPr>
  </w:style>
  <w:style w:type="character" w:styleId="36">
    <w:name w:val="footnote reference"/>
    <w:unhideWhenUsed/>
    <w:uiPriority w:val="0"/>
    <w:rPr>
      <w:vertAlign w:val="superscript"/>
    </w:rPr>
  </w:style>
  <w:style w:type="character" w:customStyle="1" w:styleId="37">
    <w:name w:val="标题 1 Char"/>
    <w:link w:val="2"/>
    <w:locked/>
    <w:uiPriority w:val="0"/>
    <w:rPr>
      <w:rFonts w:eastAsia="宋体"/>
      <w:b/>
      <w:bCs/>
      <w:kern w:val="44"/>
      <w:sz w:val="44"/>
      <w:szCs w:val="44"/>
      <w:lang w:bidi="ar-SA"/>
    </w:rPr>
  </w:style>
  <w:style w:type="character" w:customStyle="1" w:styleId="38">
    <w:name w:val="标题 2 Char"/>
    <w:aliases w:val="Chapter X.X. Statement Char,h2 Char,Header 2 Char,l2 Char,Level 2 Head Char,heading 2 Char"/>
    <w:link w:val="3"/>
    <w:locked/>
    <w:uiPriority w:val="0"/>
    <w:rPr>
      <w:rFonts w:ascii="Arial" w:hAnsi="Arial" w:eastAsia="黑体"/>
      <w:b/>
      <w:bCs/>
      <w:sz w:val="32"/>
      <w:szCs w:val="32"/>
      <w:lang w:bidi="ar-SA"/>
    </w:rPr>
  </w:style>
  <w:style w:type="character" w:customStyle="1" w:styleId="39">
    <w:name w:val="标题 3 Char"/>
    <w:link w:val="4"/>
    <w:semiHidden/>
    <w:locked/>
    <w:uiPriority w:val="0"/>
    <w:rPr>
      <w:rFonts w:eastAsia="宋体"/>
      <w:b/>
      <w:bCs/>
      <w:sz w:val="32"/>
      <w:szCs w:val="32"/>
      <w:lang w:bidi="ar-SA"/>
    </w:rPr>
  </w:style>
  <w:style w:type="character" w:customStyle="1" w:styleId="40">
    <w:name w:val="标题 4 Char"/>
    <w:link w:val="5"/>
    <w:semiHidden/>
    <w:uiPriority w:val="0"/>
    <w:rPr>
      <w:rFonts w:ascii="Cambria" w:hAnsi="Cambria" w:eastAsia="宋体" w:cs="Times New Roman"/>
      <w:b/>
      <w:bCs/>
      <w:kern w:val="2"/>
      <w:sz w:val="28"/>
      <w:szCs w:val="28"/>
    </w:rPr>
  </w:style>
  <w:style w:type="character" w:customStyle="1" w:styleId="41">
    <w:name w:val="标题 5 Char"/>
    <w:link w:val="6"/>
    <w:semiHidden/>
    <w:uiPriority w:val="0"/>
    <w:rPr>
      <w:b/>
      <w:bCs/>
      <w:kern w:val="2"/>
      <w:sz w:val="28"/>
      <w:szCs w:val="28"/>
    </w:rPr>
  </w:style>
  <w:style w:type="character" w:customStyle="1" w:styleId="42">
    <w:name w:val="标题 6 Char"/>
    <w:link w:val="7"/>
    <w:semiHidden/>
    <w:uiPriority w:val="0"/>
    <w:rPr>
      <w:rFonts w:ascii="Arial" w:hAnsi="Arial" w:eastAsia="黑体"/>
      <w:b/>
      <w:bCs/>
      <w:kern w:val="2"/>
      <w:sz w:val="24"/>
      <w:szCs w:val="24"/>
    </w:rPr>
  </w:style>
  <w:style w:type="character" w:customStyle="1" w:styleId="43">
    <w:name w:val="批注文字 Char"/>
    <w:link w:val="8"/>
    <w:locked/>
    <w:uiPriority w:val="0"/>
    <w:rPr>
      <w:rFonts w:eastAsia="宋体"/>
      <w:sz w:val="24"/>
      <w:szCs w:val="24"/>
      <w:lang w:bidi="ar-SA"/>
    </w:rPr>
  </w:style>
  <w:style w:type="character" w:customStyle="1" w:styleId="44">
    <w:name w:val="正文文本 3 Char"/>
    <w:link w:val="9"/>
    <w:uiPriority w:val="0"/>
    <w:rPr>
      <w:rFonts w:ascii="方正大标宋简体" w:hAnsi="宋体" w:eastAsia="方正大标宋简体"/>
      <w:bCs/>
      <w:kern w:val="2"/>
      <w:sz w:val="42"/>
      <w:szCs w:val="42"/>
      <w:lang/>
    </w:rPr>
  </w:style>
  <w:style w:type="character" w:customStyle="1" w:styleId="45">
    <w:name w:val="正文文本 Char"/>
    <w:link w:val="10"/>
    <w:uiPriority w:val="0"/>
    <w:rPr>
      <w:rFonts w:eastAsia="Times New Roman"/>
      <w:kern w:val="2"/>
      <w:sz w:val="21"/>
      <w:szCs w:val="24"/>
      <w:lang/>
    </w:rPr>
  </w:style>
  <w:style w:type="character" w:customStyle="1" w:styleId="46">
    <w:name w:val="正文文本缩进 Char"/>
    <w:link w:val="11"/>
    <w:uiPriority w:val="0"/>
    <w:rPr>
      <w:rFonts w:ascii="仿宋_GB2312" w:eastAsia="仿宋_GB2312"/>
      <w:kern w:val="2"/>
      <w:sz w:val="30"/>
      <w:szCs w:val="24"/>
      <w:lang w:val="en-US" w:eastAsia="zh-CN" w:bidi="ar-SA"/>
    </w:rPr>
  </w:style>
  <w:style w:type="character" w:customStyle="1" w:styleId="47">
    <w:name w:val="纯文本 Char"/>
    <w:link w:val="13"/>
    <w:uiPriority w:val="0"/>
    <w:rPr>
      <w:rFonts w:ascii="宋体" w:hAnsi="Courier New" w:eastAsia="宋体" w:cs="Courier New"/>
      <w:kern w:val="2"/>
      <w:sz w:val="21"/>
      <w:szCs w:val="21"/>
      <w:lang w:val="en-US" w:eastAsia="zh-CN" w:bidi="ar-SA"/>
    </w:rPr>
  </w:style>
  <w:style w:type="character" w:customStyle="1" w:styleId="48">
    <w:name w:val="日期 Char"/>
    <w:link w:val="14"/>
    <w:uiPriority w:val="0"/>
    <w:rPr>
      <w:rFonts w:ascii="楷体_GB2312" w:eastAsia="楷体_GB2312"/>
      <w:kern w:val="2"/>
      <w:sz w:val="32"/>
      <w:lang w:val="en-US" w:eastAsia="zh-CN" w:bidi="ar-SA"/>
    </w:rPr>
  </w:style>
  <w:style w:type="character" w:customStyle="1" w:styleId="49">
    <w:name w:val="正文文本缩进 2 Char"/>
    <w:link w:val="15"/>
    <w:uiPriority w:val="0"/>
    <w:rPr>
      <w:rFonts w:ascii="仿宋_GB2312" w:hAnsi="宋体" w:eastAsia="仿宋_GB2312"/>
      <w:kern w:val="2"/>
      <w:sz w:val="30"/>
      <w:szCs w:val="30"/>
      <w:lang/>
    </w:rPr>
  </w:style>
  <w:style w:type="character" w:customStyle="1" w:styleId="50">
    <w:name w:val="尾注文本 Char"/>
    <w:link w:val="16"/>
    <w:locked/>
    <w:uiPriority w:val="0"/>
    <w:rPr>
      <w:rFonts w:eastAsia="宋体"/>
      <w:sz w:val="24"/>
      <w:szCs w:val="24"/>
      <w:lang w:bidi="ar-SA"/>
    </w:rPr>
  </w:style>
  <w:style w:type="character" w:customStyle="1" w:styleId="51">
    <w:name w:val="批注框文本 Char"/>
    <w:link w:val="17"/>
    <w:locked/>
    <w:uiPriority w:val="0"/>
    <w:rPr>
      <w:rFonts w:eastAsia="宋体"/>
      <w:kern w:val="2"/>
      <w:sz w:val="18"/>
      <w:szCs w:val="18"/>
      <w:lang w:val="en-US" w:eastAsia="zh-CN" w:bidi="ar-SA"/>
    </w:rPr>
  </w:style>
  <w:style w:type="character" w:customStyle="1" w:styleId="52">
    <w:name w:val="页脚 Char"/>
    <w:link w:val="18"/>
    <w:locked/>
    <w:uiPriority w:val="99"/>
    <w:rPr>
      <w:rFonts w:eastAsia="宋体"/>
      <w:kern w:val="2"/>
      <w:sz w:val="18"/>
      <w:szCs w:val="18"/>
      <w:lang w:val="en-US" w:eastAsia="zh-CN" w:bidi="ar-SA"/>
    </w:rPr>
  </w:style>
  <w:style w:type="character" w:customStyle="1" w:styleId="53">
    <w:name w:val="页眉 Char"/>
    <w:link w:val="19"/>
    <w:locked/>
    <w:uiPriority w:val="0"/>
    <w:rPr>
      <w:rFonts w:eastAsia="宋体"/>
      <w:kern w:val="2"/>
      <w:sz w:val="18"/>
      <w:szCs w:val="18"/>
      <w:lang w:val="en-US" w:eastAsia="zh-CN" w:bidi="ar-SA"/>
    </w:rPr>
  </w:style>
  <w:style w:type="character" w:customStyle="1" w:styleId="54">
    <w:name w:val="副标题 Char"/>
    <w:link w:val="20"/>
    <w:uiPriority w:val="0"/>
    <w:rPr>
      <w:rFonts w:ascii="Cambria" w:hAnsi="Cambria" w:cs="Times New Roman"/>
      <w:b/>
      <w:bCs/>
      <w:kern w:val="28"/>
      <w:sz w:val="32"/>
      <w:szCs w:val="32"/>
    </w:rPr>
  </w:style>
  <w:style w:type="character" w:customStyle="1" w:styleId="55">
    <w:name w:val="脚注文本 Char"/>
    <w:link w:val="21"/>
    <w:uiPriority w:val="0"/>
    <w:rPr>
      <w:rFonts w:eastAsia="Times New Roman"/>
      <w:kern w:val="2"/>
      <w:sz w:val="18"/>
      <w:szCs w:val="18"/>
      <w:lang/>
    </w:rPr>
  </w:style>
  <w:style w:type="character" w:customStyle="1" w:styleId="56">
    <w:name w:val="正文文本缩进 3 Char"/>
    <w:link w:val="22"/>
    <w:uiPriority w:val="0"/>
    <w:rPr>
      <w:rFonts w:ascii="仿宋_GB2312" w:eastAsia="仿宋_GB2312"/>
      <w:sz w:val="30"/>
      <w:szCs w:val="28"/>
      <w:lang w:val="zh-CN"/>
    </w:rPr>
  </w:style>
  <w:style w:type="character" w:customStyle="1" w:styleId="57">
    <w:name w:val="正文文本 2 Char"/>
    <w:link w:val="23"/>
    <w:locked/>
    <w:uiPriority w:val="0"/>
    <w:rPr>
      <w:rFonts w:ascii="宋体" w:hAnsi="Courier New" w:eastAsia="宋体"/>
      <w:sz w:val="21"/>
      <w:szCs w:val="21"/>
      <w:lang w:bidi="ar-SA"/>
    </w:rPr>
  </w:style>
  <w:style w:type="character" w:customStyle="1" w:styleId="58">
    <w:name w:val="标题 Char"/>
    <w:link w:val="25"/>
    <w:uiPriority w:val="0"/>
    <w:rPr>
      <w:rFonts w:ascii="ClassGarmnd BT" w:hAnsi="ClassGarmnd BT" w:eastAsia="宋体" w:cs="ClassGarmnd BT"/>
      <w:b/>
      <w:kern w:val="1"/>
      <w:sz w:val="32"/>
      <w:lang w:val="en-AU" w:eastAsia="ar-SA"/>
    </w:rPr>
  </w:style>
  <w:style w:type="character" w:customStyle="1" w:styleId="59">
    <w:name w:val="批注主题 Char"/>
    <w:link w:val="26"/>
    <w:uiPriority w:val="0"/>
    <w:rPr>
      <w:rFonts w:eastAsia="宋体"/>
      <w:b/>
      <w:bCs/>
      <w:kern w:val="2"/>
      <w:sz w:val="21"/>
      <w:szCs w:val="24"/>
      <w:lang w:bidi="ar-SA"/>
    </w:rPr>
  </w:style>
  <w:style w:type="paragraph" w:customStyle="1" w:styleId="60">
    <w:name w:val="dash6b63_6587"/>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61">
    <w:name w:val="dash6b63_6587__char"/>
    <w:basedOn w:val="29"/>
    <w:uiPriority w:val="0"/>
  </w:style>
  <w:style w:type="character" w:customStyle="1" w:styleId="62">
    <w:name w:val="dash6b63_005f6587_005f_005fchar__char"/>
    <w:basedOn w:val="29"/>
    <w:uiPriority w:val="0"/>
  </w:style>
  <w:style w:type="paragraph" w:customStyle="1" w:styleId="63">
    <w:name w:val="p0"/>
    <w:basedOn w:val="1"/>
    <w:uiPriority w:val="0"/>
    <w:pPr>
      <w:widowControl/>
    </w:pPr>
    <w:rPr>
      <w:kern w:val="0"/>
      <w:szCs w:val="21"/>
    </w:rPr>
  </w:style>
  <w:style w:type="paragraph" w:styleId="64">
    <w:name w:val="List Paragraph"/>
    <w:basedOn w:val="1"/>
    <w:link w:val="65"/>
    <w:qFormat/>
    <w:uiPriority w:val="0"/>
    <w:pPr>
      <w:ind w:firstLine="420" w:firstLineChars="200"/>
    </w:pPr>
    <w:rPr>
      <w:szCs w:val="24"/>
    </w:rPr>
  </w:style>
  <w:style w:type="character" w:customStyle="1" w:styleId="65">
    <w:name w:val="列出段落 Char"/>
    <w:link w:val="64"/>
    <w:qFormat/>
    <w:uiPriority w:val="0"/>
    <w:rPr>
      <w:kern w:val="2"/>
      <w:sz w:val="21"/>
      <w:szCs w:val="24"/>
    </w:rPr>
  </w:style>
  <w:style w:type="paragraph" w:customStyle="1" w:styleId="66">
    <w:name w:val="列出段落1"/>
    <w:basedOn w:val="1"/>
    <w:qFormat/>
    <w:uiPriority w:val="0"/>
    <w:pPr>
      <w:ind w:firstLine="420" w:firstLineChars="200"/>
    </w:pPr>
    <w:rPr>
      <w:rFonts w:ascii="Calibri" w:hAnsi="Calibri"/>
      <w:szCs w:val="22"/>
    </w:rPr>
  </w:style>
  <w:style w:type="paragraph" w:customStyle="1" w:styleId="67">
    <w:name w:val="00正文"/>
    <w:basedOn w:val="1"/>
    <w:uiPriority w:val="0"/>
    <w:pPr>
      <w:snapToGrid w:val="0"/>
      <w:spacing w:beforeLines="50" w:afterLines="50" w:line="360" w:lineRule="auto"/>
      <w:ind w:firstLine="200" w:firstLineChars="200"/>
    </w:pPr>
    <w:rPr>
      <w:rFonts w:ascii="宋体" w:hAnsi="宋体"/>
      <w:sz w:val="24"/>
      <w:szCs w:val="24"/>
    </w:rPr>
  </w:style>
  <w:style w:type="paragraph" w:customStyle="1" w:styleId="68">
    <w:name w:val="List Paragraph"/>
    <w:basedOn w:val="1"/>
    <w:uiPriority w:val="0"/>
    <w:pPr>
      <w:ind w:firstLine="420" w:firstLineChars="200"/>
    </w:pPr>
    <w:rPr>
      <w:rFonts w:ascii="Calibri" w:hAnsi="Calibri"/>
      <w:szCs w:val="22"/>
    </w:rPr>
  </w:style>
  <w:style w:type="paragraph" w:customStyle="1" w:styleId="69">
    <w:name w:val="内页正文"/>
    <w:link w:val="70"/>
    <w:locked/>
    <w:uiPriority w:val="0"/>
    <w:pPr>
      <w:suppressAutoHyphens/>
      <w:spacing w:after="120"/>
      <w:jc w:val="both"/>
    </w:pPr>
    <w:rPr>
      <w:rFonts w:ascii="Arial" w:hAnsi="Arial" w:eastAsia="汉仪中等线简"/>
      <w:color w:val="000000"/>
      <w:sz w:val="18"/>
      <w:szCs w:val="18"/>
      <w:lang w:val="en-US" w:eastAsia="zh-CN" w:bidi="ar-SA"/>
    </w:rPr>
  </w:style>
  <w:style w:type="character" w:customStyle="1" w:styleId="70">
    <w:name w:val="内页正文 Char"/>
    <w:link w:val="69"/>
    <w:uiPriority w:val="0"/>
    <w:rPr>
      <w:rFonts w:ascii="Arial" w:hAnsi="Arial" w:eastAsia="汉仪中等线简"/>
      <w:color w:val="000000"/>
      <w:sz w:val="18"/>
      <w:szCs w:val="18"/>
      <w:lang w:bidi="ar-SA"/>
    </w:rPr>
  </w:style>
  <w:style w:type="paragraph" w:customStyle="1" w:styleId="71">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72">
    <w:name w:val="No Spacing"/>
    <w:uiPriority w:val="0"/>
    <w:pPr>
      <w:widowControl w:val="0"/>
      <w:jc w:val="both"/>
    </w:pPr>
    <w:rPr>
      <w:rFonts w:ascii="Calibri" w:hAnsi="Calibri"/>
      <w:kern w:val="2"/>
      <w:sz w:val="21"/>
      <w:szCs w:val="22"/>
      <w:lang w:val="en-US" w:eastAsia="zh-CN" w:bidi="ar-SA"/>
    </w:rPr>
  </w:style>
  <w:style w:type="character" w:customStyle="1" w:styleId="73">
    <w:name w:val=" Char Char15"/>
    <w:uiPriority w:val="0"/>
    <w:rPr>
      <w:rFonts w:eastAsia="宋体"/>
      <w:b/>
      <w:bCs/>
      <w:kern w:val="44"/>
      <w:sz w:val="44"/>
      <w:szCs w:val="44"/>
      <w:lang w:val="en-US" w:eastAsia="zh-CN" w:bidi="ar-SA"/>
    </w:rPr>
  </w:style>
  <w:style w:type="character" w:customStyle="1" w:styleId="74">
    <w:name w:val=" Char Char14"/>
    <w:uiPriority w:val="0"/>
    <w:rPr>
      <w:rFonts w:eastAsia="宋体"/>
      <w:b/>
      <w:bCs/>
      <w:kern w:val="2"/>
      <w:sz w:val="32"/>
      <w:szCs w:val="32"/>
      <w:lang w:val="en-US" w:eastAsia="zh-CN" w:bidi="ar-SA"/>
    </w:rPr>
  </w:style>
  <w:style w:type="character" w:customStyle="1" w:styleId="75">
    <w:name w:val=" Char Char13"/>
    <w:uiPriority w:val="0"/>
    <w:rPr>
      <w:rFonts w:eastAsia="宋体"/>
      <w:kern w:val="2"/>
      <w:sz w:val="18"/>
      <w:szCs w:val="18"/>
      <w:lang w:val="en-US" w:eastAsia="zh-CN" w:bidi="ar-SA"/>
    </w:rPr>
  </w:style>
  <w:style w:type="character" w:customStyle="1" w:styleId="76">
    <w:name w:val=" Char Char12"/>
    <w:uiPriority w:val="0"/>
    <w:rPr>
      <w:rFonts w:eastAsia="宋体"/>
      <w:kern w:val="2"/>
      <w:sz w:val="18"/>
      <w:szCs w:val="18"/>
      <w:lang w:val="en-US" w:eastAsia="zh-CN" w:bidi="ar-SA"/>
    </w:rPr>
  </w:style>
  <w:style w:type="character" w:customStyle="1" w:styleId="77">
    <w:name w:val="正文文本缩进 Char1"/>
    <w:uiPriority w:val="0"/>
    <w:rPr>
      <w:kern w:val="2"/>
      <w:sz w:val="21"/>
      <w:szCs w:val="24"/>
    </w:rPr>
  </w:style>
  <w:style w:type="character" w:customStyle="1" w:styleId="78">
    <w:name w:val="日期 Char1"/>
    <w:uiPriority w:val="0"/>
    <w:rPr>
      <w:kern w:val="2"/>
      <w:sz w:val="21"/>
      <w:szCs w:val="24"/>
    </w:rPr>
  </w:style>
  <w:style w:type="character" w:customStyle="1" w:styleId="79">
    <w:name w:val="正文文本 Char1"/>
    <w:uiPriority w:val="0"/>
    <w:rPr>
      <w:kern w:val="2"/>
      <w:sz w:val="21"/>
      <w:szCs w:val="24"/>
    </w:rPr>
  </w:style>
  <w:style w:type="character" w:customStyle="1" w:styleId="80">
    <w:name w:val="批注框文本 Char1"/>
    <w:uiPriority w:val="0"/>
    <w:rPr>
      <w:kern w:val="2"/>
      <w:sz w:val="18"/>
      <w:szCs w:val="18"/>
    </w:rPr>
  </w:style>
  <w:style w:type="character" w:customStyle="1" w:styleId="81">
    <w:name w:val="正文文本缩进 2 Char1"/>
    <w:uiPriority w:val="0"/>
    <w:rPr>
      <w:kern w:val="2"/>
      <w:sz w:val="21"/>
      <w:szCs w:val="24"/>
    </w:rPr>
  </w:style>
  <w:style w:type="character" w:customStyle="1" w:styleId="82">
    <w:name w:val="正文文本 2 Char1"/>
    <w:uiPriority w:val="0"/>
    <w:rPr>
      <w:kern w:val="2"/>
      <w:sz w:val="21"/>
      <w:szCs w:val="24"/>
    </w:rPr>
  </w:style>
  <w:style w:type="character" w:customStyle="1" w:styleId="83">
    <w:name w:val="正文文本缩进 3 Char1"/>
    <w:uiPriority w:val="0"/>
    <w:rPr>
      <w:kern w:val="2"/>
      <w:sz w:val="16"/>
      <w:szCs w:val="16"/>
    </w:rPr>
  </w:style>
  <w:style w:type="character" w:customStyle="1" w:styleId="84">
    <w:name w:val="正文文本 3 Char1"/>
    <w:uiPriority w:val="0"/>
    <w:rPr>
      <w:kern w:val="2"/>
      <w:sz w:val="16"/>
      <w:szCs w:val="16"/>
    </w:rPr>
  </w:style>
  <w:style w:type="character" w:customStyle="1" w:styleId="85">
    <w:name w:val="纯文本 Char1"/>
    <w:uiPriority w:val="0"/>
    <w:rPr>
      <w:rFonts w:ascii="宋体" w:hAnsi="Courier New" w:cs="Courier New"/>
      <w:kern w:val="2"/>
      <w:sz w:val="21"/>
      <w:szCs w:val="21"/>
    </w:rPr>
  </w:style>
  <w:style w:type="character" w:customStyle="1" w:styleId="86">
    <w:name w:val="条款 Char"/>
    <w:link w:val="87"/>
    <w:uiPriority w:val="0"/>
    <w:rPr>
      <w:rFonts w:ascii="仿宋_GB2312" w:hAnsi="Calibri" w:eastAsia="仿宋_GB2312"/>
      <w:color w:val="000000"/>
      <w:sz w:val="28"/>
      <w:lang w:bidi="ar-SA"/>
    </w:rPr>
  </w:style>
  <w:style w:type="paragraph" w:customStyle="1" w:styleId="87">
    <w:name w:val="条款"/>
    <w:basedOn w:val="1"/>
    <w:link w:val="86"/>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88">
    <w:name w:val="脚注文本 Char1"/>
    <w:uiPriority w:val="0"/>
    <w:rPr>
      <w:kern w:val="2"/>
      <w:sz w:val="18"/>
      <w:szCs w:val="18"/>
    </w:rPr>
  </w:style>
  <w:style w:type="paragraph" w:customStyle="1" w:styleId="89">
    <w:name w:val="Char3"/>
    <w:basedOn w:val="1"/>
    <w:uiPriority w:val="0"/>
    <w:rPr>
      <w:szCs w:val="21"/>
    </w:rPr>
  </w:style>
  <w:style w:type="paragraph" w:customStyle="1" w:styleId="90">
    <w:name w:val="doc-a2"/>
    <w:basedOn w:val="1"/>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91">
    <w:name w:val="样式1"/>
    <w:basedOn w:val="1"/>
    <w:link w:val="92"/>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92">
    <w:name w:val="样式1 Char"/>
    <w:link w:val="91"/>
    <w:locked/>
    <w:uiPriority w:val="0"/>
    <w:rPr>
      <w:rFonts w:ascii="仿宋_GB2312" w:hAnsi="宋体" w:eastAsia="仿宋_GB2312"/>
      <w:sz w:val="30"/>
      <w:szCs w:val="30"/>
    </w:rPr>
  </w:style>
  <w:style w:type="paragraph" w:customStyle="1" w:styleId="93">
    <w:name w:val="SSE正文"/>
    <w:basedOn w:val="1"/>
    <w:link w:val="94"/>
    <w:qFormat/>
    <w:uiPriority w:val="0"/>
    <w:pPr>
      <w:ind w:firstLine="200" w:firstLineChars="200"/>
    </w:pPr>
    <w:rPr>
      <w:rFonts w:eastAsia="仿宋_GB2312"/>
      <w:sz w:val="28"/>
      <w:szCs w:val="28"/>
    </w:rPr>
  </w:style>
  <w:style w:type="character" w:customStyle="1" w:styleId="94">
    <w:name w:val="SSE正文 Char"/>
    <w:link w:val="93"/>
    <w:uiPriority w:val="0"/>
    <w:rPr>
      <w:rFonts w:eastAsia="仿宋_GB2312"/>
      <w:kern w:val="2"/>
      <w:sz w:val="28"/>
      <w:szCs w:val="28"/>
    </w:rPr>
  </w:style>
  <w:style w:type="paragraph" w:customStyle="1" w:styleId="95">
    <w:name w:val="默认"/>
    <w:uiPriority w:val="0"/>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Helvetica" w:cs="Arial Unicode MS"/>
      <w:color w:val="000000"/>
      <w:sz w:val="22"/>
      <w:szCs w:val="22"/>
      <w:lang w:val="zh-CN" w:eastAsia="zh-CN" w:bidi="ar-SA"/>
    </w:rPr>
  </w:style>
  <w:style w:type="paragraph" w:customStyle="1" w:styleId="96">
    <w:name w:val="Message Heading"/>
    <w:basedOn w:val="1"/>
    <w:next w:val="1"/>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7">
    <w:name w:val="SSE标题1"/>
    <w:basedOn w:val="2"/>
    <w:link w:val="98"/>
    <w:qFormat/>
    <w:uiPriority w:val="0"/>
    <w:pPr>
      <w:spacing w:before="0" w:after="120" w:line="240" w:lineRule="auto"/>
      <w:ind w:left="1232" w:hanging="630"/>
    </w:pPr>
    <w:rPr>
      <w:rFonts w:eastAsia="黑体"/>
      <w:sz w:val="30"/>
      <w:szCs w:val="30"/>
    </w:rPr>
  </w:style>
  <w:style w:type="character" w:customStyle="1" w:styleId="98">
    <w:name w:val="SSE标题1 Char"/>
    <w:link w:val="97"/>
    <w:uiPriority w:val="0"/>
    <w:rPr>
      <w:rFonts w:eastAsia="黑体"/>
      <w:b/>
      <w:bCs/>
      <w:kern w:val="44"/>
      <w:sz w:val="30"/>
      <w:szCs w:val="30"/>
    </w:rPr>
  </w:style>
  <w:style w:type="paragraph" w:customStyle="1" w:styleId="99">
    <w:name w:val="SSE标题0"/>
    <w:basedOn w:val="1"/>
    <w:link w:val="100"/>
    <w:qFormat/>
    <w:uiPriority w:val="0"/>
    <w:pPr>
      <w:spacing w:before="100" w:beforeAutospacing="1" w:after="100" w:afterAutospacing="1"/>
      <w:jc w:val="center"/>
    </w:pPr>
    <w:rPr>
      <w:rFonts w:eastAsia="华文中宋"/>
      <w:b/>
      <w:sz w:val="44"/>
      <w:szCs w:val="44"/>
    </w:rPr>
  </w:style>
  <w:style w:type="character" w:customStyle="1" w:styleId="100">
    <w:name w:val="SSE标题0 Char"/>
    <w:link w:val="99"/>
    <w:uiPriority w:val="0"/>
    <w:rPr>
      <w:rFonts w:eastAsia="华文中宋"/>
      <w:b/>
      <w:kern w:val="2"/>
      <w:sz w:val="44"/>
      <w:szCs w:val="44"/>
    </w:rPr>
  </w:style>
  <w:style w:type="paragraph" w:customStyle="1" w:styleId="101">
    <w:name w:val="Стандартный HTML"/>
    <w:basedOn w:val="1"/>
    <w:uiPriority w:val="0"/>
    <w:pPr>
      <w:widowControl/>
      <w:suppressAutoHyphens/>
      <w:jc w:val="left"/>
    </w:pPr>
    <w:rPr>
      <w:rFonts w:ascii="Courier New" w:hAnsi="Courier New" w:eastAsia="宋体" w:cs="Courier New"/>
      <w:kern w:val="1"/>
      <w:sz w:val="20"/>
      <w:lang w:eastAsia="ar-SA"/>
    </w:rPr>
  </w:style>
  <w:style w:type="paragraph" w:customStyle="1" w:styleId="102">
    <w:name w:val="Основной текст 2"/>
    <w:basedOn w:val="1"/>
    <w:uiPriority w:val="0"/>
    <w:pPr>
      <w:widowControl/>
      <w:suppressAutoHyphens/>
      <w:overflowPunct w:val="0"/>
      <w:autoSpaceDE w:val="0"/>
    </w:pPr>
    <w:rPr>
      <w:rFonts w:ascii="ClassGarmnd BT" w:hAnsi="ClassGarmnd BT" w:eastAsia="宋体" w:cs="ClassGarmnd BT"/>
      <w:color w:val="000000"/>
      <w:kern w:val="1"/>
      <w:sz w:val="20"/>
      <w:lang w:val="en-AU" w:eastAsia="ar-SA"/>
    </w:rPr>
  </w:style>
  <w:style w:type="paragraph" w:customStyle="1" w:styleId="103">
    <w:name w:val="List Paragraph1"/>
    <w:basedOn w:val="1"/>
    <w:uiPriority w:val="0"/>
    <w:pPr>
      <w:suppressAutoHyphens/>
      <w:ind w:left="720"/>
    </w:pPr>
    <w:rPr>
      <w:rFonts w:eastAsia="宋体"/>
      <w:kern w:val="1"/>
      <w:sz w:val="32"/>
      <w:szCs w:val="24"/>
      <w:lang w:eastAsia="ar-SA"/>
    </w:rPr>
  </w:style>
  <w:style w:type="paragraph" w:customStyle="1" w:styleId="104">
    <w:name w:val="Style1"/>
    <w:basedOn w:val="1"/>
    <w:uiPriority w:val="0"/>
    <w:pPr>
      <w:numPr>
        <w:ilvl w:val="0"/>
        <w:numId w:val="2"/>
      </w:numPr>
      <w:suppressAutoHyphens/>
    </w:pPr>
    <w:rPr>
      <w:rFonts w:eastAsia="宋体"/>
      <w:kern w:val="1"/>
      <w:szCs w:val="24"/>
      <w:lang w:eastAsia="ar-SA"/>
    </w:rPr>
  </w:style>
  <w:style w:type="character" w:customStyle="1" w:styleId="105">
    <w:name w:val="语句 Char"/>
    <w:link w:val="106"/>
    <w:locked/>
    <w:uiPriority w:val="0"/>
    <w:rPr>
      <w:rFonts w:ascii="仿宋_GB2312" w:eastAsia="仿宋_GB2312"/>
      <w:b/>
      <w:i/>
      <w:sz w:val="30"/>
      <w:szCs w:val="30"/>
    </w:rPr>
  </w:style>
  <w:style w:type="paragraph" w:customStyle="1" w:styleId="106">
    <w:name w:val="语句"/>
    <w:basedOn w:val="1"/>
    <w:link w:val="105"/>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7">
    <w:name w:val="KK一级 Char"/>
    <w:link w:val="108"/>
    <w:locked/>
    <w:uiPriority w:val="0"/>
    <w:rPr>
      <w:rFonts w:ascii="仿宋_GB2312" w:hAnsi="Calibri" w:eastAsia="仿宋_GB2312"/>
      <w:b/>
      <w:bCs/>
      <w:sz w:val="30"/>
      <w:szCs w:val="30"/>
    </w:rPr>
  </w:style>
  <w:style w:type="paragraph" w:customStyle="1" w:styleId="108">
    <w:name w:val="KK一级"/>
    <w:basedOn w:val="1"/>
    <w:link w:val="107"/>
    <w:qFormat/>
    <w:uiPriority w:val="0"/>
    <w:pPr>
      <w:spacing w:line="600" w:lineRule="exact"/>
      <w:jc w:val="left"/>
    </w:pPr>
    <w:rPr>
      <w:rFonts w:ascii="仿宋_GB2312" w:hAnsi="Calibri" w:eastAsia="仿宋_GB2312"/>
      <w:b/>
      <w:bCs/>
      <w:kern w:val="0"/>
      <w:sz w:val="30"/>
      <w:szCs w:val="30"/>
    </w:rPr>
  </w:style>
  <w:style w:type="character" w:customStyle="1" w:styleId="109">
    <w:name w:val="KK二级 Char"/>
    <w:link w:val="110"/>
    <w:locked/>
    <w:uiPriority w:val="0"/>
    <w:rPr>
      <w:rFonts w:ascii="仿宋_GB2312" w:hAnsi="Calibri" w:eastAsia="仿宋_GB2312"/>
      <w:b/>
      <w:bCs/>
      <w:sz w:val="30"/>
      <w:szCs w:val="30"/>
    </w:rPr>
  </w:style>
  <w:style w:type="paragraph" w:customStyle="1" w:styleId="110">
    <w:name w:val="KK二级"/>
    <w:basedOn w:val="1"/>
    <w:link w:val="109"/>
    <w:qFormat/>
    <w:uiPriority w:val="0"/>
    <w:pPr>
      <w:spacing w:line="600" w:lineRule="exact"/>
      <w:jc w:val="left"/>
    </w:pPr>
    <w:rPr>
      <w:rFonts w:ascii="仿宋_GB2312" w:hAnsi="Calibri" w:eastAsia="仿宋_GB2312"/>
      <w:b/>
      <w:bCs/>
      <w:kern w:val="0"/>
      <w:sz w:val="30"/>
      <w:szCs w:val="30"/>
    </w:rPr>
  </w:style>
  <w:style w:type="character" w:customStyle="1" w:styleId="111">
    <w:name w:val="eee Char"/>
    <w:link w:val="112"/>
    <w:locked/>
    <w:uiPriority w:val="0"/>
    <w:rPr>
      <w:rFonts w:ascii="宋体" w:hAnsi="宋体"/>
      <w:sz w:val="24"/>
      <w:szCs w:val="24"/>
    </w:rPr>
  </w:style>
  <w:style w:type="paragraph" w:customStyle="1" w:styleId="112">
    <w:name w:val="eee"/>
    <w:basedOn w:val="1"/>
    <w:link w:val="111"/>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3">
    <w:name w:val="SSE内容提要正文 Char"/>
    <w:link w:val="114"/>
    <w:locked/>
    <w:uiPriority w:val="0"/>
    <w:rPr>
      <w:rFonts w:ascii="仿宋_GB2312" w:eastAsia="仿宋_GB2312"/>
      <w:sz w:val="28"/>
    </w:rPr>
  </w:style>
  <w:style w:type="paragraph" w:customStyle="1" w:styleId="114">
    <w:name w:val="SSE内容提要正文"/>
    <w:basedOn w:val="1"/>
    <w:link w:val="113"/>
    <w:uiPriority w:val="0"/>
    <w:pPr>
      <w:ind w:firstLine="560" w:firstLineChars="200"/>
    </w:pPr>
    <w:rPr>
      <w:rFonts w:ascii="仿宋_GB2312" w:eastAsia="仿宋_GB2312"/>
      <w:kern w:val="0"/>
      <w:sz w:val="28"/>
    </w:rPr>
  </w:style>
  <w:style w:type="character" w:customStyle="1" w:styleId="115">
    <w:name w:val="SSE资料来源 Char"/>
    <w:link w:val="116"/>
    <w:locked/>
    <w:uiPriority w:val="0"/>
    <w:rPr>
      <w:rFonts w:ascii="仿宋_GB2312" w:eastAsia="仿宋_GB2312"/>
      <w:color w:val="000000"/>
    </w:rPr>
  </w:style>
  <w:style w:type="paragraph" w:customStyle="1" w:styleId="116">
    <w:name w:val="SSE资料来源"/>
    <w:basedOn w:val="1"/>
    <w:link w:val="115"/>
    <w:uiPriority w:val="0"/>
    <w:pPr>
      <w:spacing w:after="100" w:afterAutospacing="1"/>
      <w:ind w:firstLine="200" w:firstLineChars="200"/>
    </w:pPr>
    <w:rPr>
      <w:rFonts w:ascii="仿宋_GB2312" w:eastAsia="仿宋_GB2312"/>
      <w:color w:val="000000"/>
      <w:kern w:val="0"/>
      <w:sz w:val="20"/>
    </w:rPr>
  </w:style>
  <w:style w:type="character" w:customStyle="1" w:styleId="117">
    <w:name w:val="SSE标题2 Char"/>
    <w:link w:val="118"/>
    <w:locked/>
    <w:uiPriority w:val="0"/>
    <w:rPr>
      <w:rFonts w:ascii="仿宋_GB2312" w:eastAsia="仿宋_GB2312"/>
      <w:b/>
      <w:bCs/>
      <w:sz w:val="28"/>
      <w:szCs w:val="28"/>
    </w:rPr>
  </w:style>
  <w:style w:type="paragraph" w:customStyle="1" w:styleId="118">
    <w:name w:val="SSE标题2"/>
    <w:basedOn w:val="3"/>
    <w:link w:val="117"/>
    <w:qFormat/>
    <w:uiPriority w:val="0"/>
    <w:pPr>
      <w:spacing w:beforeLines="50" w:after="0" w:line="240" w:lineRule="auto"/>
    </w:pPr>
    <w:rPr>
      <w:rFonts w:ascii="仿宋_GB2312" w:hAnsi="Times New Roman" w:eastAsia="仿宋_GB2312"/>
      <w:sz w:val="28"/>
      <w:szCs w:val="28"/>
    </w:rPr>
  </w:style>
  <w:style w:type="character" w:customStyle="1" w:styleId="119">
    <w:name w:val="SSE表格文字 Char"/>
    <w:link w:val="120"/>
    <w:locked/>
    <w:uiPriority w:val="0"/>
    <w:rPr>
      <w:rFonts w:ascii="仿宋_GB2312" w:eastAsia="仿宋_GB2312"/>
      <w:color w:val="000000"/>
      <w:sz w:val="24"/>
      <w:szCs w:val="24"/>
    </w:rPr>
  </w:style>
  <w:style w:type="paragraph" w:customStyle="1" w:styleId="120">
    <w:name w:val="SSE表格文字"/>
    <w:basedOn w:val="1"/>
    <w:link w:val="119"/>
    <w:uiPriority w:val="0"/>
    <w:pPr>
      <w:widowControl/>
      <w:jc w:val="center"/>
    </w:pPr>
    <w:rPr>
      <w:rFonts w:ascii="仿宋_GB2312" w:eastAsia="仿宋_GB2312"/>
      <w:color w:val="000000"/>
      <w:kern w:val="0"/>
      <w:sz w:val="24"/>
      <w:szCs w:val="24"/>
    </w:rPr>
  </w:style>
  <w:style w:type="character" w:customStyle="1" w:styleId="121">
    <w:name w:val="SSE图表标题 Char"/>
    <w:link w:val="122"/>
    <w:locked/>
    <w:uiPriority w:val="0"/>
    <w:rPr>
      <w:rFonts w:ascii="仿宋_GB2312" w:eastAsia="仿宋_GB2312"/>
      <w:b/>
      <w:bCs/>
      <w:color w:val="000000"/>
      <w:sz w:val="24"/>
      <w:szCs w:val="24"/>
    </w:rPr>
  </w:style>
  <w:style w:type="paragraph" w:customStyle="1" w:styleId="122">
    <w:name w:val="SSE图表标题"/>
    <w:basedOn w:val="7"/>
    <w:link w:val="121"/>
    <w:uiPriority w:val="0"/>
    <w:pPr>
      <w:spacing w:beforeLines="50" w:after="0" w:line="240" w:lineRule="auto"/>
      <w:jc w:val="center"/>
    </w:pPr>
    <w:rPr>
      <w:rFonts w:ascii="仿宋_GB2312" w:hAnsi="Times New Roman" w:eastAsia="仿宋_GB2312"/>
      <w:color w:val="000000"/>
      <w:kern w:val="0"/>
    </w:rPr>
  </w:style>
  <w:style w:type="character" w:customStyle="1" w:styleId="123">
    <w:name w:val="标题 1 字符"/>
    <w:uiPriority w:val="9"/>
    <w:rPr>
      <w:rFonts w:hint="default" w:ascii="Calibri" w:hAnsi="Calibri" w:eastAsia="宋体" w:cs="Times New Roman"/>
      <w:b/>
      <w:bCs/>
      <w:kern w:val="44"/>
      <w:sz w:val="44"/>
      <w:szCs w:val="44"/>
    </w:rPr>
  </w:style>
  <w:style w:type="character" w:customStyle="1" w:styleId="124">
    <w:name w:val="标题 2 字符"/>
    <w:semiHidden/>
    <w:uiPriority w:val="9"/>
    <w:rPr>
      <w:rFonts w:hint="default" w:ascii="Cambria" w:hAnsi="Cambria" w:eastAsia="宋体" w:cs="Times New Roman"/>
      <w:b/>
      <w:bCs/>
      <w:sz w:val="32"/>
      <w:szCs w:val="32"/>
    </w:rPr>
  </w:style>
  <w:style w:type="character" w:customStyle="1" w:styleId="125">
    <w:name w:val="标题 3 字符"/>
    <w:semiHidden/>
    <w:uiPriority w:val="9"/>
    <w:rPr>
      <w:rFonts w:hint="default" w:ascii="Calibri" w:hAnsi="Calibri" w:eastAsia="宋体" w:cs="Times New Roman"/>
      <w:b/>
      <w:bCs/>
      <w:sz w:val="32"/>
      <w:szCs w:val="32"/>
    </w:rPr>
  </w:style>
  <w:style w:type="character" w:customStyle="1" w:styleId="126">
    <w:name w:val="标题 4 字符"/>
    <w:semiHidden/>
    <w:uiPriority w:val="9"/>
    <w:rPr>
      <w:rFonts w:hint="default" w:ascii="Cambria" w:hAnsi="Cambria" w:eastAsia="宋体" w:cs="Times New Roman"/>
      <w:b/>
      <w:bCs/>
      <w:sz w:val="28"/>
      <w:szCs w:val="28"/>
    </w:rPr>
  </w:style>
  <w:style w:type="character" w:customStyle="1" w:styleId="127">
    <w:name w:val="标题 6 字符"/>
    <w:semiHidden/>
    <w:uiPriority w:val="9"/>
    <w:rPr>
      <w:rFonts w:hint="default" w:ascii="Cambria" w:hAnsi="Cambria" w:eastAsia="宋体" w:cs="Times New Roman"/>
      <w:b/>
      <w:bCs/>
      <w:sz w:val="24"/>
      <w:szCs w:val="24"/>
    </w:rPr>
  </w:style>
  <w:style w:type="character" w:customStyle="1" w:styleId="128">
    <w:name w:val="页眉 字符"/>
    <w:semiHidden/>
    <w:uiPriority w:val="99"/>
    <w:rPr>
      <w:rFonts w:hint="default" w:ascii="Calibri" w:hAnsi="Calibri" w:eastAsia="宋体" w:cs="Times New Roman"/>
      <w:sz w:val="18"/>
      <w:szCs w:val="18"/>
    </w:rPr>
  </w:style>
  <w:style w:type="character" w:customStyle="1" w:styleId="129">
    <w:name w:val="页脚 字符"/>
    <w:semiHidden/>
    <w:uiPriority w:val="99"/>
    <w:rPr>
      <w:rFonts w:hint="default" w:ascii="Calibri" w:hAnsi="Calibri" w:eastAsia="宋体" w:cs="Times New Roman"/>
      <w:sz w:val="18"/>
      <w:szCs w:val="18"/>
    </w:rPr>
  </w:style>
  <w:style w:type="character" w:customStyle="1" w:styleId="130">
    <w:name w:val="正文文本缩进 字符"/>
    <w:semiHidden/>
    <w:uiPriority w:val="99"/>
    <w:rPr>
      <w:rFonts w:hint="default" w:ascii="Calibri" w:hAnsi="Calibri" w:eastAsia="宋体" w:cs="Times New Roman"/>
    </w:rPr>
  </w:style>
  <w:style w:type="character" w:customStyle="1" w:styleId="131">
    <w:name w:val="批注框文本 字符"/>
    <w:semiHidden/>
    <w:uiPriority w:val="99"/>
    <w:rPr>
      <w:rFonts w:hint="default" w:ascii="Calibri" w:hAnsi="Calibri" w:eastAsia="宋体" w:cs="Times New Roman"/>
      <w:sz w:val="18"/>
      <w:szCs w:val="18"/>
    </w:rPr>
  </w:style>
  <w:style w:type="character" w:customStyle="1" w:styleId="132">
    <w:name w:val="日期 字符"/>
    <w:semiHidden/>
    <w:uiPriority w:val="99"/>
    <w:rPr>
      <w:rFonts w:hint="default" w:ascii="Calibri" w:hAnsi="Calibri" w:eastAsia="宋体" w:cs="Times New Roman"/>
    </w:rPr>
  </w:style>
  <w:style w:type="character" w:customStyle="1" w:styleId="133">
    <w:name w:val="纯文本 字符"/>
    <w:semiHidden/>
    <w:uiPriority w:val="99"/>
    <w:rPr>
      <w:rFonts w:hint="eastAsia" w:ascii="宋体" w:hAnsi="Courier New" w:eastAsia="宋体" w:cs="Courier New"/>
    </w:rPr>
  </w:style>
  <w:style w:type="character" w:customStyle="1" w:styleId="134">
    <w:name w:val="正文文本 2 字符"/>
    <w:semiHidden/>
    <w:uiPriority w:val="99"/>
    <w:rPr>
      <w:rFonts w:hint="default" w:ascii="Calibri" w:hAnsi="Calibri" w:eastAsia="宋体" w:cs="Times New Roman"/>
    </w:rPr>
  </w:style>
  <w:style w:type="character" w:customStyle="1" w:styleId="135">
    <w:name w:val="尾注文本 Char1"/>
    <w:locked/>
    <w:uiPriority w:val="0"/>
    <w:rPr>
      <w:rFonts w:ascii="Times New Roman" w:hAnsi="Times New Roman" w:eastAsia="宋体" w:cs="Times New Roman"/>
      <w:kern w:val="0"/>
      <w:sz w:val="24"/>
      <w:szCs w:val="24"/>
    </w:rPr>
  </w:style>
  <w:style w:type="character" w:customStyle="1" w:styleId="136">
    <w:name w:val="尾注文本 字符"/>
    <w:semiHidden/>
    <w:uiPriority w:val="99"/>
    <w:rPr>
      <w:rFonts w:hint="default" w:ascii="Calibri" w:hAnsi="Calibri" w:eastAsia="宋体" w:cs="Times New Roman"/>
    </w:rPr>
  </w:style>
  <w:style w:type="character" w:customStyle="1" w:styleId="137">
    <w:name w:val="批注文字 Char1"/>
    <w:locked/>
    <w:uiPriority w:val="0"/>
    <w:rPr>
      <w:rFonts w:ascii="Times New Roman" w:hAnsi="Times New Roman" w:eastAsia="宋体" w:cs="Times New Roman"/>
      <w:kern w:val="0"/>
      <w:sz w:val="24"/>
      <w:szCs w:val="24"/>
    </w:rPr>
  </w:style>
  <w:style w:type="character" w:customStyle="1" w:styleId="138">
    <w:name w:val="批注文字 字符"/>
    <w:semiHidden/>
    <w:uiPriority w:val="99"/>
    <w:rPr>
      <w:rFonts w:hint="default" w:ascii="Calibri" w:hAnsi="Calibri" w:eastAsia="宋体" w:cs="Times New Roman"/>
    </w:rPr>
  </w:style>
  <w:style w:type="character" w:customStyle="1" w:styleId="139">
    <w:name w:val="正文文本 字符"/>
    <w:semiHidden/>
    <w:uiPriority w:val="99"/>
    <w:rPr>
      <w:rFonts w:hint="default" w:ascii="Calibri" w:hAnsi="Calibri" w:eastAsia="宋体" w:cs="Times New Roman"/>
    </w:rPr>
  </w:style>
  <w:style w:type="character" w:customStyle="1" w:styleId="140">
    <w:name w:val="正文文本缩进 2 字符"/>
    <w:semiHidden/>
    <w:uiPriority w:val="99"/>
    <w:rPr>
      <w:rFonts w:hint="default" w:ascii="Calibri" w:hAnsi="Calibri" w:eastAsia="宋体" w:cs="Times New Roman"/>
    </w:rPr>
  </w:style>
  <w:style w:type="character" w:customStyle="1" w:styleId="141">
    <w:name w:val="正文文本缩进 3 字符"/>
    <w:semiHidden/>
    <w:uiPriority w:val="99"/>
    <w:rPr>
      <w:rFonts w:hint="default" w:ascii="Calibri" w:hAnsi="Calibri" w:eastAsia="宋体" w:cs="Times New Roman"/>
      <w:sz w:val="16"/>
      <w:szCs w:val="16"/>
    </w:rPr>
  </w:style>
  <w:style w:type="character" w:customStyle="1" w:styleId="142">
    <w:name w:val="正文文本 3 字符"/>
    <w:semiHidden/>
    <w:uiPriority w:val="99"/>
    <w:rPr>
      <w:rFonts w:hint="default" w:ascii="Calibri" w:hAnsi="Calibri" w:eastAsia="宋体" w:cs="Times New Roman"/>
      <w:sz w:val="16"/>
      <w:szCs w:val="16"/>
    </w:rPr>
  </w:style>
  <w:style w:type="character" w:customStyle="1" w:styleId="143">
    <w:name w:val="脚注文本 字符"/>
    <w:semiHidden/>
    <w:uiPriority w:val="99"/>
    <w:rPr>
      <w:rFonts w:hint="default" w:ascii="Calibri" w:hAnsi="Calibri" w:eastAsia="宋体" w:cs="Times New Roman"/>
      <w:sz w:val="18"/>
      <w:szCs w:val="18"/>
    </w:rPr>
  </w:style>
  <w:style w:type="character" w:customStyle="1" w:styleId="144">
    <w:name w:val="批注主题 Char1"/>
    <w:locked/>
    <w:uiPriority w:val="0"/>
    <w:rPr>
      <w:rFonts w:ascii="Times New Roman" w:hAnsi="Times New Roman" w:eastAsia="宋体" w:cs="Times New Roman"/>
      <w:b/>
      <w:bCs/>
      <w:kern w:val="0"/>
      <w:sz w:val="24"/>
      <w:szCs w:val="24"/>
    </w:rPr>
  </w:style>
  <w:style w:type="character" w:customStyle="1" w:styleId="145">
    <w:name w:val="批注主题 字符"/>
    <w:semiHidden/>
    <w:uiPriority w:val="99"/>
    <w:rPr>
      <w:rFonts w:hint="default" w:ascii="Calibri" w:hAnsi="Calibri" w:eastAsia="宋体" w:cs="Times New Roman"/>
      <w:b/>
      <w:bCs/>
    </w:rPr>
  </w:style>
  <w:style w:type="character" w:customStyle="1" w:styleId="146">
    <w:name w:val="标题 Char1"/>
    <w:locked/>
    <w:uiPriority w:val="0"/>
    <w:rPr>
      <w:rFonts w:ascii="Arial" w:hAnsi="Arial" w:eastAsia="宋体" w:cs="Times New Roman"/>
      <w:b/>
      <w:bCs/>
      <w:kern w:val="0"/>
      <w:sz w:val="32"/>
      <w:szCs w:val="32"/>
    </w:rPr>
  </w:style>
  <w:style w:type="character" w:customStyle="1" w:styleId="147">
    <w:name w:val="标题 字符"/>
    <w:uiPriority w:val="10"/>
    <w:rPr>
      <w:rFonts w:hint="default" w:ascii="Cambria" w:hAnsi="Cambria" w:eastAsia="宋体" w:cs="Times New Roman"/>
      <w:b/>
      <w:bCs/>
      <w:sz w:val="32"/>
      <w:szCs w:val="32"/>
    </w:rPr>
  </w:style>
  <w:style w:type="paragraph" w:customStyle="1" w:styleId="148">
    <w:name w:val="a4"/>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font5"/>
    <w:basedOn w:val="1"/>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150">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Cs w:val="21"/>
    </w:rPr>
  </w:style>
  <w:style w:type="paragraph" w:customStyle="1" w:styleId="151">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152">
    <w:name w:val="脚注文本 字符1"/>
    <w:locked/>
    <w:uiPriority w:val="0"/>
    <w:rPr>
      <w:rFonts w:ascii="Times New Roman" w:hAnsi="Times New Roman" w:eastAsia="宋体" w:cs="Times New Roman"/>
      <w:kern w:val="0"/>
      <w:sz w:val="18"/>
      <w:szCs w:val="18"/>
    </w:rPr>
  </w:style>
  <w:style w:type="paragraph" w:customStyle="1" w:styleId="153">
    <w:name w:val="样式6"/>
    <w:basedOn w:val="1"/>
    <w:qFormat/>
    <w:uiPriority w:val="0"/>
    <w:pPr>
      <w:keepNext/>
      <w:keepLines/>
      <w:numPr>
        <w:ilvl w:val="0"/>
        <w:numId w:val="3"/>
      </w:numPr>
      <w:tabs>
        <w:tab w:val="left" w:pos="1418"/>
      </w:tabs>
      <w:adjustRightInd w:val="0"/>
      <w:spacing w:line="560" w:lineRule="exact"/>
      <w:ind w:left="988"/>
      <w:jc w:val="center"/>
      <w:textAlignment w:val="baseline"/>
      <w:outlineLvl w:val="0"/>
    </w:pPr>
    <w:rPr>
      <w:rFonts w:ascii="黑体" w:hAnsi="Arial Unicode MS" w:eastAsia="黑体" w:cs="Arial Unicode MS"/>
      <w:bCs/>
      <w:kern w:val="44"/>
      <w:sz w:val="32"/>
      <w:szCs w:val="32"/>
    </w:rPr>
  </w:style>
  <w:style w:type="paragraph" w:styleId="154">
    <w:name w:val=""/>
    <w:semiHidden/>
    <w:uiPriority w:val="99"/>
    <w:rPr>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3257</Words>
  <Characters>3271</Characters>
  <Lines>25</Lines>
  <Paragraphs>7</Paragraphs>
  <TotalTime>163.666666666667</TotalTime>
  <ScaleCrop>false</ScaleCrop>
  <LinksUpToDate>false</LinksUpToDate>
  <CharactersWithSpaces>3294</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2021-08-23T01:19:00Z</dcterms:created>
  <dc:creator>sse</dc:creator>
  <cp:lastModifiedBy>ynwu</cp:lastModifiedBy>
  <cp:lastPrinted>2025-08-02T07:02:31Z</cp:lastPrinted>
  <dcterms:modified xsi:type="dcterms:W3CDTF">2025-09-05T16:10:38Z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712633BD0B53C147FE9ABA687B298692_43</vt:lpwstr>
  </property>
</Properties>
</file>