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08CA82">
      <w:pPr>
        <w:adjustRightInd w:val="0"/>
        <w:snapToGrid w:val="0"/>
        <w:spacing w:line="560" w:lineRule="exact"/>
        <w:jc w:val="left"/>
        <w:rPr>
          <w:rFonts w:hint="eastAsia" w:ascii="仿宋_GB2312" w:hAnsi="微软雅黑" w:eastAsia="仿宋_GB2312"/>
          <w:bCs/>
          <w:color w:val="000000"/>
          <w:sz w:val="32"/>
          <w:szCs w:val="32"/>
        </w:rPr>
      </w:pPr>
    </w:p>
    <w:p w14:paraId="004D9BA5">
      <w:pPr>
        <w:adjustRightInd w:val="0"/>
        <w:snapToGrid w:val="0"/>
        <w:spacing w:line="560" w:lineRule="exact"/>
        <w:rPr>
          <w:rFonts w:ascii="仿宋_GB2312" w:eastAsia="仿宋_GB2312"/>
          <w:bCs/>
          <w:sz w:val="32"/>
          <w:szCs w:val="32"/>
        </w:rPr>
      </w:pPr>
    </w:p>
    <w:p w14:paraId="3C58C82E">
      <w:pPr>
        <w:adjustRightInd w:val="0"/>
        <w:snapToGrid w:val="0"/>
        <w:spacing w:line="560" w:lineRule="exact"/>
        <w:jc w:val="center"/>
        <w:rPr>
          <w:rFonts w:ascii="方正大标宋简体" w:hAnsi="方正大标宋简体" w:eastAsia="方正大标宋简体" w:cs="黑体"/>
          <w:sz w:val="44"/>
          <w:szCs w:val="44"/>
        </w:rPr>
      </w:pPr>
      <w:r>
        <w:rPr>
          <w:rFonts w:hint="eastAsia" w:ascii="方正大标宋简体" w:hAnsi="方正大标宋简体" w:eastAsia="方正大标宋简体" w:cs="黑体"/>
          <w:sz w:val="44"/>
          <w:szCs w:val="44"/>
        </w:rPr>
        <w:t>股票质押式回购交易及登记结算业务办法</w:t>
      </w:r>
    </w:p>
    <w:p w14:paraId="3504723E">
      <w:pPr>
        <w:adjustRightInd w:val="0"/>
        <w:snapToGrid w:val="0"/>
        <w:spacing w:line="560" w:lineRule="exact"/>
        <w:jc w:val="center"/>
        <w:rPr>
          <w:rFonts w:ascii="方正大标宋简体" w:hAnsi="方正大标宋简体" w:eastAsia="方正大标宋简体" w:cs="黑体"/>
          <w:sz w:val="44"/>
          <w:szCs w:val="44"/>
        </w:rPr>
      </w:pPr>
      <w:r>
        <w:rPr>
          <w:rFonts w:hint="eastAsia" w:ascii="方正大标宋简体" w:hAnsi="方正大标宋简体" w:eastAsia="方正大标宋简体" w:cs="黑体"/>
          <w:sz w:val="44"/>
          <w:szCs w:val="44"/>
        </w:rPr>
        <w:t>（</w:t>
      </w:r>
      <w:r>
        <w:rPr>
          <w:rFonts w:eastAsia="方正大标宋简体" w:cs="黑体"/>
          <w:sz w:val="44"/>
          <w:szCs w:val="44"/>
        </w:rPr>
        <w:t>2025</w:t>
      </w:r>
      <w:r>
        <w:rPr>
          <w:rFonts w:hint="eastAsia" w:ascii="方正大标宋简体" w:hAnsi="方正大标宋简体" w:eastAsia="方正大标宋简体" w:cs="黑体"/>
          <w:sz w:val="44"/>
          <w:szCs w:val="44"/>
        </w:rPr>
        <w:t>年</w:t>
      </w:r>
      <w:r>
        <w:rPr>
          <w:rFonts w:eastAsia="方正大标宋简体" w:cs="黑体"/>
          <w:sz w:val="44"/>
          <w:szCs w:val="44"/>
        </w:rPr>
        <w:t>3</w:t>
      </w:r>
      <w:r>
        <w:rPr>
          <w:rFonts w:hint="eastAsia" w:ascii="方正大标宋简体" w:hAnsi="方正大标宋简体" w:eastAsia="方正大标宋简体" w:cs="黑体"/>
          <w:sz w:val="44"/>
          <w:szCs w:val="44"/>
        </w:rPr>
        <w:t>月修订）</w:t>
      </w:r>
    </w:p>
    <w:p w14:paraId="069F7B1C">
      <w:pPr>
        <w:adjustRightInd w:val="0"/>
        <w:snapToGrid w:val="0"/>
        <w:spacing w:line="560" w:lineRule="exact"/>
        <w:jc w:val="center"/>
        <w:rPr>
          <w:rFonts w:ascii="仿宋_GB2312" w:eastAsia="仿宋_GB2312"/>
          <w:sz w:val="32"/>
          <w:szCs w:val="32"/>
        </w:rPr>
      </w:pPr>
    </w:p>
    <w:p w14:paraId="2F4298B2">
      <w:pPr>
        <w:adjustRightInd w:val="0"/>
        <w:snapToGrid w:val="0"/>
        <w:spacing w:line="560" w:lineRule="exact"/>
        <w:jc w:val="center"/>
        <w:rPr>
          <w:rFonts w:ascii="黑体" w:hAnsi="黑体" w:eastAsia="黑体"/>
          <w:b/>
          <w:bCs w:val="0"/>
          <w:sz w:val="32"/>
          <w:szCs w:val="32"/>
        </w:rPr>
      </w:pPr>
      <w:r>
        <w:rPr>
          <w:rFonts w:hint="eastAsia" w:ascii="黑体" w:hAnsi="黑体" w:eastAsia="黑体"/>
          <w:b/>
          <w:bCs w:val="0"/>
          <w:sz w:val="32"/>
          <w:szCs w:val="32"/>
        </w:rPr>
        <w:t>第一章</w:t>
      </w:r>
      <w:r>
        <w:rPr>
          <w:rFonts w:ascii="黑体" w:hAnsi="黑体" w:eastAsia="黑体"/>
          <w:b/>
          <w:bCs w:val="0"/>
          <w:sz w:val="32"/>
          <w:szCs w:val="32"/>
        </w:rPr>
        <w:t xml:space="preserve"> </w:t>
      </w:r>
      <w:r>
        <w:rPr>
          <w:rFonts w:hint="eastAsia" w:ascii="黑体" w:hAnsi="黑体" w:eastAsia="黑体"/>
          <w:b/>
          <w:bCs w:val="0"/>
          <w:sz w:val="32"/>
          <w:szCs w:val="32"/>
        </w:rPr>
        <w:t>总则</w:t>
      </w:r>
    </w:p>
    <w:p w14:paraId="28E8AEFF">
      <w:pPr>
        <w:numPr>
          <w:ilvl w:val="0"/>
          <w:numId w:val="0"/>
        </w:numPr>
        <w:adjustRightInd w:val="0"/>
        <w:snapToGrid w:val="0"/>
        <w:spacing w:line="560" w:lineRule="exact"/>
        <w:ind w:left="0" w:leftChars="0" w:firstLine="602" w:firstLineChars="200"/>
        <w:rPr>
          <w:rFonts w:ascii="仿宋_GB2312" w:eastAsia="仿宋_GB2312"/>
          <w:sz w:val="32"/>
          <w:szCs w:val="32"/>
        </w:rPr>
      </w:pPr>
      <w:r>
        <w:rPr>
          <w:rFonts w:hint="eastAsia" w:ascii="仿宋_GB2312" w:hAnsi="Times New Roman" w:eastAsia="仿宋_GB2312" w:cs="Times New Roman"/>
          <w:b/>
          <w:kern w:val="2"/>
          <w:sz w:val="30"/>
          <w:szCs w:val="30"/>
          <w:lang w:val="en-US" w:eastAsia="zh-CN" w:bidi="ar-SA"/>
        </w:rPr>
        <w:t>第一</w:t>
      </w:r>
      <w:r>
        <w:rPr>
          <w:rFonts w:hint="eastAsia" w:ascii="仿宋_GB2312" w:eastAsia="仿宋_GB2312" w:cs="Times New Roman"/>
          <w:b/>
          <w:kern w:val="2"/>
          <w:sz w:val="30"/>
          <w:szCs w:val="30"/>
          <w:lang w:val="en-US" w:eastAsia="zh-CN" w:bidi="ar-SA"/>
        </w:rPr>
        <w:t xml:space="preserve">条 </w:t>
      </w:r>
      <w:r>
        <w:rPr>
          <w:rFonts w:hint="eastAsia" w:ascii="仿宋_GB2312" w:eastAsia="仿宋_GB2312"/>
          <w:sz w:val="32"/>
          <w:szCs w:val="32"/>
        </w:rPr>
        <w:t>为规范股票质押式回购交易（以下简称股票质押回购），维护正常市场秩序，保护交易各方的合法权益，根据《中华人民共和国证券法》等相关法律、法规、中国证券监督管理委员会（以下简称中国证监会）相关部门规章和规范性文件、上海证券交易所（以下简称上交所）及中国证券登记结算有限责任公司（以下简称中国结算）相关业务规则及规定，制定本办法。</w:t>
      </w:r>
    </w:p>
    <w:p w14:paraId="018E274F">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股票质押回购交易及登记结算业务适用本办法。本办法未规定的，适用上交所和中国结算其他相关业务规则及规定。</w:t>
      </w:r>
    </w:p>
    <w:p w14:paraId="4586BDCB">
      <w:pPr>
        <w:numPr>
          <w:ilvl w:val="0"/>
          <w:numId w:val="0"/>
        </w:numPr>
        <w:adjustRightInd w:val="0"/>
        <w:snapToGrid w:val="0"/>
        <w:spacing w:line="560" w:lineRule="exact"/>
        <w:ind w:left="0" w:leftChars="0" w:firstLine="602" w:firstLineChars="200"/>
        <w:rPr>
          <w:rFonts w:ascii="仿宋_GB2312" w:eastAsia="仿宋_GB2312"/>
          <w:sz w:val="32"/>
          <w:szCs w:val="32"/>
        </w:rPr>
      </w:pPr>
      <w:r>
        <w:rPr>
          <w:rFonts w:hint="eastAsia" w:ascii="仿宋_GB2312" w:hAnsi="Times New Roman" w:eastAsia="仿宋_GB2312" w:cs="Times New Roman"/>
          <w:b/>
          <w:kern w:val="2"/>
          <w:sz w:val="30"/>
          <w:szCs w:val="30"/>
          <w:lang w:val="en-US" w:eastAsia="zh-CN" w:bidi="ar-SA"/>
        </w:rPr>
        <w:t>第二</w:t>
      </w:r>
      <w:r>
        <w:rPr>
          <w:rFonts w:hint="eastAsia" w:ascii="仿宋_GB2312" w:eastAsia="仿宋_GB2312" w:cs="Times New Roman"/>
          <w:b/>
          <w:kern w:val="2"/>
          <w:sz w:val="30"/>
          <w:szCs w:val="30"/>
          <w:lang w:val="en-US" w:eastAsia="zh-CN" w:bidi="ar-SA"/>
        </w:rPr>
        <w:t xml:space="preserve">条 </w:t>
      </w:r>
      <w:r>
        <w:rPr>
          <w:rFonts w:hint="eastAsia" w:ascii="仿宋_GB2312" w:eastAsia="仿宋_GB2312"/>
          <w:sz w:val="32"/>
          <w:szCs w:val="32"/>
        </w:rPr>
        <w:t>股票质押回购是指符合条件的资金融入方（以下简称融入方）以所持有的股票或其他证券质押，向符合条件的资金融出方（以下简称融出方）融入资金，并约定在未来返还资金、解除质押的交易。</w:t>
      </w:r>
    </w:p>
    <w:p w14:paraId="5D2BE226">
      <w:pPr>
        <w:numPr>
          <w:ilvl w:val="0"/>
          <w:numId w:val="0"/>
        </w:numPr>
        <w:adjustRightInd w:val="0"/>
        <w:snapToGrid w:val="0"/>
        <w:spacing w:line="560" w:lineRule="exact"/>
        <w:ind w:left="0" w:leftChars="0" w:firstLine="602" w:firstLineChars="200"/>
        <w:rPr>
          <w:rFonts w:ascii="仿宋_GB2312" w:eastAsia="仿宋_GB2312"/>
          <w:sz w:val="32"/>
          <w:szCs w:val="32"/>
        </w:rPr>
      </w:pPr>
      <w:r>
        <w:rPr>
          <w:rFonts w:hint="eastAsia" w:ascii="仿宋_GB2312" w:hAnsi="Times New Roman" w:eastAsia="仿宋_GB2312" w:cs="Times New Roman"/>
          <w:b/>
          <w:kern w:val="2"/>
          <w:sz w:val="30"/>
          <w:szCs w:val="30"/>
          <w:lang w:val="en-US" w:eastAsia="zh-CN" w:bidi="ar-SA"/>
        </w:rPr>
        <w:t>第三</w:t>
      </w:r>
      <w:r>
        <w:rPr>
          <w:rFonts w:hint="eastAsia" w:ascii="仿宋_GB2312" w:eastAsia="仿宋_GB2312" w:cs="Times New Roman"/>
          <w:b/>
          <w:kern w:val="2"/>
          <w:sz w:val="30"/>
          <w:szCs w:val="30"/>
          <w:lang w:val="en-US" w:eastAsia="zh-CN" w:bidi="ar-SA"/>
        </w:rPr>
        <w:t xml:space="preserve">条 </w:t>
      </w:r>
      <w:r>
        <w:rPr>
          <w:rFonts w:hint="eastAsia" w:ascii="仿宋_GB2312" w:eastAsia="仿宋_GB2312"/>
          <w:sz w:val="32"/>
          <w:szCs w:val="32"/>
        </w:rPr>
        <w:t>证券公司根据融入方和融出方的委托向上交所综合业务平台的股票质押回购交易系统（以下简称交易系统）进行交易申报。</w:t>
      </w:r>
    </w:p>
    <w:p w14:paraId="778FA318">
      <w:pPr>
        <w:adjustRightInd w:val="0"/>
        <w:snapToGrid w:val="0"/>
        <w:spacing w:line="560" w:lineRule="exact"/>
        <w:ind w:firstLine="576" w:firstLineChars="180"/>
        <w:rPr>
          <w:rFonts w:hint="eastAsia" w:ascii="仿宋_GB2312" w:hAnsi="宋体" w:eastAsia="仿宋_GB2312"/>
          <w:sz w:val="32"/>
          <w:szCs w:val="32"/>
        </w:rPr>
      </w:pPr>
      <w:r>
        <w:rPr>
          <w:rFonts w:hint="eastAsia" w:ascii="仿宋_GB2312" w:hAnsi="宋体" w:eastAsia="仿宋_GB2312"/>
          <w:sz w:val="32"/>
          <w:szCs w:val="32"/>
        </w:rPr>
        <w:t>交易系统对交易申报按相关规则予以确认，并将成交结果发送中国结算上海分公司。</w:t>
      </w:r>
    </w:p>
    <w:p w14:paraId="5C70C102">
      <w:pPr>
        <w:adjustRightInd w:val="0"/>
        <w:snapToGrid w:val="0"/>
        <w:spacing w:line="560" w:lineRule="exact"/>
        <w:ind w:firstLine="576" w:firstLineChars="180"/>
        <w:rPr>
          <w:rFonts w:hint="eastAsia" w:ascii="仿宋_GB2312" w:hAnsi="宋体" w:eastAsia="仿宋_GB2312"/>
          <w:sz w:val="32"/>
          <w:szCs w:val="32"/>
        </w:rPr>
      </w:pPr>
      <w:r>
        <w:rPr>
          <w:rFonts w:hint="eastAsia" w:ascii="仿宋_GB2312" w:hAnsi="宋体" w:eastAsia="仿宋_GB2312"/>
          <w:sz w:val="32"/>
          <w:szCs w:val="32"/>
        </w:rPr>
        <w:t>中国结算上海分公司依据上交所确认的成交结果为股票质押回购提供相应的证券质押登记和清算交收等业务处理服务。</w:t>
      </w:r>
    </w:p>
    <w:p w14:paraId="6CA95C24">
      <w:pPr>
        <w:numPr>
          <w:ilvl w:val="0"/>
          <w:numId w:val="0"/>
        </w:numPr>
        <w:adjustRightInd w:val="0"/>
        <w:snapToGrid w:val="0"/>
        <w:spacing w:line="560" w:lineRule="exact"/>
        <w:ind w:left="0" w:leftChars="0" w:firstLine="602" w:firstLineChars="200"/>
        <w:rPr>
          <w:rFonts w:ascii="仿宋_GB2312" w:eastAsia="仿宋_GB2312"/>
          <w:sz w:val="32"/>
          <w:szCs w:val="32"/>
        </w:rPr>
      </w:pPr>
      <w:r>
        <w:rPr>
          <w:rFonts w:hint="eastAsia" w:ascii="仿宋_GB2312" w:hAnsi="Times New Roman" w:eastAsia="仿宋_GB2312" w:cs="Times New Roman"/>
          <w:b/>
          <w:kern w:val="2"/>
          <w:sz w:val="30"/>
          <w:szCs w:val="30"/>
          <w:lang w:val="en-US" w:eastAsia="zh-CN" w:bidi="ar-SA"/>
        </w:rPr>
        <w:t>第四</w:t>
      </w:r>
      <w:r>
        <w:rPr>
          <w:rFonts w:hint="eastAsia" w:ascii="仿宋_GB2312" w:eastAsia="仿宋_GB2312" w:cs="Times New Roman"/>
          <w:b/>
          <w:kern w:val="2"/>
          <w:sz w:val="30"/>
          <w:szCs w:val="30"/>
          <w:lang w:val="en-US" w:eastAsia="zh-CN" w:bidi="ar-SA"/>
        </w:rPr>
        <w:t xml:space="preserve">条 </w:t>
      </w:r>
      <w:r>
        <w:rPr>
          <w:rFonts w:hint="eastAsia" w:ascii="仿宋_GB2312" w:eastAsia="仿宋_GB2312"/>
          <w:sz w:val="32"/>
          <w:szCs w:val="32"/>
        </w:rPr>
        <w:t>证券公司参与股票质押回购，应当遵守法律法规和国家产业政策，坚持平等自愿、诚实守信、公平对待客户的原则，防范利益冲突，维护客户合法权益和社会公共利益。</w:t>
      </w:r>
    </w:p>
    <w:p w14:paraId="3840B8EE">
      <w:pPr>
        <w:numPr>
          <w:ilvl w:val="0"/>
          <w:numId w:val="0"/>
        </w:numPr>
        <w:adjustRightInd w:val="0"/>
        <w:snapToGrid w:val="0"/>
        <w:spacing w:line="560" w:lineRule="exact"/>
        <w:ind w:left="0" w:leftChars="0" w:firstLine="602" w:firstLineChars="200"/>
        <w:rPr>
          <w:rFonts w:ascii="仿宋_GB2312" w:eastAsia="仿宋_GB2312"/>
          <w:sz w:val="32"/>
          <w:szCs w:val="32"/>
        </w:rPr>
      </w:pPr>
      <w:r>
        <w:rPr>
          <w:rFonts w:hint="eastAsia" w:ascii="仿宋_GB2312" w:hAnsi="Times New Roman" w:eastAsia="仿宋_GB2312" w:cs="Times New Roman"/>
          <w:b/>
          <w:kern w:val="2"/>
          <w:sz w:val="30"/>
          <w:szCs w:val="30"/>
          <w:lang w:val="en-US" w:eastAsia="zh-CN" w:bidi="ar-SA"/>
        </w:rPr>
        <w:t>第五</w:t>
      </w:r>
      <w:r>
        <w:rPr>
          <w:rFonts w:hint="eastAsia" w:ascii="仿宋_GB2312" w:eastAsia="仿宋_GB2312" w:cs="Times New Roman"/>
          <w:b/>
          <w:kern w:val="2"/>
          <w:sz w:val="30"/>
          <w:szCs w:val="30"/>
          <w:lang w:val="en-US" w:eastAsia="zh-CN" w:bidi="ar-SA"/>
        </w:rPr>
        <w:t xml:space="preserve">条 </w:t>
      </w:r>
      <w:r>
        <w:rPr>
          <w:rFonts w:hint="eastAsia" w:ascii="仿宋_GB2312" w:eastAsia="仿宋_GB2312"/>
          <w:sz w:val="32"/>
          <w:szCs w:val="32"/>
        </w:rPr>
        <w:t>证券公司应当建立健全的股票质押回购风险控制机制，根据相关规定和自身风险承受能力确定业务规模。上交所据此对其交易规模进行前端控制。</w:t>
      </w:r>
    </w:p>
    <w:p w14:paraId="26035303">
      <w:pPr>
        <w:numPr>
          <w:ilvl w:val="0"/>
          <w:numId w:val="0"/>
        </w:numPr>
        <w:adjustRightInd w:val="0"/>
        <w:snapToGrid w:val="0"/>
        <w:spacing w:line="560" w:lineRule="exact"/>
        <w:ind w:left="0" w:leftChars="0" w:firstLine="602" w:firstLineChars="200"/>
        <w:rPr>
          <w:rFonts w:ascii="仿宋_GB2312" w:eastAsia="仿宋_GB2312"/>
          <w:sz w:val="32"/>
          <w:szCs w:val="32"/>
        </w:rPr>
      </w:pPr>
      <w:r>
        <w:rPr>
          <w:rFonts w:hint="eastAsia" w:ascii="仿宋_GB2312" w:hAnsi="Times New Roman" w:eastAsia="仿宋_GB2312" w:cs="Times New Roman"/>
          <w:b/>
          <w:kern w:val="2"/>
          <w:sz w:val="30"/>
          <w:szCs w:val="30"/>
          <w:lang w:val="en-US" w:eastAsia="zh-CN" w:bidi="ar-SA"/>
        </w:rPr>
        <w:t>第六</w:t>
      </w:r>
      <w:r>
        <w:rPr>
          <w:rFonts w:hint="eastAsia" w:ascii="仿宋_GB2312" w:eastAsia="仿宋_GB2312" w:cs="Times New Roman"/>
          <w:b/>
          <w:kern w:val="2"/>
          <w:sz w:val="30"/>
          <w:szCs w:val="30"/>
          <w:lang w:val="en-US" w:eastAsia="zh-CN" w:bidi="ar-SA"/>
        </w:rPr>
        <w:t xml:space="preserve">条 </w:t>
      </w:r>
      <w:r>
        <w:rPr>
          <w:rFonts w:hint="eastAsia" w:ascii="仿宋_GB2312" w:eastAsia="仿宋_GB2312"/>
          <w:sz w:val="32"/>
          <w:szCs w:val="32"/>
        </w:rPr>
        <w:t>融入方、融出方、证券公司各方根据相关法律法规、部门规章及本办法的规定，签署《股票质押回购交易业务协议》（以下简称《业务协议》）。</w:t>
      </w:r>
    </w:p>
    <w:p w14:paraId="689457AE">
      <w:pPr>
        <w:tabs>
          <w:tab w:val="left" w:pos="1843"/>
        </w:tabs>
        <w:adjustRightInd w:val="0"/>
        <w:snapToGrid w:val="0"/>
        <w:spacing w:line="560" w:lineRule="exact"/>
        <w:ind w:firstLine="768" w:firstLineChars="240"/>
        <w:rPr>
          <w:rFonts w:hint="eastAsia" w:ascii="仿宋_GB2312" w:hAnsi="宋体" w:eastAsia="仿宋_GB2312"/>
          <w:sz w:val="32"/>
          <w:szCs w:val="32"/>
        </w:rPr>
      </w:pPr>
      <w:r>
        <w:rPr>
          <w:rFonts w:hint="eastAsia" w:ascii="仿宋_GB2312" w:hAnsi="宋体" w:eastAsia="仿宋_GB2312"/>
          <w:sz w:val="32"/>
          <w:szCs w:val="32"/>
        </w:rPr>
        <w:t>证券公司代理进行股票质押回购交易申报的，应当依据所签署的《业务协议》、基于交易双方的真实委托进行，未经委托进行虚假交易申报，</w:t>
      </w:r>
      <w:r>
        <w:rPr>
          <w:rFonts w:hint="eastAsia" w:ascii="仿宋_GB2312" w:hAnsi="仿宋" w:eastAsia="仿宋_GB2312"/>
          <w:sz w:val="32"/>
          <w:szCs w:val="32"/>
        </w:rPr>
        <w:t>或者擅自伪造、篡改交易委托进行申报</w:t>
      </w:r>
      <w:r>
        <w:rPr>
          <w:rFonts w:hint="eastAsia" w:ascii="仿宋_GB2312" w:hAnsi="宋体" w:eastAsia="仿宋_GB2312"/>
          <w:sz w:val="32"/>
          <w:szCs w:val="32"/>
        </w:rPr>
        <w:t>的，证券公司应承担全部法律责任，并赔偿由此造成的损失。</w:t>
      </w:r>
    </w:p>
    <w:p w14:paraId="4ADA57F6">
      <w:pPr>
        <w:tabs>
          <w:tab w:val="left" w:pos="1843"/>
        </w:tabs>
        <w:adjustRightInd w:val="0"/>
        <w:snapToGrid w:val="0"/>
        <w:spacing w:line="560" w:lineRule="exact"/>
        <w:ind w:firstLine="768" w:firstLineChars="240"/>
        <w:rPr>
          <w:rFonts w:hint="eastAsia" w:ascii="仿宋_GB2312" w:hAnsi="宋体" w:eastAsia="仿宋_GB2312"/>
          <w:sz w:val="32"/>
          <w:szCs w:val="32"/>
        </w:rPr>
      </w:pPr>
      <w:r>
        <w:rPr>
          <w:rFonts w:hint="eastAsia" w:ascii="仿宋_GB2312" w:hAnsi="宋体" w:eastAsia="仿宋_GB2312"/>
          <w:sz w:val="32"/>
          <w:szCs w:val="32"/>
        </w:rPr>
        <w:t>上交所及中国结算不对《业务协议》的内容及效力进行审查。融入方、融出方、证券公司之间的纠纷，不影响</w:t>
      </w:r>
      <w:r>
        <w:rPr>
          <w:rFonts w:hint="eastAsia" w:ascii="仿宋_GB2312" w:hAnsi="仿宋" w:eastAsia="仿宋_GB2312"/>
          <w:sz w:val="32"/>
          <w:szCs w:val="32"/>
        </w:rPr>
        <w:t>上交所依据本办法确认的成交结果，亦不影响</w:t>
      </w:r>
      <w:r>
        <w:rPr>
          <w:rFonts w:hint="eastAsia" w:ascii="仿宋_GB2312" w:hAnsi="宋体" w:eastAsia="仿宋_GB2312"/>
          <w:sz w:val="32"/>
          <w:szCs w:val="32"/>
        </w:rPr>
        <w:t>中国结算上海分公司依据上交所确认的成交结果已经办理或正在办理的证券质押登记及清算交收等业务。</w:t>
      </w:r>
    </w:p>
    <w:p w14:paraId="356D52CE">
      <w:pPr>
        <w:adjustRightInd w:val="0"/>
        <w:snapToGrid w:val="0"/>
        <w:spacing w:line="560" w:lineRule="exact"/>
        <w:jc w:val="center"/>
        <w:rPr>
          <w:rFonts w:ascii="黑体" w:hAnsi="黑体" w:eastAsia="黑体"/>
          <w:bCs/>
          <w:sz w:val="32"/>
          <w:szCs w:val="32"/>
        </w:rPr>
      </w:pPr>
      <w:r>
        <w:rPr>
          <w:rFonts w:hint="eastAsia" w:ascii="黑体" w:hAnsi="黑体" w:eastAsia="黑体"/>
          <w:b/>
          <w:bCs w:val="0"/>
          <w:sz w:val="32"/>
          <w:szCs w:val="32"/>
        </w:rPr>
        <w:t>第二章</w:t>
      </w:r>
      <w:r>
        <w:rPr>
          <w:rFonts w:ascii="黑体" w:hAnsi="黑体" w:eastAsia="黑体"/>
          <w:b/>
          <w:bCs w:val="0"/>
          <w:sz w:val="32"/>
          <w:szCs w:val="32"/>
        </w:rPr>
        <w:t xml:space="preserve"> </w:t>
      </w:r>
      <w:r>
        <w:rPr>
          <w:rFonts w:hint="eastAsia" w:ascii="黑体" w:hAnsi="黑体" w:eastAsia="黑体"/>
          <w:b/>
          <w:bCs w:val="0"/>
          <w:sz w:val="32"/>
          <w:szCs w:val="32"/>
        </w:rPr>
        <w:t>证券公司交易权限管理</w:t>
      </w:r>
    </w:p>
    <w:p w14:paraId="3E0E8BE4">
      <w:pPr>
        <w:numPr>
          <w:ilvl w:val="0"/>
          <w:numId w:val="0"/>
        </w:numPr>
        <w:adjustRightInd w:val="0"/>
        <w:snapToGrid w:val="0"/>
        <w:spacing w:line="560" w:lineRule="exact"/>
        <w:ind w:left="0" w:leftChars="0" w:firstLine="602" w:firstLineChars="200"/>
        <w:rPr>
          <w:rFonts w:ascii="仿宋_GB2312" w:eastAsia="仿宋_GB2312"/>
          <w:sz w:val="32"/>
          <w:szCs w:val="32"/>
        </w:rPr>
      </w:pPr>
      <w:r>
        <w:rPr>
          <w:rFonts w:hint="eastAsia" w:ascii="仿宋_GB2312" w:hAnsi="Times New Roman" w:eastAsia="仿宋_GB2312" w:cs="Times New Roman"/>
          <w:b/>
          <w:kern w:val="2"/>
          <w:sz w:val="30"/>
          <w:szCs w:val="30"/>
          <w:lang w:val="en-US" w:eastAsia="zh-CN" w:bidi="ar-SA"/>
        </w:rPr>
        <w:t>第七</w:t>
      </w:r>
      <w:r>
        <w:rPr>
          <w:rFonts w:hint="eastAsia" w:ascii="仿宋_GB2312" w:eastAsia="仿宋_GB2312" w:cs="Times New Roman"/>
          <w:b/>
          <w:kern w:val="2"/>
          <w:sz w:val="30"/>
          <w:szCs w:val="30"/>
          <w:lang w:val="en-US" w:eastAsia="zh-CN" w:bidi="ar-SA"/>
        </w:rPr>
        <w:t xml:space="preserve">条 </w:t>
      </w:r>
      <w:r>
        <w:rPr>
          <w:rFonts w:hint="eastAsia" w:ascii="仿宋_GB2312" w:eastAsia="仿宋_GB2312"/>
          <w:sz w:val="32"/>
          <w:szCs w:val="32"/>
        </w:rPr>
        <w:t>上交所对参与股票质押回购的证券公司实行交易权限管理。证券公司向上交所申请股票质押回购交易权限，应当符合下列条件：</w:t>
      </w:r>
    </w:p>
    <w:p w14:paraId="4F19889D">
      <w:pPr>
        <w:adjustRightInd w:val="0"/>
        <w:snapToGrid w:val="0"/>
        <w:spacing w:line="560" w:lineRule="exact"/>
        <w:ind w:firstLine="600"/>
        <w:rPr>
          <w:rFonts w:hint="eastAsia" w:ascii="仿宋_GB2312" w:hAnsi="宋体" w:eastAsia="仿宋_GB2312"/>
          <w:sz w:val="32"/>
          <w:szCs w:val="32"/>
        </w:rPr>
      </w:pPr>
      <w:r>
        <w:rPr>
          <w:rFonts w:hint="eastAsia" w:ascii="仿宋_GB2312" w:hAnsi="宋体" w:eastAsia="仿宋_GB2312"/>
          <w:sz w:val="32"/>
          <w:szCs w:val="32"/>
        </w:rPr>
        <w:t>（一）具备证券经纪、证券自营业务资格；</w:t>
      </w:r>
    </w:p>
    <w:p w14:paraId="219AC042">
      <w:pPr>
        <w:adjustRightInd w:val="0"/>
        <w:snapToGrid w:val="0"/>
        <w:spacing w:line="560" w:lineRule="exact"/>
        <w:ind w:firstLine="600"/>
        <w:rPr>
          <w:rFonts w:hint="eastAsia" w:ascii="仿宋_GB2312" w:hAnsi="宋体" w:eastAsia="仿宋_GB2312"/>
          <w:sz w:val="32"/>
          <w:szCs w:val="32"/>
        </w:rPr>
      </w:pPr>
      <w:r>
        <w:rPr>
          <w:rFonts w:hint="eastAsia" w:ascii="仿宋_GB2312" w:hAnsi="宋体" w:eastAsia="仿宋_GB2312"/>
          <w:sz w:val="32"/>
          <w:szCs w:val="32"/>
        </w:rPr>
        <w:t>（二）公司治理健全，内部控制有效，能有效识别、防范和控制业务风险；</w:t>
      </w:r>
    </w:p>
    <w:p w14:paraId="48CE79EB">
      <w:pPr>
        <w:adjustRightInd w:val="0"/>
        <w:snapToGrid w:val="0"/>
        <w:spacing w:line="560" w:lineRule="exact"/>
        <w:ind w:firstLine="600"/>
        <w:rPr>
          <w:rFonts w:hint="eastAsia" w:ascii="仿宋_GB2312" w:hAnsi="宋体" w:eastAsia="仿宋_GB2312"/>
          <w:sz w:val="32"/>
          <w:szCs w:val="32"/>
        </w:rPr>
      </w:pPr>
      <w:r>
        <w:rPr>
          <w:rFonts w:hint="eastAsia" w:ascii="仿宋_GB2312" w:hAnsi="宋体" w:eastAsia="仿宋_GB2312"/>
          <w:sz w:val="32"/>
          <w:szCs w:val="32"/>
        </w:rPr>
        <w:t>（三）公司最近</w:t>
      </w:r>
      <w:r>
        <w:rPr>
          <w:rFonts w:hint="eastAsia" w:eastAsia="仿宋_GB2312"/>
          <w:sz w:val="32"/>
          <w:szCs w:val="32"/>
        </w:rPr>
        <w:t>2</w:t>
      </w:r>
      <w:r>
        <w:rPr>
          <w:rFonts w:hint="eastAsia" w:ascii="仿宋_GB2312" w:hAnsi="宋体" w:eastAsia="仿宋_GB2312"/>
          <w:sz w:val="32"/>
          <w:szCs w:val="32"/>
        </w:rPr>
        <w:t>年内未因证券违法违规受到行政处罚或刑事处罚，且不存在因涉嫌违法违规正被中国证监会立案调查或者正处于整改期间的情形；</w:t>
      </w:r>
    </w:p>
    <w:p w14:paraId="34281353">
      <w:pPr>
        <w:adjustRightInd w:val="0"/>
        <w:snapToGrid w:val="0"/>
        <w:spacing w:line="560" w:lineRule="exact"/>
        <w:ind w:firstLine="600"/>
        <w:rPr>
          <w:rFonts w:hint="eastAsia" w:ascii="仿宋_GB2312" w:hAnsi="宋体" w:eastAsia="仿宋_GB2312"/>
          <w:sz w:val="32"/>
          <w:szCs w:val="32"/>
        </w:rPr>
      </w:pPr>
      <w:r>
        <w:rPr>
          <w:rFonts w:hint="eastAsia" w:ascii="仿宋_GB2312" w:hAnsi="宋体" w:eastAsia="仿宋_GB2312"/>
          <w:sz w:val="32"/>
          <w:szCs w:val="32"/>
        </w:rPr>
        <w:t>（四）有完备的业务实施方案及管理制度；</w:t>
      </w:r>
    </w:p>
    <w:p w14:paraId="007A20A9">
      <w:pPr>
        <w:adjustRightInd w:val="0"/>
        <w:snapToGrid w:val="0"/>
        <w:spacing w:line="560" w:lineRule="exact"/>
        <w:ind w:firstLine="600"/>
        <w:rPr>
          <w:rFonts w:hint="eastAsia" w:ascii="仿宋_GB2312" w:hAnsi="宋体" w:eastAsia="仿宋_GB2312"/>
          <w:sz w:val="32"/>
          <w:szCs w:val="32"/>
        </w:rPr>
      </w:pPr>
      <w:r>
        <w:rPr>
          <w:rFonts w:hint="eastAsia" w:ascii="仿宋_GB2312" w:hAnsi="宋体" w:eastAsia="仿宋_GB2312"/>
          <w:sz w:val="32"/>
          <w:szCs w:val="32"/>
        </w:rPr>
        <w:t>（五）已建立符合本办法要求的客户适当性制度；</w:t>
      </w:r>
    </w:p>
    <w:p w14:paraId="6843AE23">
      <w:pPr>
        <w:adjustRightInd w:val="0"/>
        <w:snapToGrid w:val="0"/>
        <w:spacing w:line="560" w:lineRule="exact"/>
        <w:ind w:firstLine="600"/>
        <w:rPr>
          <w:rFonts w:hint="eastAsia" w:ascii="仿宋_GB2312" w:hAnsi="宋体" w:eastAsia="仿宋_GB2312"/>
          <w:sz w:val="32"/>
          <w:szCs w:val="32"/>
        </w:rPr>
      </w:pPr>
      <w:r>
        <w:rPr>
          <w:rFonts w:hint="eastAsia" w:ascii="仿宋_GB2312" w:hAnsi="宋体" w:eastAsia="仿宋_GB2312"/>
          <w:sz w:val="32"/>
          <w:szCs w:val="32"/>
        </w:rPr>
        <w:t>（六）已建立完善的股票质押回购客户投诉处理机制，能够及时、妥善处理与客户之间的纠纷；</w:t>
      </w:r>
    </w:p>
    <w:p w14:paraId="077C5E25">
      <w:pPr>
        <w:adjustRightInd w:val="0"/>
        <w:snapToGrid w:val="0"/>
        <w:spacing w:line="560" w:lineRule="exact"/>
        <w:ind w:firstLine="600"/>
        <w:rPr>
          <w:rFonts w:hint="eastAsia" w:ascii="仿宋_GB2312" w:hAnsi="宋体" w:eastAsia="仿宋_GB2312"/>
          <w:sz w:val="32"/>
          <w:szCs w:val="32"/>
        </w:rPr>
      </w:pPr>
      <w:r>
        <w:rPr>
          <w:rFonts w:hint="eastAsia" w:ascii="仿宋_GB2312" w:hAnsi="宋体" w:eastAsia="仿宋_GB2312"/>
          <w:sz w:val="32"/>
          <w:szCs w:val="32"/>
        </w:rPr>
        <w:t>（七）有拟负责业务的高级管理人员和适当数量的专业人员；</w:t>
      </w:r>
    </w:p>
    <w:p w14:paraId="49345FD2">
      <w:pPr>
        <w:adjustRightInd w:val="0"/>
        <w:snapToGrid w:val="0"/>
        <w:spacing w:line="560" w:lineRule="exact"/>
        <w:ind w:firstLine="600"/>
        <w:rPr>
          <w:rFonts w:hint="eastAsia" w:ascii="仿宋_GB2312" w:hAnsi="宋体" w:eastAsia="仿宋_GB2312"/>
          <w:sz w:val="32"/>
          <w:szCs w:val="32"/>
        </w:rPr>
      </w:pPr>
      <w:r>
        <w:rPr>
          <w:rFonts w:hint="eastAsia" w:ascii="仿宋_GB2312" w:hAnsi="宋体" w:eastAsia="仿宋_GB2312"/>
          <w:sz w:val="32"/>
          <w:szCs w:val="32"/>
        </w:rPr>
        <w:t>（八）有相应的业务技术系统，并且通过上交所相关技术测试；</w:t>
      </w:r>
    </w:p>
    <w:p w14:paraId="794CE5D5">
      <w:pPr>
        <w:adjustRightInd w:val="0"/>
        <w:snapToGrid w:val="0"/>
        <w:spacing w:line="560" w:lineRule="exact"/>
        <w:ind w:firstLine="600"/>
        <w:rPr>
          <w:rFonts w:hint="eastAsia" w:ascii="仿宋_GB2312" w:hAnsi="宋体" w:eastAsia="仿宋_GB2312"/>
          <w:sz w:val="32"/>
          <w:szCs w:val="32"/>
        </w:rPr>
      </w:pPr>
      <w:r>
        <w:rPr>
          <w:rFonts w:hint="eastAsia" w:ascii="仿宋_GB2312" w:hAnsi="宋体" w:eastAsia="仿宋_GB2312"/>
          <w:sz w:val="32"/>
          <w:szCs w:val="32"/>
        </w:rPr>
        <w:t>（九）财务状况良好，最近</w:t>
      </w:r>
      <w:r>
        <w:rPr>
          <w:rFonts w:hint="eastAsia" w:eastAsia="仿宋_GB2312"/>
          <w:sz w:val="32"/>
          <w:szCs w:val="32"/>
        </w:rPr>
        <w:t>2</w:t>
      </w:r>
      <w:r>
        <w:rPr>
          <w:rFonts w:hint="eastAsia" w:ascii="仿宋_GB2312" w:hAnsi="宋体" w:eastAsia="仿宋_GB2312"/>
          <w:sz w:val="32"/>
          <w:szCs w:val="32"/>
        </w:rPr>
        <w:t>年主要风险控制指标持续符合规定；</w:t>
      </w:r>
    </w:p>
    <w:p w14:paraId="161A27D3">
      <w:pPr>
        <w:adjustRightInd w:val="0"/>
        <w:snapToGrid w:val="0"/>
        <w:spacing w:line="560" w:lineRule="exact"/>
        <w:ind w:firstLine="600"/>
        <w:rPr>
          <w:rFonts w:hint="eastAsia" w:ascii="仿宋_GB2312" w:hAnsi="宋体" w:eastAsia="仿宋_GB2312"/>
          <w:sz w:val="32"/>
          <w:szCs w:val="32"/>
        </w:rPr>
      </w:pPr>
      <w:r>
        <w:rPr>
          <w:rFonts w:hint="eastAsia" w:ascii="仿宋_GB2312" w:hAnsi="宋体" w:eastAsia="仿宋_GB2312"/>
          <w:sz w:val="32"/>
          <w:szCs w:val="32"/>
        </w:rPr>
        <w:t>（十）上交所规定的其他条件。</w:t>
      </w:r>
    </w:p>
    <w:p w14:paraId="04767E7B">
      <w:pPr>
        <w:numPr>
          <w:ilvl w:val="0"/>
          <w:numId w:val="0"/>
        </w:numPr>
        <w:adjustRightInd w:val="0"/>
        <w:snapToGrid w:val="0"/>
        <w:spacing w:line="560" w:lineRule="exact"/>
        <w:ind w:left="0" w:leftChars="0" w:firstLine="602" w:firstLineChars="200"/>
        <w:rPr>
          <w:rFonts w:ascii="仿宋_GB2312" w:eastAsia="仿宋_GB2312"/>
          <w:sz w:val="32"/>
          <w:szCs w:val="32"/>
        </w:rPr>
      </w:pPr>
      <w:r>
        <w:rPr>
          <w:rFonts w:hint="eastAsia" w:ascii="仿宋_GB2312" w:hAnsi="Times New Roman" w:eastAsia="仿宋_GB2312" w:cs="Times New Roman"/>
          <w:b/>
          <w:kern w:val="2"/>
          <w:sz w:val="30"/>
          <w:szCs w:val="30"/>
          <w:lang w:val="en-US" w:eastAsia="zh-CN" w:bidi="ar-SA"/>
        </w:rPr>
        <w:t>第八</w:t>
      </w:r>
      <w:r>
        <w:rPr>
          <w:rFonts w:hint="eastAsia" w:ascii="仿宋_GB2312" w:eastAsia="仿宋_GB2312" w:cs="Times New Roman"/>
          <w:b/>
          <w:kern w:val="2"/>
          <w:sz w:val="30"/>
          <w:szCs w:val="30"/>
          <w:lang w:val="en-US" w:eastAsia="zh-CN" w:bidi="ar-SA"/>
        </w:rPr>
        <w:t xml:space="preserve">条 </w:t>
      </w:r>
      <w:r>
        <w:rPr>
          <w:rFonts w:hint="eastAsia" w:ascii="仿宋_GB2312" w:eastAsia="仿宋_GB2312"/>
          <w:sz w:val="32"/>
          <w:szCs w:val="32"/>
        </w:rPr>
        <w:t>证券公司向上交所申请股票质押回购交易权限，应当提交以下材料：</w:t>
      </w:r>
    </w:p>
    <w:p w14:paraId="50DEEA55">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（一）交易权限申请书；</w:t>
      </w:r>
    </w:p>
    <w:p w14:paraId="12D09AD2">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（二）证券经纪、证券自营业务资格证明文件；</w:t>
      </w:r>
    </w:p>
    <w:p w14:paraId="67D018E4">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（三）业务实施方案及管理制度、客户适当性制度和客户投诉处理制度等相关文件；</w:t>
      </w:r>
    </w:p>
    <w:p w14:paraId="3557E248">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（四）《业务</w:t>
      </w:r>
      <w:r>
        <w:rPr>
          <w:rFonts w:hint="eastAsia" w:ascii="仿宋_GB2312" w:hAnsi="宋体" w:eastAsia="仿宋_GB2312"/>
          <w:kern w:val="0"/>
          <w:sz w:val="32"/>
          <w:szCs w:val="32"/>
        </w:rPr>
        <w:t>协议》和</w:t>
      </w:r>
      <w:r>
        <w:rPr>
          <w:rFonts w:hint="eastAsia" w:ascii="仿宋_GB2312" w:hAnsi="宋体" w:eastAsia="仿宋_GB2312"/>
          <w:sz w:val="32"/>
          <w:szCs w:val="32"/>
        </w:rPr>
        <w:t>《股票质押式回购</w:t>
      </w:r>
      <w:r>
        <w:rPr>
          <w:rFonts w:hint="eastAsia" w:ascii="仿宋_GB2312" w:eastAsia="仿宋_GB2312"/>
          <w:sz w:val="32"/>
          <w:szCs w:val="32"/>
        </w:rPr>
        <w:t>交易</w:t>
      </w:r>
      <w:r>
        <w:rPr>
          <w:rFonts w:hint="eastAsia" w:ascii="仿宋_GB2312" w:hAnsi="宋体" w:eastAsia="仿宋_GB2312"/>
          <w:sz w:val="32"/>
          <w:szCs w:val="32"/>
        </w:rPr>
        <w:t>风险揭示书》</w:t>
      </w:r>
      <w:r>
        <w:rPr>
          <w:rFonts w:hint="eastAsia" w:ascii="仿宋_GB2312" w:hAnsi="宋体" w:eastAsia="仿宋_GB2312"/>
          <w:kern w:val="0"/>
          <w:sz w:val="32"/>
          <w:szCs w:val="32"/>
        </w:rPr>
        <w:t>（以下简称《</w:t>
      </w:r>
      <w:r>
        <w:rPr>
          <w:rFonts w:hint="eastAsia" w:ascii="仿宋_GB2312" w:hAnsi="宋体" w:eastAsia="仿宋_GB2312"/>
          <w:sz w:val="32"/>
          <w:szCs w:val="32"/>
        </w:rPr>
        <w:t>风险揭示书</w:t>
      </w:r>
      <w:r>
        <w:rPr>
          <w:rFonts w:hint="eastAsia" w:ascii="仿宋_GB2312" w:hAnsi="宋体" w:eastAsia="仿宋_GB2312"/>
          <w:kern w:val="0"/>
          <w:sz w:val="32"/>
          <w:szCs w:val="32"/>
        </w:rPr>
        <w:t>》）样本</w:t>
      </w:r>
      <w:r>
        <w:rPr>
          <w:rFonts w:hint="eastAsia" w:ascii="仿宋_GB2312" w:eastAsia="仿宋_GB2312"/>
          <w:sz w:val="32"/>
          <w:szCs w:val="32"/>
        </w:rPr>
        <w:t>；</w:t>
      </w:r>
    </w:p>
    <w:p w14:paraId="0790BCE0">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（五）业务和技术系统准备情况说明；</w:t>
      </w:r>
    </w:p>
    <w:p w14:paraId="56AA933F">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（六）拟负责</w:t>
      </w:r>
      <w:r>
        <w:rPr>
          <w:rFonts w:hint="eastAsia" w:ascii="仿宋_GB2312" w:hAnsi="宋体" w:eastAsia="仿宋_GB2312"/>
          <w:sz w:val="32"/>
          <w:szCs w:val="32"/>
        </w:rPr>
        <w:t>业务</w:t>
      </w:r>
      <w:r>
        <w:rPr>
          <w:rFonts w:hint="eastAsia" w:ascii="仿宋_GB2312" w:eastAsia="仿宋_GB2312"/>
          <w:sz w:val="32"/>
          <w:szCs w:val="32"/>
        </w:rPr>
        <w:t>的高级管理人员与业务联络人的姓名及其联系方式；</w:t>
      </w:r>
    </w:p>
    <w:p w14:paraId="68DFC8BA">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（七）上交所要求的其他材料。</w:t>
      </w:r>
    </w:p>
    <w:p w14:paraId="6C247689">
      <w:pPr>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证券公司申请材料完备的，上交所就其是否符合本办法第七条关于公司治理和内部控制、合法合规经营、财务和风险控制指标等条件征求证券监管机构意见。</w:t>
      </w:r>
    </w:p>
    <w:p w14:paraId="4DE46659">
      <w:pPr>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对于符合本办法规定条件的证券公司，上交所向其发出确认股票质押回购交易权限的书面通知。</w:t>
      </w:r>
    </w:p>
    <w:p w14:paraId="4E37327B">
      <w:pPr>
        <w:numPr>
          <w:ilvl w:val="0"/>
          <w:numId w:val="0"/>
        </w:numPr>
        <w:adjustRightInd w:val="0"/>
        <w:snapToGrid w:val="0"/>
        <w:spacing w:line="560" w:lineRule="exact"/>
        <w:ind w:left="0" w:leftChars="0" w:firstLine="602" w:firstLineChars="200"/>
        <w:rPr>
          <w:rFonts w:hint="eastAsia" w:ascii="仿宋_GB2312" w:hAnsi="宋体" w:eastAsia="仿宋_GB2312"/>
          <w:sz w:val="32"/>
          <w:szCs w:val="32"/>
        </w:rPr>
      </w:pPr>
      <w:r>
        <w:rPr>
          <w:rFonts w:hint="eastAsia" w:ascii="仿宋_GB2312" w:hAnsi="宋体" w:eastAsia="仿宋_GB2312" w:cs="Times New Roman"/>
          <w:b/>
          <w:kern w:val="2"/>
          <w:sz w:val="30"/>
          <w:szCs w:val="30"/>
          <w:lang w:val="en-US" w:eastAsia="zh-CN" w:bidi="ar-SA"/>
        </w:rPr>
        <w:t xml:space="preserve">第九条 </w:t>
      </w:r>
      <w:r>
        <w:rPr>
          <w:rFonts w:hint="eastAsia" w:ascii="仿宋_GB2312" w:hAnsi="宋体" w:eastAsia="仿宋_GB2312"/>
          <w:sz w:val="32"/>
          <w:szCs w:val="32"/>
        </w:rPr>
        <w:t>证券公司可以向上交所提出申请，终止股票质押回购交易权限，但有未了结的股票质押回购的情形除外。</w:t>
      </w:r>
    </w:p>
    <w:p w14:paraId="369883D5">
      <w:pPr>
        <w:numPr>
          <w:ilvl w:val="0"/>
          <w:numId w:val="0"/>
        </w:numPr>
        <w:adjustRightInd w:val="0"/>
        <w:snapToGrid w:val="0"/>
        <w:spacing w:line="560" w:lineRule="exact"/>
        <w:ind w:left="0" w:leftChars="0" w:firstLine="602" w:firstLineChars="200"/>
        <w:rPr>
          <w:rFonts w:hint="eastAsia" w:ascii="仿宋_GB2312" w:hAnsi="宋体" w:eastAsia="仿宋_GB2312"/>
          <w:sz w:val="32"/>
          <w:szCs w:val="32"/>
        </w:rPr>
      </w:pPr>
      <w:r>
        <w:rPr>
          <w:rFonts w:hint="eastAsia" w:ascii="仿宋_GB2312" w:hAnsi="宋体" w:eastAsia="仿宋_GB2312" w:cs="Times New Roman"/>
          <w:b/>
          <w:kern w:val="2"/>
          <w:sz w:val="30"/>
          <w:szCs w:val="30"/>
          <w:lang w:val="en-US" w:eastAsia="zh-CN" w:bidi="ar-SA"/>
        </w:rPr>
        <w:t xml:space="preserve">第十条 </w:t>
      </w:r>
      <w:r>
        <w:rPr>
          <w:rFonts w:hint="eastAsia" w:ascii="仿宋_GB2312" w:hAnsi="宋体" w:eastAsia="仿宋_GB2312"/>
          <w:sz w:val="32"/>
          <w:szCs w:val="32"/>
        </w:rPr>
        <w:t>证券公司发生下列情形之一的，上交所可以暂停其股票质押回购交易权限：</w:t>
      </w:r>
    </w:p>
    <w:p w14:paraId="1406527B">
      <w:pPr>
        <w:adjustRightInd w:val="0"/>
        <w:snapToGrid w:val="0"/>
        <w:spacing w:line="560" w:lineRule="exact"/>
        <w:ind w:firstLine="640" w:firstLineChars="200"/>
        <w:rPr>
          <w:rFonts w:ascii="仿宋_GB2312" w:eastAsia="仿宋_GB2312"/>
          <w:sz w:val="32"/>
          <w:szCs w:val="32"/>
        </w:rPr>
      </w:pPr>
      <w:r>
        <w:rPr>
          <w:rFonts w:hint="eastAsia" w:ascii="仿宋_GB2312" w:hAnsi="宋体" w:eastAsia="仿宋_GB2312"/>
          <w:sz w:val="32"/>
          <w:szCs w:val="32"/>
        </w:rPr>
        <w:t>（一）</w:t>
      </w:r>
      <w:r>
        <w:rPr>
          <w:rFonts w:hint="eastAsia" w:ascii="仿宋_GB2312" w:eastAsia="仿宋_GB2312"/>
          <w:sz w:val="32"/>
          <w:szCs w:val="32"/>
        </w:rPr>
        <w:t>违反法律法规、</w:t>
      </w:r>
      <w:r>
        <w:rPr>
          <w:rFonts w:hint="eastAsia" w:ascii="仿宋_GB2312" w:hAnsi="宋体" w:eastAsia="仿宋_GB2312"/>
          <w:sz w:val="32"/>
          <w:szCs w:val="32"/>
        </w:rPr>
        <w:t>中国证监会</w:t>
      </w:r>
      <w:r>
        <w:rPr>
          <w:rFonts w:hint="eastAsia" w:ascii="仿宋_GB2312" w:eastAsia="仿宋_GB2312"/>
          <w:sz w:val="32"/>
          <w:szCs w:val="32"/>
        </w:rPr>
        <w:t>相关部门规章和规范性文件</w:t>
      </w:r>
      <w:r>
        <w:rPr>
          <w:rFonts w:hint="eastAsia" w:ascii="仿宋_GB2312" w:hAnsi="宋体" w:eastAsia="仿宋_GB2312"/>
          <w:sz w:val="32"/>
          <w:szCs w:val="32"/>
        </w:rPr>
        <w:t>、</w:t>
      </w:r>
      <w:r>
        <w:rPr>
          <w:rFonts w:hint="eastAsia" w:ascii="仿宋_GB2312" w:eastAsia="仿宋_GB2312"/>
          <w:sz w:val="32"/>
          <w:szCs w:val="32"/>
        </w:rPr>
        <w:t>本办法、其他交易和登记结算业务规则及规定；</w:t>
      </w:r>
    </w:p>
    <w:p w14:paraId="5196F2D4">
      <w:pPr>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eastAsia="仿宋_GB2312"/>
          <w:sz w:val="32"/>
          <w:szCs w:val="32"/>
        </w:rPr>
        <w:t>（二）未尽核查责任，导致不符合条件的融入方、融出方参与股票质押回购；</w:t>
      </w:r>
    </w:p>
    <w:p w14:paraId="26EE870F">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（三）违反本办法的规定进行违约处置；</w:t>
      </w:r>
    </w:p>
    <w:p w14:paraId="27C00E56">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（四）内部风险控制不足，股票质押回购发生较大风险；</w:t>
      </w:r>
    </w:p>
    <w:p w14:paraId="0DF2C273">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（五）从事股票质押回购时，扰乱市场秩序；</w:t>
      </w:r>
    </w:p>
    <w:p w14:paraId="351A7B03">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（六）上交所、中国结算认定的其他情形。</w:t>
      </w:r>
    </w:p>
    <w:p w14:paraId="53EDF5A2">
      <w:pPr>
        <w:numPr>
          <w:ilvl w:val="0"/>
          <w:numId w:val="0"/>
        </w:numPr>
        <w:adjustRightInd w:val="0"/>
        <w:snapToGrid w:val="0"/>
        <w:spacing w:line="560" w:lineRule="exact"/>
        <w:ind w:left="0" w:leftChars="0" w:firstLine="602" w:firstLineChars="200"/>
        <w:rPr>
          <w:rFonts w:hint="eastAsia" w:ascii="仿宋_GB2312" w:hAnsi="宋体" w:eastAsia="仿宋_GB2312"/>
          <w:sz w:val="32"/>
          <w:szCs w:val="32"/>
        </w:rPr>
      </w:pPr>
      <w:r>
        <w:rPr>
          <w:rFonts w:hint="eastAsia" w:ascii="仿宋_GB2312" w:hAnsi="宋体" w:eastAsia="仿宋_GB2312" w:cs="Times New Roman"/>
          <w:b/>
          <w:kern w:val="2"/>
          <w:sz w:val="30"/>
          <w:szCs w:val="30"/>
          <w:lang w:val="en-US" w:eastAsia="zh-CN" w:bidi="ar-SA"/>
        </w:rPr>
        <w:t xml:space="preserve">第十一条 </w:t>
      </w:r>
      <w:r>
        <w:rPr>
          <w:rFonts w:hint="eastAsia" w:ascii="仿宋_GB2312" w:hAnsi="宋体" w:eastAsia="仿宋_GB2312"/>
          <w:sz w:val="32"/>
          <w:szCs w:val="32"/>
        </w:rPr>
        <w:t>证券公司发生下列情形之一的，上交所可以终止其股票质押回购交易权限：</w:t>
      </w:r>
    </w:p>
    <w:p w14:paraId="6AF535FE">
      <w:pPr>
        <w:adjustRightInd w:val="0"/>
        <w:snapToGrid w:val="0"/>
        <w:spacing w:line="560" w:lineRule="exact"/>
        <w:ind w:firstLine="640" w:firstLineChars="200"/>
        <w:rPr>
          <w:rFonts w:ascii="仿宋_GB2312" w:eastAsia="仿宋_GB2312"/>
          <w:sz w:val="32"/>
          <w:szCs w:val="32"/>
        </w:rPr>
      </w:pPr>
      <w:r>
        <w:rPr>
          <w:rFonts w:hint="eastAsia" w:ascii="仿宋_GB2312" w:hAnsi="宋体" w:eastAsia="仿宋_GB2312"/>
          <w:sz w:val="32"/>
          <w:szCs w:val="32"/>
        </w:rPr>
        <w:t>（一）严重</w:t>
      </w:r>
      <w:r>
        <w:rPr>
          <w:rFonts w:hint="eastAsia" w:ascii="仿宋_GB2312" w:eastAsia="仿宋_GB2312"/>
          <w:sz w:val="32"/>
          <w:szCs w:val="32"/>
        </w:rPr>
        <w:t>违反法律法规、</w:t>
      </w:r>
      <w:r>
        <w:rPr>
          <w:rFonts w:hint="eastAsia" w:ascii="仿宋_GB2312" w:hAnsi="宋体" w:eastAsia="仿宋_GB2312"/>
          <w:sz w:val="32"/>
          <w:szCs w:val="32"/>
        </w:rPr>
        <w:t>中国证监会</w:t>
      </w:r>
      <w:r>
        <w:rPr>
          <w:rFonts w:hint="eastAsia" w:ascii="仿宋_GB2312" w:eastAsia="仿宋_GB2312"/>
          <w:sz w:val="32"/>
          <w:szCs w:val="32"/>
        </w:rPr>
        <w:t>相关部门规章和规范性文件</w:t>
      </w:r>
      <w:r>
        <w:rPr>
          <w:rFonts w:hint="eastAsia" w:ascii="仿宋_GB2312" w:hAnsi="宋体" w:eastAsia="仿宋_GB2312"/>
          <w:sz w:val="32"/>
          <w:szCs w:val="32"/>
        </w:rPr>
        <w:t>、</w:t>
      </w:r>
      <w:r>
        <w:rPr>
          <w:rFonts w:hint="eastAsia" w:ascii="仿宋_GB2312" w:eastAsia="仿宋_GB2312"/>
          <w:sz w:val="32"/>
          <w:szCs w:val="32"/>
        </w:rPr>
        <w:t>本办法、其他交易和登记结算业务规则及规定；</w:t>
      </w:r>
    </w:p>
    <w:p w14:paraId="5C2551ED">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（二）严重违反本办法的规定进行违约处置；</w:t>
      </w:r>
    </w:p>
    <w:p w14:paraId="1EC4C64B">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（三）内部风险控制严重不足，股票质押回购发生重大风险；</w:t>
      </w:r>
    </w:p>
    <w:p w14:paraId="7DF7F2E0">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（四）从事股票质押回购时，严重扰乱市场秩序；</w:t>
      </w:r>
    </w:p>
    <w:p w14:paraId="2C2D6E17">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（五）进入风险处置或破产程序；</w:t>
      </w:r>
    </w:p>
    <w:p w14:paraId="65E545CA">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（六）上交所、中国结算认定的其他情形。</w:t>
      </w:r>
    </w:p>
    <w:p w14:paraId="27B343A1">
      <w:pPr>
        <w:numPr>
          <w:ilvl w:val="0"/>
          <w:numId w:val="0"/>
        </w:numPr>
        <w:adjustRightInd w:val="0"/>
        <w:snapToGrid w:val="0"/>
        <w:spacing w:line="560" w:lineRule="exact"/>
        <w:ind w:left="0" w:leftChars="0" w:firstLine="602" w:firstLineChars="200"/>
        <w:rPr>
          <w:rFonts w:hint="eastAsia" w:ascii="仿宋_GB2312" w:hAnsi="宋体" w:eastAsia="仿宋_GB2312"/>
          <w:sz w:val="32"/>
          <w:szCs w:val="32"/>
        </w:rPr>
      </w:pPr>
      <w:r>
        <w:rPr>
          <w:rFonts w:hint="eastAsia" w:ascii="仿宋_GB2312" w:hAnsi="宋体" w:eastAsia="仿宋_GB2312" w:cs="Times New Roman"/>
          <w:b/>
          <w:kern w:val="2"/>
          <w:sz w:val="30"/>
          <w:szCs w:val="30"/>
          <w:lang w:val="en-US" w:eastAsia="zh-CN" w:bidi="ar-SA"/>
        </w:rPr>
        <w:t xml:space="preserve">第十二条 </w:t>
      </w:r>
      <w:r>
        <w:rPr>
          <w:rFonts w:hint="eastAsia" w:ascii="仿宋_GB2312" w:hAnsi="宋体" w:eastAsia="仿宋_GB2312"/>
          <w:sz w:val="32"/>
          <w:szCs w:val="32"/>
        </w:rPr>
        <w:t>证券公司可以在引起被暂停股票质押回购交易权限的情形消除后，向上交所申请恢复股票质押回购交易权限。</w:t>
      </w:r>
    </w:p>
    <w:p w14:paraId="74E3A04E">
      <w:pPr>
        <w:numPr>
          <w:ilvl w:val="0"/>
          <w:numId w:val="0"/>
        </w:numPr>
        <w:adjustRightInd w:val="0"/>
        <w:snapToGrid w:val="0"/>
        <w:spacing w:line="560" w:lineRule="exact"/>
        <w:ind w:left="0" w:leftChars="0" w:firstLine="602" w:firstLineChars="200"/>
        <w:rPr>
          <w:rFonts w:hint="eastAsia" w:ascii="仿宋_GB2312" w:hAnsi="宋体" w:eastAsia="仿宋_GB2312"/>
          <w:sz w:val="32"/>
          <w:szCs w:val="32"/>
        </w:rPr>
      </w:pPr>
      <w:r>
        <w:rPr>
          <w:rFonts w:hint="eastAsia" w:ascii="仿宋_GB2312" w:hAnsi="宋体" w:eastAsia="仿宋_GB2312" w:cs="Times New Roman"/>
          <w:b/>
          <w:kern w:val="2"/>
          <w:sz w:val="30"/>
          <w:szCs w:val="30"/>
          <w:lang w:val="en-US" w:eastAsia="zh-CN" w:bidi="ar-SA"/>
        </w:rPr>
        <w:t xml:space="preserve">第十三条 </w:t>
      </w:r>
      <w:r>
        <w:rPr>
          <w:rFonts w:hint="eastAsia" w:ascii="仿宋_GB2312" w:hAnsi="宋体" w:eastAsia="仿宋_GB2312"/>
          <w:sz w:val="32"/>
          <w:szCs w:val="32"/>
        </w:rPr>
        <w:t>证券公司被暂停或终止股票质押回购交易权限的，应当及时向上交所提交业务处置报告。</w:t>
      </w:r>
    </w:p>
    <w:p w14:paraId="5B89D93B">
      <w:pPr>
        <w:adjustRightInd w:val="0"/>
        <w:snapToGrid w:val="0"/>
        <w:spacing w:line="560" w:lineRule="exact"/>
        <w:jc w:val="center"/>
        <w:rPr>
          <w:rFonts w:ascii="黑体" w:hAnsi="黑体" w:eastAsia="黑体"/>
          <w:bCs/>
          <w:sz w:val="32"/>
          <w:szCs w:val="32"/>
        </w:rPr>
      </w:pPr>
      <w:r>
        <w:rPr>
          <w:rFonts w:hint="eastAsia" w:ascii="黑体" w:hAnsi="黑体" w:eastAsia="黑体"/>
          <w:b/>
          <w:bCs w:val="0"/>
          <w:sz w:val="32"/>
          <w:szCs w:val="32"/>
        </w:rPr>
        <w:t>第三章</w:t>
      </w:r>
      <w:r>
        <w:rPr>
          <w:rFonts w:ascii="黑体" w:hAnsi="黑体" w:eastAsia="黑体"/>
          <w:b/>
          <w:bCs w:val="0"/>
          <w:sz w:val="32"/>
          <w:szCs w:val="32"/>
        </w:rPr>
        <w:t xml:space="preserve"> </w:t>
      </w:r>
      <w:r>
        <w:rPr>
          <w:rFonts w:hint="eastAsia" w:ascii="黑体" w:hAnsi="黑体" w:eastAsia="黑体"/>
          <w:b/>
          <w:bCs w:val="0"/>
          <w:sz w:val="32"/>
          <w:szCs w:val="32"/>
        </w:rPr>
        <w:t>适当性管理</w:t>
      </w:r>
    </w:p>
    <w:p w14:paraId="525F80E1">
      <w:pPr>
        <w:adjustRightInd w:val="0"/>
        <w:snapToGrid w:val="0"/>
        <w:spacing w:line="560" w:lineRule="exact"/>
        <w:jc w:val="center"/>
        <w:rPr>
          <w:rFonts w:ascii="黑体" w:hAnsi="黑体" w:eastAsia="黑体"/>
          <w:b/>
          <w:bCs w:val="0"/>
          <w:sz w:val="32"/>
          <w:szCs w:val="32"/>
        </w:rPr>
      </w:pPr>
      <w:r>
        <w:rPr>
          <w:rFonts w:hint="eastAsia" w:ascii="黑体" w:hAnsi="黑体" w:eastAsia="黑体"/>
          <w:b/>
          <w:bCs w:val="0"/>
          <w:sz w:val="32"/>
          <w:szCs w:val="32"/>
        </w:rPr>
        <w:t>第一节</w:t>
      </w:r>
      <w:r>
        <w:rPr>
          <w:rFonts w:ascii="黑体" w:hAnsi="黑体" w:eastAsia="黑体"/>
          <w:b/>
          <w:bCs w:val="0"/>
          <w:sz w:val="32"/>
          <w:szCs w:val="32"/>
        </w:rPr>
        <w:t xml:space="preserve">  </w:t>
      </w:r>
      <w:r>
        <w:rPr>
          <w:rFonts w:hint="eastAsia" w:ascii="黑体" w:hAnsi="黑体" w:eastAsia="黑体"/>
          <w:b/>
          <w:bCs w:val="0"/>
          <w:sz w:val="32"/>
          <w:szCs w:val="32"/>
        </w:rPr>
        <w:t>融入方</w:t>
      </w:r>
    </w:p>
    <w:p w14:paraId="34E0066A">
      <w:pPr>
        <w:numPr>
          <w:ilvl w:val="0"/>
          <w:numId w:val="0"/>
        </w:numPr>
        <w:tabs>
          <w:tab w:val="left" w:pos="2127"/>
        </w:tabs>
        <w:adjustRightInd w:val="0"/>
        <w:snapToGrid w:val="0"/>
        <w:spacing w:line="560" w:lineRule="exact"/>
        <w:ind w:left="0" w:leftChars="0" w:firstLine="602" w:firstLineChars="200"/>
        <w:rPr>
          <w:rFonts w:hint="eastAsia" w:ascii="仿宋_GB2312" w:hAnsi="宋体" w:eastAsia="仿宋_GB2312"/>
          <w:sz w:val="32"/>
          <w:szCs w:val="32"/>
        </w:rPr>
      </w:pPr>
      <w:r>
        <w:rPr>
          <w:rFonts w:hint="eastAsia" w:ascii="仿宋_GB2312" w:hAnsi="宋体" w:eastAsia="仿宋_GB2312" w:cs="Times New Roman"/>
          <w:b/>
          <w:kern w:val="2"/>
          <w:sz w:val="30"/>
          <w:szCs w:val="30"/>
          <w:lang w:val="en-US" w:eastAsia="zh-CN" w:bidi="ar-SA"/>
        </w:rPr>
        <w:t xml:space="preserve">第十四条 </w:t>
      </w:r>
      <w:r>
        <w:rPr>
          <w:rFonts w:hint="eastAsia" w:ascii="仿宋_GB2312" w:hAnsi="宋体" w:eastAsia="仿宋_GB2312"/>
          <w:sz w:val="32"/>
          <w:szCs w:val="32"/>
        </w:rPr>
        <w:t>融入方是指具有股票质押融资需求且符合证券公司所制定资质审查标准的客户。</w:t>
      </w:r>
    </w:p>
    <w:p w14:paraId="1162DFB6">
      <w:pPr>
        <w:numPr>
          <w:ilvl w:val="0"/>
          <w:numId w:val="0"/>
        </w:numPr>
        <w:tabs>
          <w:tab w:val="left" w:pos="2127"/>
        </w:tabs>
        <w:adjustRightInd w:val="0"/>
        <w:snapToGrid w:val="0"/>
        <w:spacing w:line="560" w:lineRule="exact"/>
        <w:ind w:left="0" w:leftChars="0" w:firstLine="602" w:firstLineChars="200"/>
        <w:rPr>
          <w:rFonts w:hint="eastAsia" w:ascii="仿宋_GB2312" w:hAnsi="宋体" w:eastAsia="仿宋_GB2312"/>
          <w:sz w:val="32"/>
          <w:szCs w:val="32"/>
        </w:rPr>
      </w:pPr>
      <w:r>
        <w:rPr>
          <w:rFonts w:hint="eastAsia" w:ascii="仿宋_GB2312" w:hAnsi="宋体" w:eastAsia="仿宋_GB2312" w:cs="Times New Roman"/>
          <w:b/>
          <w:kern w:val="2"/>
          <w:sz w:val="30"/>
          <w:szCs w:val="30"/>
          <w:lang w:val="en-US" w:eastAsia="zh-CN" w:bidi="ar-SA"/>
        </w:rPr>
        <w:t xml:space="preserve">第十五条 </w:t>
      </w:r>
      <w:r>
        <w:rPr>
          <w:rFonts w:hint="eastAsia" w:ascii="仿宋_GB2312" w:hAnsi="宋体" w:eastAsia="仿宋_GB2312"/>
          <w:sz w:val="32"/>
          <w:szCs w:val="32"/>
        </w:rPr>
        <w:t>证券公司应当建立健全融入方资质审查制度，对融入方进行尽职调查，调查内容包括融入方的身份、财务状况、经营状况、信用状况、担保状况、融资投向、风险承受能力等。</w:t>
      </w:r>
    </w:p>
    <w:p w14:paraId="192CFC5F">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证券公司应当以书面或者电子形式记载、留存融入方资质审查结果。</w:t>
      </w:r>
    </w:p>
    <w:p w14:paraId="6DDA8547">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融入方不得为金融机构或者从事贷款、私募证券投资或私募股权投资、个人借贷等业务的其他机构，或者前述机构发行的产品。符合一定政策支持的创业投资基金及其他上交所认可的情形除外。</w:t>
      </w:r>
    </w:p>
    <w:p w14:paraId="7337DA8B">
      <w:pPr>
        <w:numPr>
          <w:ilvl w:val="0"/>
          <w:numId w:val="0"/>
        </w:numPr>
        <w:tabs>
          <w:tab w:val="left" w:pos="2127"/>
        </w:tabs>
        <w:adjustRightInd w:val="0"/>
        <w:snapToGrid w:val="0"/>
        <w:spacing w:line="560" w:lineRule="exact"/>
        <w:ind w:left="0" w:leftChars="0" w:firstLine="602" w:firstLineChars="200"/>
        <w:rPr>
          <w:rFonts w:ascii="仿宋_GB2312" w:eastAsia="仿宋_GB2312"/>
          <w:sz w:val="32"/>
          <w:szCs w:val="32"/>
        </w:rPr>
      </w:pPr>
      <w:r>
        <w:rPr>
          <w:rFonts w:hint="eastAsia" w:ascii="仿宋_GB2312" w:hAnsi="Times New Roman" w:eastAsia="仿宋_GB2312" w:cs="Times New Roman"/>
          <w:b/>
          <w:kern w:val="2"/>
          <w:sz w:val="30"/>
          <w:szCs w:val="30"/>
          <w:lang w:val="en-US" w:eastAsia="zh-CN" w:bidi="ar-SA"/>
        </w:rPr>
        <w:t>第十六</w:t>
      </w:r>
      <w:r>
        <w:rPr>
          <w:rFonts w:hint="eastAsia" w:ascii="仿宋_GB2312" w:eastAsia="仿宋_GB2312" w:cs="Times New Roman"/>
          <w:b/>
          <w:kern w:val="2"/>
          <w:sz w:val="30"/>
          <w:szCs w:val="30"/>
          <w:lang w:val="en-US" w:eastAsia="zh-CN" w:bidi="ar-SA"/>
        </w:rPr>
        <w:t xml:space="preserve">条 </w:t>
      </w:r>
      <w:r>
        <w:rPr>
          <w:rFonts w:hint="eastAsia" w:ascii="仿宋_GB2312" w:hAnsi="宋体" w:eastAsia="仿宋_GB2312"/>
          <w:sz w:val="32"/>
          <w:szCs w:val="32"/>
        </w:rPr>
        <w:t>证券公司应当向融入方全面介绍股票质押回购规则，充分揭示可能产生的风险，并要求融入方签署《风险揭示书》。</w:t>
      </w:r>
    </w:p>
    <w:p w14:paraId="40C7FA1C">
      <w:pPr>
        <w:adjustRightInd w:val="0"/>
        <w:snapToGrid w:val="0"/>
        <w:spacing w:line="560" w:lineRule="exact"/>
        <w:jc w:val="center"/>
        <w:rPr>
          <w:rFonts w:ascii="黑体" w:hAnsi="黑体" w:eastAsia="黑体"/>
          <w:bCs/>
          <w:sz w:val="32"/>
          <w:szCs w:val="32"/>
        </w:rPr>
      </w:pPr>
      <w:r>
        <w:rPr>
          <w:rFonts w:hint="eastAsia" w:ascii="黑体" w:hAnsi="黑体" w:eastAsia="黑体"/>
          <w:b/>
          <w:bCs w:val="0"/>
          <w:sz w:val="32"/>
          <w:szCs w:val="32"/>
        </w:rPr>
        <w:t>第二节</w:t>
      </w:r>
      <w:r>
        <w:rPr>
          <w:rFonts w:ascii="黑体" w:hAnsi="黑体" w:eastAsia="黑体"/>
          <w:b/>
          <w:bCs w:val="0"/>
          <w:sz w:val="32"/>
          <w:szCs w:val="32"/>
        </w:rPr>
        <w:t xml:space="preserve">  </w:t>
      </w:r>
      <w:r>
        <w:rPr>
          <w:rFonts w:hint="eastAsia" w:ascii="黑体" w:hAnsi="黑体" w:eastAsia="黑体"/>
          <w:b/>
          <w:bCs w:val="0"/>
          <w:sz w:val="32"/>
          <w:szCs w:val="32"/>
        </w:rPr>
        <w:t>融出方</w:t>
      </w:r>
    </w:p>
    <w:p w14:paraId="52D2E880">
      <w:pPr>
        <w:numPr>
          <w:ilvl w:val="0"/>
          <w:numId w:val="0"/>
        </w:numPr>
        <w:tabs>
          <w:tab w:val="left" w:pos="2127"/>
        </w:tabs>
        <w:adjustRightInd w:val="0"/>
        <w:snapToGrid w:val="0"/>
        <w:spacing w:line="560" w:lineRule="exact"/>
        <w:ind w:left="0" w:leftChars="0" w:firstLine="602" w:firstLineChars="200"/>
        <w:rPr>
          <w:rFonts w:hint="eastAsia" w:ascii="仿宋_GB2312" w:hAnsi="宋体" w:eastAsia="仿宋_GB2312"/>
          <w:sz w:val="32"/>
          <w:szCs w:val="32"/>
        </w:rPr>
      </w:pPr>
      <w:r>
        <w:rPr>
          <w:rFonts w:hint="eastAsia" w:ascii="仿宋_GB2312" w:hAnsi="宋体" w:eastAsia="仿宋_GB2312" w:cs="Times New Roman"/>
          <w:b/>
          <w:kern w:val="2"/>
          <w:sz w:val="30"/>
          <w:szCs w:val="30"/>
          <w:lang w:val="en-US" w:eastAsia="zh-CN" w:bidi="ar-SA"/>
        </w:rPr>
        <w:t xml:space="preserve">第十七条 </w:t>
      </w:r>
      <w:r>
        <w:rPr>
          <w:rFonts w:hint="eastAsia" w:ascii="仿宋_GB2312" w:hAnsi="宋体" w:eastAsia="仿宋_GB2312"/>
          <w:sz w:val="32"/>
          <w:szCs w:val="32"/>
        </w:rPr>
        <w:t>融出方包括证券公司、证券公司管理的集合资产管理计划或定向资产管理客户、证券公司资产管理子公司管理的集合资产管理计划或定向资产管理客户。专项资产管理计划参照适用。</w:t>
      </w:r>
    </w:p>
    <w:p w14:paraId="002E58A9">
      <w:pPr>
        <w:tabs>
          <w:tab w:val="left" w:pos="2127"/>
        </w:tabs>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证券公司及其资产管理子公司管理的公开募集集合资产管理计划不得作为融出方参与股票质押回购。</w:t>
      </w:r>
    </w:p>
    <w:p w14:paraId="0D0BFCED">
      <w:pPr>
        <w:numPr>
          <w:ilvl w:val="0"/>
          <w:numId w:val="0"/>
        </w:numPr>
        <w:tabs>
          <w:tab w:val="left" w:pos="2127"/>
        </w:tabs>
        <w:adjustRightInd w:val="0"/>
        <w:snapToGrid w:val="0"/>
        <w:spacing w:line="560" w:lineRule="exact"/>
        <w:ind w:left="0" w:leftChars="0" w:firstLine="602" w:firstLineChars="200"/>
        <w:rPr>
          <w:rFonts w:hint="eastAsia" w:ascii="仿宋_GB2312" w:hAnsi="宋体" w:eastAsia="仿宋_GB2312"/>
          <w:sz w:val="32"/>
          <w:szCs w:val="32"/>
        </w:rPr>
      </w:pPr>
      <w:r>
        <w:rPr>
          <w:rFonts w:hint="eastAsia" w:ascii="仿宋_GB2312" w:hAnsi="宋体" w:eastAsia="仿宋_GB2312" w:cs="Times New Roman"/>
          <w:b/>
          <w:kern w:val="2"/>
          <w:sz w:val="30"/>
          <w:szCs w:val="30"/>
          <w:lang w:val="en-US" w:eastAsia="zh-CN" w:bidi="ar-SA"/>
        </w:rPr>
        <w:t xml:space="preserve">第十八条 </w:t>
      </w:r>
      <w:r>
        <w:rPr>
          <w:rFonts w:hint="eastAsia" w:ascii="仿宋_GB2312" w:hAnsi="宋体" w:eastAsia="仿宋_GB2312"/>
          <w:sz w:val="32"/>
          <w:szCs w:val="32"/>
        </w:rPr>
        <w:t>融出方为集合资产管理计划或定向资产管理客户的，</w:t>
      </w:r>
      <w:r>
        <w:rPr>
          <w:rFonts w:hint="eastAsia" w:ascii="仿宋_GB2312" w:eastAsia="仿宋_GB2312"/>
          <w:sz w:val="32"/>
          <w:szCs w:val="32"/>
        </w:rPr>
        <w:t>应遵守以下规定：</w:t>
      </w:r>
    </w:p>
    <w:p w14:paraId="1FF2C60D">
      <w:pPr>
        <w:tabs>
          <w:tab w:val="left" w:pos="2127"/>
        </w:tabs>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eastAsia="仿宋_GB2312"/>
          <w:sz w:val="32"/>
          <w:szCs w:val="32"/>
        </w:rPr>
        <w:t>（一）证券公司应核查确认相应资产管理合同及相关文件明确可参与股票质押回购，并明确约定参与股票质押回购的投资比例、单一融入方或者单一质押股票的投资比例、质押率上限等事项；</w:t>
      </w:r>
    </w:p>
    <w:p w14:paraId="3FA49A2F">
      <w:pPr>
        <w:tabs>
          <w:tab w:val="left" w:pos="2127"/>
        </w:tabs>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（二）从事客户资产管理业务的证券公司或其资产管理子公司（以下统称管理人）应在资产管理合同等相关文件中向客户充分揭示参与股票质押回购可能产生的风险；</w:t>
      </w:r>
    </w:p>
    <w:p w14:paraId="28BBD3E1">
      <w:pPr>
        <w:tabs>
          <w:tab w:val="left" w:pos="2127"/>
        </w:tabs>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（三）集合资产管理计划为融出方的，集合资产管理合同应约定在股票质押回购中质权人登记为管理人；</w:t>
      </w:r>
    </w:p>
    <w:p w14:paraId="48BC35F4">
      <w:pPr>
        <w:tabs>
          <w:tab w:val="left" w:pos="2127"/>
        </w:tabs>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（四）定向资产管理客户为融出方的，定向资产管理合同应约定在股票质押回购中质权人登记为定向资产管理客户或管理人。</w:t>
      </w:r>
    </w:p>
    <w:p w14:paraId="6E2DC2E7">
      <w:pPr>
        <w:numPr>
          <w:ilvl w:val="0"/>
          <w:numId w:val="0"/>
        </w:numPr>
        <w:tabs>
          <w:tab w:val="left" w:pos="2127"/>
        </w:tabs>
        <w:adjustRightInd w:val="0"/>
        <w:snapToGrid w:val="0"/>
        <w:spacing w:line="560" w:lineRule="exact"/>
        <w:ind w:left="0" w:leftChars="0" w:firstLine="602" w:firstLineChars="200"/>
        <w:rPr>
          <w:rFonts w:ascii="仿宋_GB2312" w:eastAsia="仿宋_GB2312"/>
          <w:b/>
          <w:sz w:val="32"/>
          <w:szCs w:val="32"/>
        </w:rPr>
      </w:pPr>
      <w:r>
        <w:rPr>
          <w:rFonts w:hint="eastAsia" w:ascii="仿宋_GB2312" w:hAnsi="Times New Roman" w:eastAsia="仿宋_GB2312" w:cs="Times New Roman"/>
          <w:b/>
          <w:kern w:val="2"/>
          <w:sz w:val="30"/>
          <w:szCs w:val="30"/>
          <w:lang w:val="en-US" w:eastAsia="zh-CN" w:bidi="ar-SA"/>
        </w:rPr>
        <w:t>第十九</w:t>
      </w:r>
      <w:r>
        <w:rPr>
          <w:rFonts w:hint="eastAsia" w:ascii="仿宋_GB2312" w:eastAsia="仿宋_GB2312" w:cs="Times New Roman"/>
          <w:b/>
          <w:kern w:val="2"/>
          <w:sz w:val="30"/>
          <w:szCs w:val="30"/>
          <w:lang w:val="en-US" w:eastAsia="zh-CN" w:bidi="ar-SA"/>
        </w:rPr>
        <w:t xml:space="preserve">条 </w:t>
      </w:r>
      <w:r>
        <w:rPr>
          <w:rFonts w:hint="eastAsia" w:ascii="仿宋_GB2312" w:hAnsi="宋体" w:eastAsia="仿宋_GB2312"/>
          <w:sz w:val="32"/>
          <w:szCs w:val="32"/>
        </w:rPr>
        <w:t>融入方和融出方经证券公司报备上交所后，方可参加股票质押回购。</w:t>
      </w:r>
    </w:p>
    <w:p w14:paraId="6C9AFF8B">
      <w:pPr>
        <w:adjustRightInd w:val="0"/>
        <w:snapToGrid w:val="0"/>
        <w:spacing w:line="560" w:lineRule="exact"/>
        <w:jc w:val="center"/>
        <w:rPr>
          <w:rFonts w:ascii="黑体" w:hAnsi="黑体" w:eastAsia="黑体"/>
          <w:bCs/>
          <w:sz w:val="32"/>
          <w:szCs w:val="32"/>
        </w:rPr>
      </w:pPr>
      <w:r>
        <w:rPr>
          <w:rFonts w:hint="eastAsia" w:ascii="黑体" w:hAnsi="黑体" w:eastAsia="黑体"/>
          <w:b/>
          <w:bCs w:val="0"/>
          <w:sz w:val="32"/>
          <w:szCs w:val="32"/>
        </w:rPr>
        <w:t>第四章</w:t>
      </w:r>
      <w:r>
        <w:rPr>
          <w:rFonts w:ascii="黑体" w:hAnsi="黑体" w:eastAsia="黑体"/>
          <w:b/>
          <w:bCs w:val="0"/>
          <w:sz w:val="32"/>
          <w:szCs w:val="32"/>
        </w:rPr>
        <w:t xml:space="preserve"> </w:t>
      </w:r>
      <w:r>
        <w:rPr>
          <w:rFonts w:hint="eastAsia" w:ascii="黑体" w:hAnsi="黑体" w:eastAsia="黑体"/>
          <w:b/>
          <w:bCs w:val="0"/>
          <w:sz w:val="32"/>
          <w:szCs w:val="32"/>
        </w:rPr>
        <w:t>业务协议</w:t>
      </w:r>
    </w:p>
    <w:p w14:paraId="114A596E">
      <w:pPr>
        <w:numPr>
          <w:ilvl w:val="0"/>
          <w:numId w:val="0"/>
        </w:numPr>
        <w:tabs>
          <w:tab w:val="left" w:pos="2127"/>
        </w:tabs>
        <w:adjustRightInd w:val="0"/>
        <w:snapToGrid w:val="0"/>
        <w:spacing w:line="560" w:lineRule="exact"/>
        <w:ind w:left="0" w:leftChars="0" w:firstLine="602" w:firstLineChars="200"/>
        <w:rPr>
          <w:rFonts w:hint="eastAsia" w:ascii="仿宋_GB2312" w:hAnsi="宋体" w:eastAsia="仿宋_GB2312"/>
          <w:sz w:val="32"/>
          <w:szCs w:val="32"/>
        </w:rPr>
      </w:pPr>
      <w:r>
        <w:rPr>
          <w:rFonts w:hint="eastAsia" w:ascii="仿宋_GB2312" w:hAnsi="宋体" w:eastAsia="仿宋_GB2312" w:cs="Times New Roman"/>
          <w:b/>
          <w:kern w:val="2"/>
          <w:sz w:val="30"/>
          <w:szCs w:val="30"/>
          <w:lang w:val="en-US" w:eastAsia="zh-CN" w:bidi="ar-SA"/>
        </w:rPr>
        <w:t xml:space="preserve">第二十条 </w:t>
      </w:r>
      <w:r>
        <w:rPr>
          <w:rFonts w:hint="eastAsia" w:ascii="仿宋_GB2312" w:hAnsi="宋体" w:eastAsia="仿宋_GB2312"/>
          <w:sz w:val="32"/>
          <w:szCs w:val="32"/>
        </w:rPr>
        <w:t>融出方为证券公司、证券公司管理的集合资产管理计划或定向资产管理客户的，证券公司应当与融入方签署《业务协议》。</w:t>
      </w:r>
    </w:p>
    <w:p w14:paraId="6C559405">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融出方为证券公司资产管理子公司管理的集合资产管理计划或定向资产管理客户的，证券公司应当与融入方、资产管理子公司签署三方《业务协议》。</w:t>
      </w:r>
    </w:p>
    <w:p w14:paraId="2A1C7376">
      <w:pPr>
        <w:numPr>
          <w:ilvl w:val="0"/>
          <w:numId w:val="0"/>
        </w:numPr>
        <w:tabs>
          <w:tab w:val="left" w:pos="2127"/>
        </w:tabs>
        <w:adjustRightInd w:val="0"/>
        <w:snapToGrid w:val="0"/>
        <w:spacing w:line="560" w:lineRule="exact"/>
        <w:ind w:left="0" w:leftChars="0" w:firstLine="602" w:firstLineChars="200"/>
        <w:rPr>
          <w:rFonts w:hint="eastAsia" w:ascii="仿宋_GB2312" w:hAnsi="宋体" w:eastAsia="仿宋_GB2312"/>
          <w:sz w:val="32"/>
          <w:szCs w:val="32"/>
        </w:rPr>
      </w:pPr>
      <w:r>
        <w:rPr>
          <w:rFonts w:hint="eastAsia" w:ascii="仿宋_GB2312" w:hAnsi="宋体" w:eastAsia="仿宋_GB2312" w:cs="Times New Roman"/>
          <w:b/>
          <w:kern w:val="2"/>
          <w:sz w:val="30"/>
          <w:szCs w:val="30"/>
          <w:lang w:val="en-US" w:eastAsia="zh-CN" w:bidi="ar-SA"/>
        </w:rPr>
        <w:t xml:space="preserve">第二十一条 </w:t>
      </w:r>
      <w:r>
        <w:rPr>
          <w:rFonts w:hint="eastAsia" w:ascii="仿宋_GB2312" w:hAnsi="宋体" w:eastAsia="仿宋_GB2312"/>
          <w:sz w:val="32"/>
          <w:szCs w:val="32"/>
        </w:rPr>
        <w:t>《业务协议》应当约定以下内容：</w:t>
      </w:r>
    </w:p>
    <w:p w14:paraId="20864239">
      <w:pPr>
        <w:tabs>
          <w:tab w:val="left" w:pos="2127"/>
        </w:tabs>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（一）交易各方的声明与保证、权利与义务；</w:t>
      </w:r>
    </w:p>
    <w:p w14:paraId="59A73BB4">
      <w:pPr>
        <w:tabs>
          <w:tab w:val="left" w:pos="2127"/>
        </w:tabs>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（二）融入方、融出方应遵守证券公司标的证券管理制度确定的标的证券范围、质押率上限、风险控制指标等要求；</w:t>
      </w:r>
    </w:p>
    <w:p w14:paraId="7FAA4EAA">
      <w:pPr>
        <w:tabs>
          <w:tab w:val="left" w:pos="2127"/>
        </w:tabs>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（三）融入方、融出方应约定交易要素、交易流程、登记结算、权益处理、融资投向、履约保障、违约情形及处理等内容；</w:t>
      </w:r>
    </w:p>
    <w:p w14:paraId="4398CDA3">
      <w:pPr>
        <w:tabs>
          <w:tab w:val="left" w:pos="2127"/>
        </w:tabs>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（四）融入方、融出方应委托证券公司负责交易申报、盯市、违约处置等事宜；</w:t>
      </w:r>
    </w:p>
    <w:p w14:paraId="5815C60C">
      <w:pPr>
        <w:tabs>
          <w:tab w:val="left" w:pos="2127"/>
        </w:tabs>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（五）《业务协议》必备条款规定的其他内容。</w:t>
      </w:r>
    </w:p>
    <w:p w14:paraId="565BA069">
      <w:pPr>
        <w:numPr>
          <w:ilvl w:val="0"/>
          <w:numId w:val="0"/>
        </w:numPr>
        <w:tabs>
          <w:tab w:val="left" w:pos="2127"/>
        </w:tabs>
        <w:adjustRightInd w:val="0"/>
        <w:snapToGrid w:val="0"/>
        <w:spacing w:line="560" w:lineRule="exact"/>
        <w:ind w:left="0" w:leftChars="0" w:firstLine="602" w:firstLineChars="200"/>
        <w:rPr>
          <w:rFonts w:hint="eastAsia" w:ascii="仿宋_GB2312" w:hAnsi="宋体" w:eastAsia="仿宋_GB2312"/>
          <w:sz w:val="32"/>
          <w:szCs w:val="32"/>
        </w:rPr>
      </w:pPr>
      <w:r>
        <w:rPr>
          <w:rFonts w:hint="eastAsia" w:ascii="仿宋_GB2312" w:hAnsi="宋体" w:eastAsia="仿宋_GB2312" w:cs="Times New Roman"/>
          <w:b/>
          <w:kern w:val="2"/>
          <w:sz w:val="30"/>
          <w:szCs w:val="30"/>
          <w:lang w:val="en-US" w:eastAsia="zh-CN" w:bidi="ar-SA"/>
        </w:rPr>
        <w:t xml:space="preserve">第二十二条 </w:t>
      </w:r>
      <w:r>
        <w:rPr>
          <w:rFonts w:hint="eastAsia" w:ascii="仿宋_GB2312" w:hAnsi="宋体" w:eastAsia="仿宋_GB2312"/>
          <w:sz w:val="32"/>
          <w:szCs w:val="32"/>
        </w:rPr>
        <w:t>《业务协议》应明确约定融入方融入资金存放于其在证券公司指定银行开立的专用账户，并用于实体经济生产经营，不得直接或者间接用于下列用途：</w:t>
      </w:r>
    </w:p>
    <w:p w14:paraId="1425C51F">
      <w:pPr>
        <w:tabs>
          <w:tab w:val="left" w:pos="2127"/>
        </w:tabs>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（一）投资于被列入国家相关部委发布的淘汰类产业目录,或者违反国家宏观调控政策、环境保护政策的项目；</w:t>
      </w:r>
    </w:p>
    <w:p w14:paraId="0807FC19">
      <w:pPr>
        <w:tabs>
          <w:tab w:val="left" w:pos="2127"/>
        </w:tabs>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（二）进行新股申购；</w:t>
      </w:r>
    </w:p>
    <w:p w14:paraId="355F09A6">
      <w:pPr>
        <w:tabs>
          <w:tab w:val="left" w:pos="2127"/>
        </w:tabs>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（三）通过竞价交易或者大宗交易方式买入上市交易的股票；</w:t>
      </w:r>
    </w:p>
    <w:p w14:paraId="1A01F27C">
      <w:pPr>
        <w:tabs>
          <w:tab w:val="left" w:pos="2127"/>
        </w:tabs>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（四）法律法规、中国证监会</w:t>
      </w:r>
      <w:r>
        <w:rPr>
          <w:rFonts w:hint="eastAsia" w:ascii="仿宋_GB2312" w:eastAsia="仿宋_GB2312"/>
          <w:sz w:val="32"/>
          <w:szCs w:val="32"/>
        </w:rPr>
        <w:t>相关部门规章和规范性文件</w:t>
      </w:r>
      <w:r>
        <w:rPr>
          <w:rFonts w:hint="eastAsia" w:ascii="仿宋_GB2312" w:hAnsi="宋体" w:eastAsia="仿宋_GB2312"/>
          <w:sz w:val="32"/>
          <w:szCs w:val="32"/>
        </w:rPr>
        <w:t>禁止的其他用途。</w:t>
      </w:r>
    </w:p>
    <w:p w14:paraId="57C035F8">
      <w:pPr>
        <w:tabs>
          <w:tab w:val="left" w:pos="2127"/>
        </w:tabs>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融入资金违反前款规定使用的，《业务协议》应明确约定改正措施和相应后果。</w:t>
      </w:r>
    </w:p>
    <w:p w14:paraId="03E34A68">
      <w:pPr>
        <w:numPr>
          <w:ilvl w:val="0"/>
          <w:numId w:val="0"/>
        </w:numPr>
        <w:tabs>
          <w:tab w:val="left" w:pos="2127"/>
        </w:tabs>
        <w:adjustRightInd w:val="0"/>
        <w:snapToGrid w:val="0"/>
        <w:spacing w:line="560" w:lineRule="exact"/>
        <w:ind w:left="0" w:leftChars="0" w:firstLine="602" w:firstLineChars="200"/>
        <w:rPr>
          <w:rFonts w:hint="eastAsia" w:ascii="仿宋_GB2312" w:hAnsi="宋体" w:eastAsia="仿宋_GB2312"/>
          <w:sz w:val="32"/>
          <w:szCs w:val="32"/>
        </w:rPr>
      </w:pPr>
      <w:r>
        <w:rPr>
          <w:rFonts w:hint="eastAsia" w:ascii="仿宋_GB2312" w:hAnsi="宋体" w:eastAsia="仿宋_GB2312" w:cs="Times New Roman"/>
          <w:b/>
          <w:kern w:val="2"/>
          <w:sz w:val="30"/>
          <w:szCs w:val="30"/>
          <w:lang w:val="en-US" w:eastAsia="zh-CN" w:bidi="ar-SA"/>
        </w:rPr>
        <w:t xml:space="preserve">第二十三条 </w:t>
      </w:r>
      <w:r>
        <w:rPr>
          <w:rFonts w:hint="eastAsia" w:ascii="仿宋_GB2312" w:hAnsi="宋体" w:eastAsia="仿宋_GB2312"/>
          <w:sz w:val="32"/>
          <w:szCs w:val="32"/>
        </w:rPr>
        <w:t>融出方是证券公司的，《业务协议》应当约定质权人登记为证券公司；融出方是集合资产管理计划的，《业务协议》应当约定质权人登记为管理人；融出方是定向资产管理客户的，《业务协议》应当约定质权人登记为定向资产管理客户或管理人。</w:t>
      </w:r>
    </w:p>
    <w:p w14:paraId="41AA2D0E">
      <w:pPr>
        <w:numPr>
          <w:ilvl w:val="0"/>
          <w:numId w:val="0"/>
        </w:numPr>
        <w:tabs>
          <w:tab w:val="left" w:pos="2127"/>
        </w:tabs>
        <w:adjustRightInd w:val="0"/>
        <w:snapToGrid w:val="0"/>
        <w:spacing w:line="560" w:lineRule="exact"/>
        <w:ind w:left="0" w:leftChars="0" w:firstLine="602" w:firstLineChars="200"/>
        <w:rPr>
          <w:rFonts w:hint="eastAsia" w:ascii="仿宋_GB2312" w:hAnsi="宋体" w:eastAsia="仿宋_GB2312"/>
          <w:sz w:val="32"/>
          <w:szCs w:val="32"/>
        </w:rPr>
      </w:pPr>
      <w:r>
        <w:rPr>
          <w:rFonts w:hint="eastAsia" w:ascii="仿宋_GB2312" w:hAnsi="宋体" w:eastAsia="仿宋_GB2312" w:cs="Times New Roman"/>
          <w:b/>
          <w:kern w:val="2"/>
          <w:sz w:val="30"/>
          <w:szCs w:val="30"/>
          <w:lang w:val="en-US" w:eastAsia="zh-CN" w:bidi="ar-SA"/>
        </w:rPr>
        <w:t xml:space="preserve">第二十四条 </w:t>
      </w:r>
      <w:r>
        <w:rPr>
          <w:rFonts w:hint="eastAsia" w:ascii="仿宋_GB2312" w:hAnsi="宋体" w:eastAsia="仿宋_GB2312"/>
          <w:sz w:val="32"/>
          <w:szCs w:val="32"/>
        </w:rPr>
        <w:t>融入方、融出方应当在签订《业务协议》时或根据《业务协议》的约定在申报交易委托前，协商确定标的证券及数量、初始交易日及交易金额、购回交易日及交易金额等要素。</w:t>
      </w:r>
    </w:p>
    <w:p w14:paraId="388F518C">
      <w:pPr>
        <w:adjustRightInd w:val="0"/>
        <w:snapToGrid w:val="0"/>
        <w:spacing w:line="560" w:lineRule="exact"/>
        <w:ind w:firstLine="604" w:firstLineChars="189"/>
        <w:jc w:val="left"/>
        <w:rPr>
          <w:rFonts w:ascii="仿宋_GB2312" w:eastAsia="仿宋_GB2312"/>
          <w:b/>
          <w:sz w:val="32"/>
          <w:szCs w:val="32"/>
        </w:rPr>
      </w:pPr>
      <w:r>
        <w:rPr>
          <w:rFonts w:hint="eastAsia" w:ascii="仿宋_GB2312" w:eastAsia="仿宋_GB2312"/>
          <w:sz w:val="32"/>
          <w:szCs w:val="32"/>
        </w:rPr>
        <w:t>证券公司应当根据业务实质、市场情况和公司资本实力，合理确定股票质押回购每笔最低初始交易金额。融入方首笔初始交易金额不得低于</w:t>
      </w:r>
      <w:r>
        <w:rPr>
          <w:rFonts w:eastAsia="仿宋_GB2312"/>
          <w:sz w:val="32"/>
          <w:szCs w:val="32"/>
        </w:rPr>
        <w:t>500</w:t>
      </w:r>
      <w:r>
        <w:rPr>
          <w:rFonts w:hint="eastAsia" w:ascii="仿宋_GB2312" w:eastAsia="仿宋_GB2312"/>
          <w:sz w:val="32"/>
          <w:szCs w:val="32"/>
        </w:rPr>
        <w:t>万元（人民币，下同），此后每笔初始交易金额不得低于</w:t>
      </w:r>
      <w:r>
        <w:rPr>
          <w:rFonts w:eastAsia="仿宋_GB2312"/>
          <w:sz w:val="32"/>
          <w:szCs w:val="32"/>
        </w:rPr>
        <w:t>50</w:t>
      </w:r>
      <w:r>
        <w:rPr>
          <w:rFonts w:hint="eastAsia" w:ascii="仿宋_GB2312" w:eastAsia="仿宋_GB2312"/>
          <w:sz w:val="32"/>
          <w:szCs w:val="32"/>
        </w:rPr>
        <w:t>万元，上交所另行认可的情形除外。</w:t>
      </w:r>
    </w:p>
    <w:p w14:paraId="6D382B11">
      <w:pPr>
        <w:adjustRightInd w:val="0"/>
        <w:snapToGrid w:val="0"/>
        <w:spacing w:line="560" w:lineRule="exact"/>
        <w:jc w:val="center"/>
        <w:rPr>
          <w:rFonts w:ascii="黑体" w:hAnsi="黑体" w:eastAsia="黑体"/>
          <w:b/>
          <w:bCs w:val="0"/>
          <w:sz w:val="32"/>
          <w:szCs w:val="32"/>
        </w:rPr>
      </w:pPr>
      <w:r>
        <w:rPr>
          <w:rFonts w:hint="eastAsia" w:ascii="黑体" w:hAnsi="黑体" w:eastAsia="黑体"/>
          <w:b/>
          <w:bCs w:val="0"/>
          <w:sz w:val="32"/>
          <w:szCs w:val="32"/>
        </w:rPr>
        <w:t>第五章</w:t>
      </w:r>
      <w:r>
        <w:rPr>
          <w:rFonts w:ascii="黑体" w:hAnsi="黑体" w:eastAsia="黑体"/>
          <w:b/>
          <w:bCs w:val="0"/>
          <w:sz w:val="32"/>
          <w:szCs w:val="32"/>
        </w:rPr>
        <w:t xml:space="preserve"> </w:t>
      </w:r>
      <w:r>
        <w:rPr>
          <w:rFonts w:hint="eastAsia" w:ascii="黑体" w:hAnsi="黑体" w:eastAsia="黑体"/>
          <w:b/>
          <w:bCs w:val="0"/>
          <w:sz w:val="32"/>
          <w:szCs w:val="32"/>
        </w:rPr>
        <w:t>交易</w:t>
      </w:r>
    </w:p>
    <w:p w14:paraId="1ED928C2">
      <w:pPr>
        <w:adjustRightInd w:val="0"/>
        <w:snapToGrid w:val="0"/>
        <w:spacing w:line="560" w:lineRule="exact"/>
        <w:jc w:val="center"/>
        <w:rPr>
          <w:rFonts w:ascii="黑体" w:hAnsi="黑体" w:eastAsia="黑体"/>
          <w:bCs/>
          <w:sz w:val="32"/>
          <w:szCs w:val="32"/>
        </w:rPr>
      </w:pPr>
      <w:r>
        <w:rPr>
          <w:rFonts w:hint="eastAsia" w:ascii="黑体" w:hAnsi="黑体" w:eastAsia="黑体"/>
          <w:b/>
          <w:bCs w:val="0"/>
          <w:sz w:val="32"/>
          <w:szCs w:val="32"/>
        </w:rPr>
        <w:t>第一节</w:t>
      </w:r>
      <w:r>
        <w:rPr>
          <w:rFonts w:ascii="黑体" w:hAnsi="黑体" w:eastAsia="黑体"/>
          <w:b/>
          <w:bCs w:val="0"/>
          <w:sz w:val="32"/>
          <w:szCs w:val="32"/>
        </w:rPr>
        <w:t xml:space="preserve"> </w:t>
      </w:r>
      <w:r>
        <w:rPr>
          <w:rFonts w:hint="eastAsia" w:ascii="黑体" w:hAnsi="黑体" w:eastAsia="黑体"/>
          <w:b/>
          <w:bCs w:val="0"/>
          <w:sz w:val="32"/>
          <w:szCs w:val="32"/>
        </w:rPr>
        <w:t>标的证券、回购期限与交易时间</w:t>
      </w:r>
    </w:p>
    <w:p w14:paraId="0BFD5E71">
      <w:pPr>
        <w:numPr>
          <w:ilvl w:val="0"/>
          <w:numId w:val="0"/>
        </w:numPr>
        <w:tabs>
          <w:tab w:val="left" w:pos="2127"/>
        </w:tabs>
        <w:adjustRightInd w:val="0"/>
        <w:snapToGrid w:val="0"/>
        <w:spacing w:line="560" w:lineRule="exact"/>
        <w:ind w:left="0" w:leftChars="0" w:firstLine="602" w:firstLineChars="200"/>
        <w:rPr>
          <w:rFonts w:hint="eastAsia" w:ascii="仿宋_GB2312" w:hAnsi="宋体" w:eastAsia="仿宋_GB2312"/>
          <w:sz w:val="32"/>
          <w:szCs w:val="32"/>
        </w:rPr>
      </w:pPr>
      <w:r>
        <w:rPr>
          <w:rFonts w:hint="eastAsia" w:ascii="仿宋_GB2312" w:hAnsi="宋体" w:eastAsia="仿宋_GB2312" w:cs="Times New Roman"/>
          <w:b/>
          <w:kern w:val="2"/>
          <w:sz w:val="30"/>
          <w:szCs w:val="30"/>
          <w:lang w:val="en-US" w:eastAsia="zh-CN" w:bidi="ar-SA"/>
        </w:rPr>
        <w:t xml:space="preserve">第二十五条 </w:t>
      </w:r>
      <w:r>
        <w:rPr>
          <w:rFonts w:hint="eastAsia" w:ascii="仿宋_GB2312" w:hAnsi="宋体" w:eastAsia="仿宋_GB2312"/>
          <w:sz w:val="32"/>
          <w:szCs w:val="32"/>
        </w:rPr>
        <w:t>股票质押回购的标的证券为上交所上市的</w:t>
      </w:r>
      <w:r>
        <w:rPr>
          <w:rFonts w:hint="eastAsia" w:eastAsia="仿宋_GB2312"/>
          <w:sz w:val="32"/>
          <w:szCs w:val="32"/>
        </w:rPr>
        <w:t>A</w:t>
      </w:r>
      <w:r>
        <w:rPr>
          <w:rFonts w:hint="eastAsia" w:ascii="仿宋_GB2312" w:hAnsi="宋体" w:eastAsia="仿宋_GB2312"/>
          <w:sz w:val="32"/>
          <w:szCs w:val="32"/>
        </w:rPr>
        <w:t>股股票或其他经上交所和中国结算认可的证券。</w:t>
      </w:r>
    </w:p>
    <w:p w14:paraId="121CBEDD">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标的证券质押或处置需要获得国家相关主管部门的批准或备案的，融入方应遵守相关法律法规的规定，事先办理相应手续，并由证券公司核查确认。</w:t>
      </w:r>
    </w:p>
    <w:p w14:paraId="73D2E565">
      <w:pPr>
        <w:numPr>
          <w:ilvl w:val="0"/>
          <w:numId w:val="0"/>
        </w:numPr>
        <w:tabs>
          <w:tab w:val="left" w:pos="2127"/>
        </w:tabs>
        <w:adjustRightInd w:val="0"/>
        <w:snapToGrid w:val="0"/>
        <w:spacing w:line="560" w:lineRule="exact"/>
        <w:ind w:left="0" w:leftChars="0" w:firstLine="602" w:firstLineChars="200"/>
        <w:rPr>
          <w:rFonts w:hint="eastAsia" w:ascii="仿宋_GB2312" w:hAnsi="宋体" w:eastAsia="仿宋_GB2312"/>
          <w:sz w:val="32"/>
          <w:szCs w:val="32"/>
        </w:rPr>
      </w:pPr>
      <w:r>
        <w:rPr>
          <w:rFonts w:hint="eastAsia" w:ascii="仿宋_GB2312" w:hAnsi="宋体" w:eastAsia="仿宋_GB2312" w:cs="Times New Roman"/>
          <w:b/>
          <w:kern w:val="2"/>
          <w:sz w:val="30"/>
          <w:szCs w:val="30"/>
          <w:lang w:val="en-US" w:eastAsia="zh-CN" w:bidi="ar-SA"/>
        </w:rPr>
        <w:t xml:space="preserve">第二十六条 </w:t>
      </w:r>
      <w:r>
        <w:rPr>
          <w:rFonts w:hint="eastAsia" w:ascii="仿宋_GB2312" w:hAnsi="宋体" w:eastAsia="仿宋_GB2312"/>
          <w:sz w:val="32"/>
          <w:szCs w:val="32"/>
        </w:rPr>
        <w:t>股票质押回购的回购期限不超过</w:t>
      </w:r>
      <w:r>
        <w:rPr>
          <w:rFonts w:hint="eastAsia" w:eastAsia="仿宋_GB2312"/>
          <w:sz w:val="32"/>
          <w:szCs w:val="32"/>
        </w:rPr>
        <w:t>3</w:t>
      </w:r>
      <w:r>
        <w:rPr>
          <w:rFonts w:hint="eastAsia" w:ascii="仿宋_GB2312" w:hAnsi="宋体" w:eastAsia="仿宋_GB2312"/>
          <w:sz w:val="32"/>
          <w:szCs w:val="32"/>
        </w:rPr>
        <w:t>年。</w:t>
      </w:r>
    </w:p>
    <w:p w14:paraId="7CB74DF9">
      <w:pPr>
        <w:numPr>
          <w:ilvl w:val="0"/>
          <w:numId w:val="0"/>
        </w:numPr>
        <w:tabs>
          <w:tab w:val="left" w:pos="2127"/>
        </w:tabs>
        <w:adjustRightInd w:val="0"/>
        <w:snapToGrid w:val="0"/>
        <w:spacing w:line="560" w:lineRule="exact"/>
        <w:ind w:left="0" w:leftChars="0" w:firstLine="602" w:firstLineChars="200"/>
        <w:rPr>
          <w:rFonts w:ascii="仿宋_GB2312" w:eastAsia="仿宋_GB2312"/>
          <w:b/>
          <w:sz w:val="32"/>
          <w:szCs w:val="32"/>
        </w:rPr>
      </w:pPr>
      <w:r>
        <w:rPr>
          <w:rFonts w:hint="eastAsia" w:ascii="仿宋_GB2312" w:hAnsi="Times New Roman" w:eastAsia="仿宋_GB2312" w:cs="Times New Roman"/>
          <w:b/>
          <w:kern w:val="2"/>
          <w:sz w:val="30"/>
          <w:szCs w:val="30"/>
          <w:lang w:val="en-US" w:eastAsia="zh-CN" w:bidi="ar-SA"/>
        </w:rPr>
        <w:t>第二十七</w:t>
      </w:r>
      <w:r>
        <w:rPr>
          <w:rFonts w:hint="eastAsia" w:ascii="仿宋_GB2312" w:eastAsia="仿宋_GB2312" w:cs="Times New Roman"/>
          <w:b/>
          <w:kern w:val="2"/>
          <w:sz w:val="30"/>
          <w:szCs w:val="30"/>
          <w:lang w:val="en-US" w:eastAsia="zh-CN" w:bidi="ar-SA"/>
        </w:rPr>
        <w:t xml:space="preserve">条 </w:t>
      </w:r>
      <w:r>
        <w:rPr>
          <w:rFonts w:hint="eastAsia" w:ascii="仿宋_GB2312" w:hAnsi="宋体" w:eastAsia="仿宋_GB2312"/>
          <w:sz w:val="32"/>
          <w:szCs w:val="32"/>
        </w:rPr>
        <w:t>股票质押回购的交易时间为每个交易日的</w:t>
      </w:r>
      <w:r>
        <w:rPr>
          <w:rFonts w:hint="eastAsia" w:eastAsia="仿宋_GB2312"/>
          <w:sz w:val="32"/>
          <w:szCs w:val="32"/>
        </w:rPr>
        <w:t>9</w:t>
      </w:r>
      <w:r>
        <w:rPr>
          <w:rFonts w:hint="eastAsia" w:ascii="仿宋_GB2312" w:hAnsi="宋体" w:eastAsia="仿宋_GB2312"/>
          <w:sz w:val="32"/>
          <w:szCs w:val="32"/>
        </w:rPr>
        <w:t>:</w:t>
      </w:r>
      <w:r>
        <w:rPr>
          <w:rFonts w:hint="eastAsia" w:eastAsia="仿宋_GB2312"/>
          <w:sz w:val="32"/>
          <w:szCs w:val="32"/>
        </w:rPr>
        <w:t>15</w:t>
      </w:r>
      <w:r>
        <w:rPr>
          <w:rFonts w:hint="eastAsia" w:ascii="仿宋_GB2312" w:hAnsi="宋体" w:eastAsia="仿宋_GB2312"/>
          <w:sz w:val="32"/>
          <w:szCs w:val="32"/>
        </w:rPr>
        <w:t>至</w:t>
      </w:r>
      <w:r>
        <w:rPr>
          <w:rFonts w:hint="eastAsia" w:eastAsia="仿宋_GB2312"/>
          <w:sz w:val="32"/>
          <w:szCs w:val="32"/>
        </w:rPr>
        <w:t>9</w:t>
      </w:r>
      <w:r>
        <w:rPr>
          <w:rFonts w:hint="eastAsia" w:ascii="仿宋_GB2312" w:hAnsi="宋体" w:eastAsia="仿宋_GB2312"/>
          <w:sz w:val="32"/>
          <w:szCs w:val="32"/>
        </w:rPr>
        <w:t>:</w:t>
      </w:r>
      <w:r>
        <w:rPr>
          <w:rFonts w:hint="eastAsia" w:eastAsia="仿宋_GB2312"/>
          <w:sz w:val="32"/>
          <w:szCs w:val="32"/>
        </w:rPr>
        <w:t>25</w:t>
      </w:r>
      <w:r>
        <w:rPr>
          <w:rFonts w:hint="eastAsia" w:ascii="仿宋_GB2312" w:hAnsi="宋体" w:eastAsia="仿宋_GB2312"/>
          <w:sz w:val="32"/>
          <w:szCs w:val="32"/>
        </w:rPr>
        <w:t>、</w:t>
      </w:r>
      <w:r>
        <w:rPr>
          <w:rFonts w:hint="eastAsia" w:eastAsia="仿宋_GB2312"/>
          <w:sz w:val="32"/>
          <w:szCs w:val="32"/>
        </w:rPr>
        <w:t>9</w:t>
      </w:r>
      <w:r>
        <w:rPr>
          <w:rFonts w:hint="eastAsia" w:ascii="仿宋_GB2312" w:hAnsi="宋体" w:eastAsia="仿宋_GB2312"/>
          <w:sz w:val="32"/>
          <w:szCs w:val="32"/>
        </w:rPr>
        <w:t>:</w:t>
      </w:r>
      <w:r>
        <w:rPr>
          <w:rFonts w:hint="eastAsia" w:eastAsia="仿宋_GB2312"/>
          <w:sz w:val="32"/>
          <w:szCs w:val="32"/>
        </w:rPr>
        <w:t>30</w:t>
      </w:r>
      <w:r>
        <w:rPr>
          <w:rFonts w:hint="eastAsia" w:ascii="仿宋_GB2312" w:hAnsi="宋体" w:eastAsia="仿宋_GB2312"/>
          <w:sz w:val="32"/>
          <w:szCs w:val="32"/>
        </w:rPr>
        <w:t>至</w:t>
      </w:r>
      <w:r>
        <w:rPr>
          <w:rFonts w:hint="eastAsia" w:eastAsia="仿宋_GB2312"/>
          <w:sz w:val="32"/>
          <w:szCs w:val="32"/>
        </w:rPr>
        <w:t>11</w:t>
      </w:r>
      <w:r>
        <w:rPr>
          <w:rFonts w:hint="eastAsia" w:ascii="仿宋_GB2312" w:hAnsi="宋体" w:eastAsia="仿宋_GB2312"/>
          <w:sz w:val="32"/>
          <w:szCs w:val="32"/>
        </w:rPr>
        <w:t>:</w:t>
      </w:r>
      <w:r>
        <w:rPr>
          <w:rFonts w:hint="eastAsia" w:eastAsia="仿宋_GB2312"/>
          <w:sz w:val="32"/>
          <w:szCs w:val="32"/>
        </w:rPr>
        <w:t>30</w:t>
      </w:r>
      <w:r>
        <w:rPr>
          <w:rFonts w:hint="eastAsia" w:ascii="仿宋_GB2312" w:hAnsi="宋体" w:eastAsia="仿宋_GB2312"/>
          <w:sz w:val="32"/>
          <w:szCs w:val="32"/>
        </w:rPr>
        <w:t>、</w:t>
      </w:r>
      <w:r>
        <w:rPr>
          <w:rFonts w:hint="eastAsia" w:eastAsia="仿宋_GB2312"/>
          <w:sz w:val="32"/>
          <w:szCs w:val="32"/>
        </w:rPr>
        <w:t>13</w:t>
      </w:r>
      <w:r>
        <w:rPr>
          <w:rFonts w:hint="eastAsia" w:ascii="仿宋_GB2312" w:hAnsi="宋体" w:eastAsia="仿宋_GB2312"/>
          <w:sz w:val="32"/>
          <w:szCs w:val="32"/>
        </w:rPr>
        <w:t>:</w:t>
      </w:r>
      <w:r>
        <w:rPr>
          <w:rFonts w:hint="eastAsia" w:eastAsia="仿宋_GB2312"/>
          <w:sz w:val="32"/>
          <w:szCs w:val="32"/>
        </w:rPr>
        <w:t>00</w:t>
      </w:r>
      <w:r>
        <w:rPr>
          <w:rFonts w:hint="eastAsia" w:ascii="仿宋_GB2312" w:hAnsi="宋体" w:eastAsia="仿宋_GB2312"/>
          <w:sz w:val="32"/>
          <w:szCs w:val="32"/>
        </w:rPr>
        <w:t>至</w:t>
      </w:r>
      <w:r>
        <w:rPr>
          <w:rFonts w:hint="eastAsia" w:eastAsia="仿宋_GB2312"/>
          <w:sz w:val="32"/>
          <w:szCs w:val="32"/>
        </w:rPr>
        <w:t>15</w:t>
      </w:r>
      <w:r>
        <w:rPr>
          <w:rFonts w:hint="eastAsia" w:ascii="仿宋_GB2312" w:hAnsi="宋体" w:eastAsia="仿宋_GB2312"/>
          <w:sz w:val="32"/>
          <w:szCs w:val="32"/>
        </w:rPr>
        <w:t>:</w:t>
      </w:r>
      <w:r>
        <w:rPr>
          <w:rFonts w:hint="eastAsia" w:eastAsia="仿宋_GB2312"/>
          <w:sz w:val="32"/>
          <w:szCs w:val="32"/>
        </w:rPr>
        <w:t>00</w:t>
      </w:r>
      <w:r>
        <w:rPr>
          <w:rFonts w:hint="eastAsia" w:ascii="仿宋_GB2312" w:hAnsi="宋体" w:eastAsia="仿宋_GB2312"/>
          <w:sz w:val="32"/>
          <w:szCs w:val="32"/>
        </w:rPr>
        <w:t>。</w:t>
      </w:r>
    </w:p>
    <w:p w14:paraId="1F373415">
      <w:pPr>
        <w:adjustRightInd w:val="0"/>
        <w:snapToGrid w:val="0"/>
        <w:spacing w:line="560" w:lineRule="exact"/>
        <w:jc w:val="center"/>
        <w:rPr>
          <w:rFonts w:ascii="黑体" w:hAnsi="黑体" w:eastAsia="黑体"/>
          <w:b/>
          <w:bCs w:val="0"/>
          <w:sz w:val="32"/>
          <w:szCs w:val="32"/>
        </w:rPr>
      </w:pPr>
      <w:r>
        <w:rPr>
          <w:rFonts w:hint="eastAsia" w:ascii="黑体" w:hAnsi="黑体" w:eastAsia="黑体"/>
          <w:b/>
          <w:bCs w:val="0"/>
          <w:sz w:val="32"/>
          <w:szCs w:val="32"/>
        </w:rPr>
        <w:t>第二节</w:t>
      </w:r>
      <w:r>
        <w:rPr>
          <w:rFonts w:ascii="黑体" w:hAnsi="黑体" w:eastAsia="黑体"/>
          <w:b/>
          <w:bCs w:val="0"/>
          <w:sz w:val="32"/>
          <w:szCs w:val="32"/>
        </w:rPr>
        <w:t xml:space="preserve"> </w:t>
      </w:r>
      <w:r>
        <w:rPr>
          <w:rFonts w:hint="eastAsia" w:ascii="黑体" w:hAnsi="黑体" w:eastAsia="黑体"/>
          <w:b/>
          <w:bCs w:val="0"/>
          <w:sz w:val="32"/>
          <w:szCs w:val="32"/>
        </w:rPr>
        <w:t>申报类型</w:t>
      </w:r>
    </w:p>
    <w:p w14:paraId="23D5CF64">
      <w:pPr>
        <w:numPr>
          <w:ilvl w:val="0"/>
          <w:numId w:val="0"/>
        </w:numPr>
        <w:tabs>
          <w:tab w:val="left" w:pos="2127"/>
        </w:tabs>
        <w:adjustRightInd w:val="0"/>
        <w:snapToGrid w:val="0"/>
        <w:spacing w:line="560" w:lineRule="exact"/>
        <w:ind w:left="0" w:leftChars="0" w:firstLine="602" w:firstLineChars="200"/>
        <w:rPr>
          <w:rFonts w:hint="eastAsia" w:ascii="仿宋_GB2312" w:hAnsi="宋体" w:eastAsia="仿宋_GB2312"/>
          <w:sz w:val="32"/>
          <w:szCs w:val="32"/>
        </w:rPr>
      </w:pPr>
      <w:r>
        <w:rPr>
          <w:rFonts w:hint="eastAsia" w:ascii="仿宋_GB2312" w:hAnsi="宋体" w:eastAsia="仿宋_GB2312" w:cs="Times New Roman"/>
          <w:b/>
          <w:kern w:val="2"/>
          <w:sz w:val="30"/>
          <w:szCs w:val="30"/>
          <w:lang w:val="en-US" w:eastAsia="zh-CN" w:bidi="ar-SA"/>
        </w:rPr>
        <w:t xml:space="preserve">第二十八条 </w:t>
      </w:r>
      <w:r>
        <w:rPr>
          <w:rFonts w:hint="eastAsia" w:ascii="仿宋_GB2312" w:hAnsi="宋体" w:eastAsia="仿宋_GB2312"/>
          <w:sz w:val="32"/>
          <w:szCs w:val="32"/>
        </w:rPr>
        <w:t>股票质押回购的申报类型包括初始交易申报、购回交易申报、补充质押申报、部分解除质押申报、终止购回申报、违约处置申报。</w:t>
      </w:r>
    </w:p>
    <w:p w14:paraId="5C81E6EC">
      <w:pPr>
        <w:numPr>
          <w:ilvl w:val="0"/>
          <w:numId w:val="0"/>
        </w:numPr>
        <w:tabs>
          <w:tab w:val="left" w:pos="2127"/>
        </w:tabs>
        <w:adjustRightInd w:val="0"/>
        <w:snapToGrid w:val="0"/>
        <w:spacing w:line="560" w:lineRule="exact"/>
        <w:ind w:left="0" w:leftChars="0" w:firstLine="602" w:firstLineChars="200"/>
        <w:rPr>
          <w:rFonts w:hint="eastAsia" w:ascii="仿宋_GB2312" w:hAnsi="宋体" w:eastAsia="仿宋_GB2312"/>
          <w:sz w:val="32"/>
          <w:szCs w:val="32"/>
        </w:rPr>
      </w:pPr>
      <w:r>
        <w:rPr>
          <w:rFonts w:hint="eastAsia" w:ascii="仿宋_GB2312" w:hAnsi="宋体" w:eastAsia="仿宋_GB2312" w:cs="Times New Roman"/>
          <w:b/>
          <w:kern w:val="2"/>
          <w:sz w:val="30"/>
          <w:szCs w:val="30"/>
          <w:lang w:val="en-US" w:eastAsia="zh-CN" w:bidi="ar-SA"/>
        </w:rPr>
        <w:t xml:space="preserve">第二十九条 </w:t>
      </w:r>
      <w:r>
        <w:rPr>
          <w:rFonts w:hint="eastAsia" w:ascii="仿宋_GB2312" w:hAnsi="宋体" w:eastAsia="仿宋_GB2312"/>
          <w:sz w:val="32"/>
          <w:szCs w:val="32"/>
        </w:rPr>
        <w:t>初始交易申报是指融入方按约定将所持标的证券质押，向融出方融入资金的交易申报。</w:t>
      </w:r>
    </w:p>
    <w:p w14:paraId="7E84E364">
      <w:pPr>
        <w:tabs>
          <w:tab w:val="left" w:pos="2127"/>
        </w:tabs>
        <w:adjustRightInd w:val="0"/>
        <w:snapToGrid w:val="0"/>
        <w:spacing w:line="560" w:lineRule="exact"/>
        <w:ind w:firstLine="604" w:firstLineChars="189"/>
        <w:rPr>
          <w:rFonts w:ascii="仿宋_GB2312" w:eastAsia="仿宋_GB2312"/>
          <w:sz w:val="32"/>
          <w:szCs w:val="32"/>
        </w:rPr>
      </w:pPr>
      <w:r>
        <w:rPr>
          <w:rFonts w:hint="eastAsia" w:ascii="仿宋_GB2312" w:eastAsia="仿宋_GB2312"/>
          <w:sz w:val="32"/>
          <w:szCs w:val="32"/>
        </w:rPr>
        <w:t>初始交易的标的证券为上交所上市的</w:t>
      </w:r>
      <w:r>
        <w:rPr>
          <w:rFonts w:eastAsia="仿宋_GB2312"/>
          <w:sz w:val="32"/>
          <w:szCs w:val="32"/>
        </w:rPr>
        <w:t>A</w:t>
      </w:r>
      <w:r>
        <w:rPr>
          <w:rFonts w:hint="eastAsia" w:ascii="仿宋_GB2312" w:eastAsia="仿宋_GB2312"/>
          <w:sz w:val="32"/>
          <w:szCs w:val="32"/>
        </w:rPr>
        <w:t>股股票或其他经上交所和中国结算认可的证券。</w:t>
      </w:r>
    </w:p>
    <w:p w14:paraId="4B14769A">
      <w:pPr>
        <w:numPr>
          <w:ilvl w:val="0"/>
          <w:numId w:val="0"/>
        </w:numPr>
        <w:tabs>
          <w:tab w:val="left" w:pos="2127"/>
        </w:tabs>
        <w:adjustRightInd w:val="0"/>
        <w:snapToGrid w:val="0"/>
        <w:spacing w:line="560" w:lineRule="exact"/>
        <w:ind w:left="0" w:leftChars="0" w:firstLine="602" w:firstLineChars="200"/>
        <w:rPr>
          <w:rFonts w:hint="eastAsia" w:ascii="仿宋_GB2312" w:hAnsi="宋体" w:eastAsia="仿宋_GB2312"/>
          <w:sz w:val="32"/>
          <w:szCs w:val="32"/>
        </w:rPr>
      </w:pPr>
      <w:r>
        <w:rPr>
          <w:rFonts w:hint="eastAsia" w:ascii="仿宋_GB2312" w:hAnsi="宋体" w:eastAsia="仿宋_GB2312" w:cs="Times New Roman"/>
          <w:b/>
          <w:kern w:val="2"/>
          <w:sz w:val="30"/>
          <w:szCs w:val="30"/>
          <w:lang w:val="en-US" w:eastAsia="zh-CN" w:bidi="ar-SA"/>
        </w:rPr>
        <w:t xml:space="preserve">第三十条 </w:t>
      </w:r>
      <w:r>
        <w:rPr>
          <w:rFonts w:hint="eastAsia" w:ascii="仿宋_GB2312" w:hAnsi="宋体" w:eastAsia="仿宋_GB2312"/>
          <w:sz w:val="32"/>
          <w:szCs w:val="32"/>
        </w:rPr>
        <w:t>购回交易申报是指融入方按约定返还资金、解除标的证券及相应孳息质押登记的交易申报，包括到期购回申报、提前购回申报和延期购回申报。</w:t>
      </w:r>
    </w:p>
    <w:p w14:paraId="6B16D4C6">
      <w:pPr>
        <w:tabs>
          <w:tab w:val="left" w:pos="2127"/>
        </w:tabs>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《业务协议》应当约定提前购回和延期购回的条件，以及上述情形下购回交易金额的调整方式。</w:t>
      </w:r>
    </w:p>
    <w:p w14:paraId="65EDA02C">
      <w:pPr>
        <w:tabs>
          <w:tab w:val="left" w:pos="2127"/>
        </w:tabs>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延期购回后累计的回购期限一般不超过</w:t>
      </w:r>
      <w:r>
        <w:rPr>
          <w:rFonts w:hint="eastAsia" w:eastAsia="仿宋_GB2312"/>
          <w:sz w:val="32"/>
          <w:szCs w:val="32"/>
        </w:rPr>
        <w:t>3</w:t>
      </w:r>
      <w:r>
        <w:rPr>
          <w:rFonts w:hint="eastAsia" w:ascii="仿宋_GB2312" w:hAnsi="宋体" w:eastAsia="仿宋_GB2312"/>
          <w:sz w:val="32"/>
          <w:szCs w:val="32"/>
        </w:rPr>
        <w:t>年。</w:t>
      </w:r>
    </w:p>
    <w:p w14:paraId="682695B8">
      <w:pPr>
        <w:numPr>
          <w:ilvl w:val="0"/>
          <w:numId w:val="0"/>
        </w:numPr>
        <w:tabs>
          <w:tab w:val="left" w:pos="2127"/>
        </w:tabs>
        <w:adjustRightInd w:val="0"/>
        <w:snapToGrid w:val="0"/>
        <w:spacing w:line="560" w:lineRule="exact"/>
        <w:ind w:left="0" w:leftChars="0" w:firstLine="602" w:firstLineChars="200"/>
        <w:rPr>
          <w:rFonts w:hint="eastAsia" w:ascii="仿宋_GB2312" w:hAnsi="宋体" w:eastAsia="仿宋_GB2312"/>
          <w:sz w:val="32"/>
          <w:szCs w:val="32"/>
        </w:rPr>
      </w:pPr>
      <w:r>
        <w:rPr>
          <w:rFonts w:hint="eastAsia" w:ascii="仿宋_GB2312" w:hAnsi="宋体" w:eastAsia="仿宋_GB2312" w:cs="Times New Roman"/>
          <w:b/>
          <w:kern w:val="2"/>
          <w:sz w:val="30"/>
          <w:szCs w:val="30"/>
          <w:lang w:val="en-US" w:eastAsia="zh-CN" w:bidi="ar-SA"/>
        </w:rPr>
        <w:t xml:space="preserve">第三十一条 </w:t>
      </w:r>
      <w:r>
        <w:rPr>
          <w:rFonts w:hint="eastAsia" w:ascii="仿宋_GB2312" w:hAnsi="宋体" w:eastAsia="仿宋_GB2312"/>
          <w:sz w:val="32"/>
          <w:szCs w:val="32"/>
        </w:rPr>
        <w:t>补充质押申报是指融入方按约定补充提交标的证券进行质押登记的交易申报。</w:t>
      </w:r>
    </w:p>
    <w:p w14:paraId="2B4A969A">
      <w:pPr>
        <w:tabs>
          <w:tab w:val="left" w:pos="2127"/>
        </w:tabs>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补充质押的标的证券为上交所上市的</w:t>
      </w:r>
      <w:r>
        <w:rPr>
          <w:rFonts w:hint="eastAsia" w:eastAsia="仿宋_GB2312"/>
          <w:sz w:val="32"/>
          <w:szCs w:val="32"/>
        </w:rPr>
        <w:t>A</w:t>
      </w:r>
      <w:r>
        <w:rPr>
          <w:rFonts w:hint="eastAsia" w:ascii="仿宋_GB2312" w:hAnsi="宋体" w:eastAsia="仿宋_GB2312"/>
          <w:sz w:val="32"/>
          <w:szCs w:val="32"/>
        </w:rPr>
        <w:t>股股票、债券、基金或其他经上交所和中国结算认可的证券。</w:t>
      </w:r>
    </w:p>
    <w:p w14:paraId="678054DB">
      <w:pPr>
        <w:numPr>
          <w:ilvl w:val="0"/>
          <w:numId w:val="0"/>
        </w:numPr>
        <w:tabs>
          <w:tab w:val="left" w:pos="2127"/>
        </w:tabs>
        <w:adjustRightInd w:val="0"/>
        <w:snapToGrid w:val="0"/>
        <w:spacing w:line="560" w:lineRule="exact"/>
        <w:ind w:left="0" w:leftChars="0" w:firstLine="602" w:firstLineChars="200"/>
        <w:rPr>
          <w:rFonts w:hint="eastAsia" w:ascii="仿宋_GB2312" w:hAnsi="宋体" w:eastAsia="仿宋_GB2312"/>
          <w:sz w:val="32"/>
          <w:szCs w:val="32"/>
        </w:rPr>
      </w:pPr>
      <w:r>
        <w:rPr>
          <w:rFonts w:hint="eastAsia" w:ascii="仿宋_GB2312" w:hAnsi="宋体" w:eastAsia="仿宋_GB2312" w:cs="Times New Roman"/>
          <w:b/>
          <w:kern w:val="2"/>
          <w:sz w:val="30"/>
          <w:szCs w:val="30"/>
          <w:lang w:val="en-US" w:eastAsia="zh-CN" w:bidi="ar-SA"/>
        </w:rPr>
        <w:t xml:space="preserve">第三十二条 </w:t>
      </w:r>
      <w:r>
        <w:rPr>
          <w:rFonts w:hint="eastAsia" w:ascii="仿宋_GB2312" w:hAnsi="宋体" w:eastAsia="仿宋_GB2312"/>
          <w:sz w:val="32"/>
          <w:szCs w:val="32"/>
        </w:rPr>
        <w:t>部分解除质押申报是指融出方解除部分标的证券或其孳息质押登记的交易申报。</w:t>
      </w:r>
    </w:p>
    <w:p w14:paraId="41443744">
      <w:pPr>
        <w:numPr>
          <w:ilvl w:val="0"/>
          <w:numId w:val="0"/>
        </w:numPr>
        <w:tabs>
          <w:tab w:val="left" w:pos="2127"/>
        </w:tabs>
        <w:adjustRightInd w:val="0"/>
        <w:snapToGrid w:val="0"/>
        <w:spacing w:line="560" w:lineRule="exact"/>
        <w:ind w:left="0" w:leftChars="0" w:firstLine="602" w:firstLineChars="200"/>
        <w:rPr>
          <w:rFonts w:hint="eastAsia" w:ascii="仿宋_GB2312" w:hAnsi="宋体" w:eastAsia="仿宋_GB2312"/>
          <w:sz w:val="32"/>
          <w:szCs w:val="32"/>
        </w:rPr>
      </w:pPr>
      <w:r>
        <w:rPr>
          <w:rFonts w:hint="eastAsia" w:ascii="仿宋_GB2312" w:hAnsi="宋体" w:eastAsia="仿宋_GB2312" w:cs="Times New Roman"/>
          <w:b/>
          <w:kern w:val="2"/>
          <w:sz w:val="30"/>
          <w:szCs w:val="30"/>
          <w:lang w:val="en-US" w:eastAsia="zh-CN" w:bidi="ar-SA"/>
        </w:rPr>
        <w:t xml:space="preserve">第三十三条 </w:t>
      </w:r>
      <w:r>
        <w:rPr>
          <w:rFonts w:hint="eastAsia" w:ascii="仿宋_GB2312" w:hAnsi="宋体" w:eastAsia="仿宋_GB2312"/>
          <w:sz w:val="32"/>
          <w:szCs w:val="32"/>
        </w:rPr>
        <w:t>违约处置申报是指发生约定情形需处置质押标的证券的，证券公司应当按照《业务协议》的约定向上交所提交违约处置申报，该笔交易进入违约处置程序。</w:t>
      </w:r>
    </w:p>
    <w:p w14:paraId="71090025">
      <w:pPr>
        <w:numPr>
          <w:ilvl w:val="0"/>
          <w:numId w:val="0"/>
        </w:numPr>
        <w:tabs>
          <w:tab w:val="left" w:pos="2127"/>
        </w:tabs>
        <w:adjustRightInd w:val="0"/>
        <w:snapToGrid w:val="0"/>
        <w:spacing w:line="560" w:lineRule="exact"/>
        <w:ind w:left="0" w:leftChars="0" w:firstLine="602" w:firstLineChars="200"/>
        <w:rPr>
          <w:rFonts w:hint="eastAsia" w:ascii="仿宋_GB2312" w:hAnsi="宋体" w:eastAsia="仿宋_GB2312"/>
          <w:sz w:val="32"/>
          <w:szCs w:val="32"/>
        </w:rPr>
      </w:pPr>
      <w:r>
        <w:rPr>
          <w:rFonts w:hint="eastAsia" w:ascii="仿宋_GB2312" w:hAnsi="宋体" w:eastAsia="仿宋_GB2312" w:cs="Times New Roman"/>
          <w:b/>
          <w:kern w:val="2"/>
          <w:sz w:val="30"/>
          <w:szCs w:val="30"/>
          <w:lang w:val="en-US" w:eastAsia="zh-CN" w:bidi="ar-SA"/>
        </w:rPr>
        <w:t xml:space="preserve">第三十四条 </w:t>
      </w:r>
      <w:r>
        <w:rPr>
          <w:rFonts w:hint="eastAsia" w:ascii="仿宋_GB2312" w:hAnsi="宋体" w:eastAsia="仿宋_GB2312"/>
          <w:sz w:val="32"/>
          <w:szCs w:val="32"/>
        </w:rPr>
        <w:t>终止购回申报是指不再进行购回交易时，融出方按约定解除标的证券及相应孳息质押登记的交易申报。</w:t>
      </w:r>
    </w:p>
    <w:p w14:paraId="0157807C">
      <w:pPr>
        <w:adjustRightInd w:val="0"/>
        <w:snapToGrid w:val="0"/>
        <w:spacing w:line="560" w:lineRule="exact"/>
        <w:jc w:val="center"/>
        <w:rPr>
          <w:rFonts w:ascii="黑体" w:hAnsi="黑体" w:eastAsia="黑体"/>
          <w:bCs/>
          <w:sz w:val="32"/>
          <w:szCs w:val="32"/>
        </w:rPr>
      </w:pPr>
      <w:r>
        <w:rPr>
          <w:rFonts w:hint="eastAsia" w:ascii="黑体" w:hAnsi="黑体" w:eastAsia="黑体"/>
          <w:b/>
          <w:bCs w:val="0"/>
          <w:sz w:val="32"/>
          <w:szCs w:val="32"/>
        </w:rPr>
        <w:t>第三节</w:t>
      </w:r>
      <w:r>
        <w:rPr>
          <w:rFonts w:ascii="黑体" w:hAnsi="黑体" w:eastAsia="黑体"/>
          <w:b/>
          <w:bCs w:val="0"/>
          <w:sz w:val="32"/>
          <w:szCs w:val="32"/>
        </w:rPr>
        <w:t xml:space="preserve"> </w:t>
      </w:r>
      <w:r>
        <w:rPr>
          <w:rFonts w:hint="eastAsia" w:ascii="黑体" w:hAnsi="黑体" w:eastAsia="黑体"/>
          <w:b/>
          <w:bCs w:val="0"/>
          <w:sz w:val="32"/>
          <w:szCs w:val="32"/>
        </w:rPr>
        <w:t>委托、申报与成交确认</w:t>
      </w:r>
    </w:p>
    <w:p w14:paraId="14E8BE09">
      <w:pPr>
        <w:numPr>
          <w:ilvl w:val="0"/>
          <w:numId w:val="0"/>
        </w:numPr>
        <w:tabs>
          <w:tab w:val="left" w:pos="2127"/>
        </w:tabs>
        <w:adjustRightInd w:val="0"/>
        <w:snapToGrid w:val="0"/>
        <w:spacing w:line="560" w:lineRule="exact"/>
        <w:ind w:left="0" w:leftChars="0" w:firstLine="602" w:firstLineChars="200"/>
        <w:rPr>
          <w:rFonts w:hint="eastAsia" w:ascii="仿宋_GB2312" w:hAnsi="宋体" w:eastAsia="仿宋_GB2312"/>
          <w:sz w:val="32"/>
          <w:szCs w:val="32"/>
        </w:rPr>
      </w:pPr>
      <w:r>
        <w:rPr>
          <w:rFonts w:hint="eastAsia" w:ascii="仿宋_GB2312" w:hAnsi="宋体" w:eastAsia="仿宋_GB2312" w:cs="Times New Roman"/>
          <w:b/>
          <w:kern w:val="2"/>
          <w:sz w:val="30"/>
          <w:szCs w:val="30"/>
          <w:lang w:val="en-US" w:eastAsia="zh-CN" w:bidi="ar-SA"/>
        </w:rPr>
        <w:t xml:space="preserve">第三十五条 </w:t>
      </w:r>
      <w:r>
        <w:rPr>
          <w:rFonts w:hint="eastAsia" w:ascii="仿宋_GB2312" w:hAnsi="宋体" w:eastAsia="仿宋_GB2312"/>
          <w:sz w:val="32"/>
          <w:szCs w:val="32"/>
        </w:rPr>
        <w:t>证券公司根据融入方、融出方的委托向上交所提交交易申报，由上交所交易系统确认成交，并发送成交回报。融入方、融出方应根据同一指定的证券公司向上交所提交交易申报。</w:t>
      </w:r>
    </w:p>
    <w:p w14:paraId="3FCF2075">
      <w:pPr>
        <w:numPr>
          <w:ilvl w:val="0"/>
          <w:numId w:val="0"/>
        </w:numPr>
        <w:tabs>
          <w:tab w:val="left" w:pos="2127"/>
        </w:tabs>
        <w:adjustRightInd w:val="0"/>
        <w:snapToGrid w:val="0"/>
        <w:spacing w:line="560" w:lineRule="exact"/>
        <w:ind w:left="0" w:leftChars="0" w:firstLine="602" w:firstLineChars="200"/>
        <w:rPr>
          <w:rFonts w:hint="eastAsia" w:ascii="仿宋_GB2312" w:hAnsi="宋体" w:eastAsia="仿宋_GB2312"/>
          <w:sz w:val="32"/>
          <w:szCs w:val="32"/>
        </w:rPr>
      </w:pPr>
      <w:r>
        <w:rPr>
          <w:rFonts w:hint="eastAsia" w:ascii="仿宋_GB2312" w:hAnsi="宋体" w:eastAsia="仿宋_GB2312" w:cs="Times New Roman"/>
          <w:b/>
          <w:kern w:val="2"/>
          <w:sz w:val="30"/>
          <w:szCs w:val="30"/>
          <w:lang w:val="en-US" w:eastAsia="zh-CN" w:bidi="ar-SA"/>
        </w:rPr>
        <w:t xml:space="preserve">第三十六条 </w:t>
      </w:r>
      <w:r>
        <w:rPr>
          <w:rFonts w:hint="eastAsia" w:ascii="仿宋_GB2312" w:hAnsi="宋体" w:eastAsia="仿宋_GB2312"/>
          <w:sz w:val="32"/>
          <w:szCs w:val="32"/>
        </w:rPr>
        <w:t>初始交易的申报要素包括：业务类型、合同编号、融入方证券账号及其指定交易单元号、融出方证券账号及其指定交易单元号、初始交易日、购回交易日、标的证券代码、标的证券数量、初始交易金额、预警线、平仓线、融资投向、融资利率等。</w:t>
      </w:r>
    </w:p>
    <w:p w14:paraId="081D0EE6">
      <w:pPr>
        <w:adjustRightInd w:val="0"/>
        <w:snapToGrid w:val="0"/>
        <w:spacing w:line="560" w:lineRule="exact"/>
        <w:ind w:firstLine="640" w:firstLineChars="200"/>
        <w:rPr>
          <w:rFonts w:ascii="仿宋_GB2312" w:eastAsia="仿宋_GB2312"/>
          <w:sz w:val="32"/>
          <w:szCs w:val="32"/>
        </w:rPr>
      </w:pPr>
      <w:r>
        <w:rPr>
          <w:rFonts w:hint="eastAsia" w:ascii="仿宋_GB2312" w:hAnsi="宋体" w:eastAsia="仿宋_GB2312"/>
          <w:sz w:val="32"/>
          <w:szCs w:val="32"/>
        </w:rPr>
        <w:t>成交确认内容包括：成交编号、申报编号、成交日期和时间、初始交易代码、合同编号、融入方证券账号及其指定交易单元号、融出方证券账号及其指定交易单元号、初始交易日、购回交易日、标的证券代码、标的证券数量、初始交易成交金额等</w:t>
      </w:r>
      <w:r>
        <w:rPr>
          <w:rFonts w:hint="eastAsia" w:ascii="仿宋_GB2312" w:eastAsia="仿宋_GB2312"/>
          <w:sz w:val="32"/>
          <w:szCs w:val="32"/>
        </w:rPr>
        <w:t>。</w:t>
      </w:r>
    </w:p>
    <w:p w14:paraId="5DD13604">
      <w:pPr>
        <w:numPr>
          <w:ilvl w:val="0"/>
          <w:numId w:val="0"/>
        </w:numPr>
        <w:tabs>
          <w:tab w:val="left" w:pos="2127"/>
        </w:tabs>
        <w:adjustRightInd w:val="0"/>
        <w:snapToGrid w:val="0"/>
        <w:spacing w:line="560" w:lineRule="exact"/>
        <w:ind w:left="0" w:leftChars="0" w:firstLine="602" w:firstLineChars="200"/>
        <w:rPr>
          <w:rFonts w:hint="eastAsia" w:ascii="仿宋_GB2312" w:hAnsi="宋体" w:eastAsia="仿宋_GB2312"/>
          <w:sz w:val="32"/>
          <w:szCs w:val="32"/>
        </w:rPr>
      </w:pPr>
      <w:r>
        <w:rPr>
          <w:rFonts w:hint="eastAsia" w:ascii="仿宋_GB2312" w:hAnsi="宋体" w:eastAsia="仿宋_GB2312" w:cs="Times New Roman"/>
          <w:b/>
          <w:kern w:val="2"/>
          <w:sz w:val="30"/>
          <w:szCs w:val="30"/>
          <w:lang w:val="en-US" w:eastAsia="zh-CN" w:bidi="ar-SA"/>
        </w:rPr>
        <w:t xml:space="preserve">第三十七条 </w:t>
      </w:r>
      <w:r>
        <w:rPr>
          <w:rFonts w:hint="eastAsia" w:ascii="仿宋_GB2312" w:hAnsi="宋体" w:eastAsia="仿宋_GB2312"/>
          <w:sz w:val="32"/>
          <w:szCs w:val="32"/>
        </w:rPr>
        <w:t>购回交易的申报要素包括：业务类型、合同编号、融入方证券账号及其指定交易单元号、融出方证券账号及其指定交易单元号、初始交易日或是补充质押日、初始交易成交编号或补充质押成交编号、购回交易金额等。</w:t>
      </w:r>
    </w:p>
    <w:p w14:paraId="3E121497">
      <w:pPr>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成交确认内容包括：成交编号、申报编号、成交日期和时间、购回交易代码、合同编号、融入方证券账号及其指定交易单元号、融出方全称、融出方证券账号及其指定交易单元号、初始交易日或是补充质押日、初始交易成交编号或补充质押成交编号、购回交易成交金额等。</w:t>
      </w:r>
    </w:p>
    <w:p w14:paraId="56ACB63A">
      <w:pPr>
        <w:numPr>
          <w:ilvl w:val="0"/>
          <w:numId w:val="0"/>
        </w:numPr>
        <w:tabs>
          <w:tab w:val="left" w:pos="2127"/>
        </w:tabs>
        <w:adjustRightInd w:val="0"/>
        <w:snapToGrid w:val="0"/>
        <w:spacing w:line="560" w:lineRule="exact"/>
        <w:ind w:left="0" w:leftChars="0" w:firstLine="602" w:firstLineChars="200"/>
        <w:rPr>
          <w:rFonts w:hint="eastAsia" w:ascii="仿宋_GB2312" w:hAnsi="宋体" w:eastAsia="仿宋_GB2312"/>
          <w:sz w:val="32"/>
          <w:szCs w:val="32"/>
        </w:rPr>
      </w:pPr>
      <w:r>
        <w:rPr>
          <w:rFonts w:hint="eastAsia" w:ascii="仿宋_GB2312" w:hAnsi="宋体" w:eastAsia="仿宋_GB2312" w:cs="Times New Roman"/>
          <w:b/>
          <w:kern w:val="2"/>
          <w:sz w:val="30"/>
          <w:szCs w:val="30"/>
          <w:lang w:val="en-US" w:eastAsia="zh-CN" w:bidi="ar-SA"/>
        </w:rPr>
        <w:t xml:space="preserve">第三十八条 </w:t>
      </w:r>
      <w:r>
        <w:rPr>
          <w:rFonts w:hint="eastAsia" w:ascii="仿宋_GB2312" w:hAnsi="宋体" w:eastAsia="仿宋_GB2312"/>
          <w:sz w:val="32"/>
          <w:szCs w:val="32"/>
        </w:rPr>
        <w:t>补充质押的申报要素包括：业务类型、合同编号、融入方证券账号及其指定交易单元号、融出方证券账号及其指定交易单元号、初始交易日、初始交易成交编号、标的证券代码、标的证券数量等。</w:t>
      </w:r>
    </w:p>
    <w:p w14:paraId="3AD7B2F3">
      <w:pPr>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成交确认内容包括：成交编号、申报编号、成交日期和时间、补充质押交易代码、合同编号、融入方证券账号及其指定交易单元号、融出方证券账号及其指定交易单元号、初始交易日、初始交易成交编号、标的证券代码、标的证券数量等。</w:t>
      </w:r>
    </w:p>
    <w:p w14:paraId="7FF8F2FC">
      <w:pPr>
        <w:numPr>
          <w:ilvl w:val="0"/>
          <w:numId w:val="0"/>
        </w:numPr>
        <w:tabs>
          <w:tab w:val="left" w:pos="2127"/>
        </w:tabs>
        <w:adjustRightInd w:val="0"/>
        <w:snapToGrid w:val="0"/>
        <w:spacing w:line="560" w:lineRule="exact"/>
        <w:ind w:left="0" w:leftChars="0" w:firstLine="602" w:firstLineChars="200"/>
        <w:rPr>
          <w:rFonts w:hint="eastAsia" w:ascii="仿宋_GB2312" w:hAnsi="宋体" w:eastAsia="仿宋_GB2312"/>
          <w:sz w:val="32"/>
          <w:szCs w:val="32"/>
        </w:rPr>
      </w:pPr>
      <w:r>
        <w:rPr>
          <w:rFonts w:hint="eastAsia" w:ascii="仿宋_GB2312" w:hAnsi="宋体" w:eastAsia="仿宋_GB2312" w:cs="Times New Roman"/>
          <w:b/>
          <w:kern w:val="2"/>
          <w:sz w:val="30"/>
          <w:szCs w:val="30"/>
          <w:lang w:val="en-US" w:eastAsia="zh-CN" w:bidi="ar-SA"/>
        </w:rPr>
        <w:t xml:space="preserve">第三十九条 </w:t>
      </w:r>
      <w:r>
        <w:rPr>
          <w:rFonts w:hint="eastAsia" w:ascii="仿宋_GB2312" w:hAnsi="宋体" w:eastAsia="仿宋_GB2312"/>
          <w:sz w:val="32"/>
          <w:szCs w:val="32"/>
        </w:rPr>
        <w:t>部分解除质押的申报要素包括：业务类型、合同编号、融入方证券账号及其指定交易单元号、融出方证券账号及其指定交易单元号、初始交易日或是补充质押日、初始交易成交编号或补充质押成交编号、标的证券代码、标的证券数量等。</w:t>
      </w:r>
    </w:p>
    <w:p w14:paraId="0C8E9E2B">
      <w:pPr>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成交确认内容包括：成交编号、申报编号、成交日期和时间、补充质押交易代码、合同编号、融入方证券账号及其指定交易单元号、融出方证券账号及其指定交易单元号、初始交易日或是补充质押日、初始交易成交编号或补充质押成交编号、标的证券代码、标的证券数量等。</w:t>
      </w:r>
    </w:p>
    <w:p w14:paraId="56568B65">
      <w:pPr>
        <w:numPr>
          <w:ilvl w:val="0"/>
          <w:numId w:val="0"/>
        </w:numPr>
        <w:tabs>
          <w:tab w:val="left" w:pos="2127"/>
        </w:tabs>
        <w:adjustRightInd w:val="0"/>
        <w:snapToGrid w:val="0"/>
        <w:spacing w:line="560" w:lineRule="exact"/>
        <w:ind w:left="0" w:leftChars="0" w:firstLine="602" w:firstLineChars="200"/>
        <w:rPr>
          <w:rFonts w:hint="eastAsia" w:ascii="仿宋_GB2312" w:hAnsi="宋体" w:eastAsia="仿宋_GB2312"/>
          <w:sz w:val="32"/>
          <w:szCs w:val="32"/>
        </w:rPr>
      </w:pPr>
      <w:r>
        <w:rPr>
          <w:rFonts w:hint="eastAsia" w:ascii="仿宋_GB2312" w:hAnsi="宋体" w:eastAsia="仿宋_GB2312" w:cs="Times New Roman"/>
          <w:b/>
          <w:kern w:val="2"/>
          <w:sz w:val="30"/>
          <w:szCs w:val="30"/>
          <w:lang w:val="en-US" w:eastAsia="zh-CN" w:bidi="ar-SA"/>
        </w:rPr>
        <w:t xml:space="preserve">第四十条 </w:t>
      </w:r>
      <w:r>
        <w:rPr>
          <w:rFonts w:hint="eastAsia" w:ascii="仿宋_GB2312" w:hAnsi="宋体" w:eastAsia="仿宋_GB2312"/>
          <w:sz w:val="32"/>
          <w:szCs w:val="32"/>
        </w:rPr>
        <w:t>违约处置的申报要素包括：业务类型、合同编号、融入方证券账号及其指定交易单元号、融出方证券账号及其指定交易单元号、初始交易日或是补充质押日、初始交易成交编号或补充质押成交编号、标的证券代码、标的证券数量等。</w:t>
      </w:r>
    </w:p>
    <w:p w14:paraId="512E8F3C">
      <w:pPr>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成交确认内容包括：成交编号、申报编号、成交日期和时间、违约处置交易代码、合同编号、融入方证券账号及其指定交易单元号、融出方证券账号及其指定交易单元号、初始交易日或是补充质押日、初始交易成交编号或补充质押成交编号、标的证券代码、标的证券数量等。</w:t>
      </w:r>
    </w:p>
    <w:p w14:paraId="0239E012">
      <w:pPr>
        <w:numPr>
          <w:ilvl w:val="0"/>
          <w:numId w:val="0"/>
        </w:numPr>
        <w:tabs>
          <w:tab w:val="left" w:pos="2127"/>
        </w:tabs>
        <w:adjustRightInd w:val="0"/>
        <w:snapToGrid w:val="0"/>
        <w:spacing w:line="560" w:lineRule="exact"/>
        <w:ind w:left="0" w:leftChars="0" w:firstLine="602" w:firstLineChars="200"/>
        <w:rPr>
          <w:rFonts w:hint="eastAsia" w:ascii="仿宋_GB2312" w:hAnsi="宋体" w:eastAsia="仿宋_GB2312"/>
          <w:sz w:val="32"/>
          <w:szCs w:val="32"/>
        </w:rPr>
      </w:pPr>
      <w:r>
        <w:rPr>
          <w:rFonts w:hint="eastAsia" w:ascii="仿宋_GB2312" w:hAnsi="宋体" w:eastAsia="仿宋_GB2312" w:cs="Times New Roman"/>
          <w:b/>
          <w:kern w:val="2"/>
          <w:sz w:val="30"/>
          <w:szCs w:val="30"/>
          <w:lang w:val="en-US" w:eastAsia="zh-CN" w:bidi="ar-SA"/>
        </w:rPr>
        <w:t xml:space="preserve">第四十一条 </w:t>
      </w:r>
      <w:r>
        <w:rPr>
          <w:rFonts w:hint="eastAsia" w:ascii="仿宋_GB2312" w:hAnsi="宋体" w:eastAsia="仿宋_GB2312"/>
          <w:sz w:val="32"/>
          <w:szCs w:val="32"/>
        </w:rPr>
        <w:t>终止购回的申报要素包括：业务类型、合同编号、融入方证券账号及其指定交易单元号、融出方证券账号及其指定交易单元号、初始交易日或是补充质押日、初始交易成交编号或补充质押成交编号等。</w:t>
      </w:r>
    </w:p>
    <w:p w14:paraId="0155BBE7">
      <w:pPr>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成交确认内容包括：成交编号、申报编号、成交日期和时间、终止购回交易代码、合同编号、融入方证券账号及其指定交易单元号、融出方证券账号及其指定交易单元号、初始交易日或是补充质押日、初始交易成交编号或补充质押成交编号等。</w:t>
      </w:r>
    </w:p>
    <w:p w14:paraId="5F3839C5">
      <w:pPr>
        <w:numPr>
          <w:ilvl w:val="0"/>
          <w:numId w:val="0"/>
        </w:numPr>
        <w:tabs>
          <w:tab w:val="left" w:pos="2127"/>
        </w:tabs>
        <w:adjustRightInd w:val="0"/>
        <w:snapToGrid w:val="0"/>
        <w:spacing w:line="560" w:lineRule="exact"/>
        <w:ind w:left="0" w:leftChars="0" w:firstLine="602" w:firstLineChars="200"/>
        <w:rPr>
          <w:rFonts w:hint="eastAsia" w:ascii="仿宋_GB2312" w:hAnsi="宋体" w:eastAsia="仿宋_GB2312"/>
          <w:sz w:val="32"/>
          <w:szCs w:val="32"/>
        </w:rPr>
      </w:pPr>
      <w:r>
        <w:rPr>
          <w:rFonts w:hint="eastAsia" w:ascii="仿宋_GB2312" w:hAnsi="宋体" w:eastAsia="仿宋_GB2312" w:cs="Times New Roman"/>
          <w:b/>
          <w:kern w:val="2"/>
          <w:sz w:val="30"/>
          <w:szCs w:val="30"/>
          <w:lang w:val="en-US" w:eastAsia="zh-CN" w:bidi="ar-SA"/>
        </w:rPr>
        <w:t xml:space="preserve">第四十二条 </w:t>
      </w:r>
      <w:r>
        <w:rPr>
          <w:rFonts w:hint="eastAsia" w:ascii="仿宋_GB2312" w:hAnsi="宋体" w:eastAsia="仿宋_GB2312"/>
          <w:sz w:val="32"/>
          <w:szCs w:val="32"/>
        </w:rPr>
        <w:t>标的证券停牌的，不影响股票质押回购交易。</w:t>
      </w:r>
    </w:p>
    <w:p w14:paraId="0B0D2D23">
      <w:pPr>
        <w:adjustRightInd w:val="0"/>
        <w:snapToGrid w:val="0"/>
        <w:spacing w:line="560" w:lineRule="exact"/>
        <w:jc w:val="center"/>
        <w:rPr>
          <w:rFonts w:ascii="黑体" w:hAnsi="黑体" w:eastAsia="黑体"/>
          <w:b/>
          <w:bCs w:val="0"/>
          <w:sz w:val="32"/>
          <w:szCs w:val="32"/>
        </w:rPr>
      </w:pPr>
      <w:r>
        <w:rPr>
          <w:rFonts w:hint="eastAsia" w:ascii="黑体" w:hAnsi="黑体" w:eastAsia="黑体"/>
          <w:b/>
          <w:bCs w:val="0"/>
          <w:sz w:val="32"/>
          <w:szCs w:val="32"/>
        </w:rPr>
        <w:t>第六章</w:t>
      </w:r>
      <w:r>
        <w:rPr>
          <w:rFonts w:ascii="黑体" w:hAnsi="黑体" w:eastAsia="黑体"/>
          <w:b/>
          <w:bCs w:val="0"/>
          <w:sz w:val="32"/>
          <w:szCs w:val="32"/>
        </w:rPr>
        <w:t xml:space="preserve"> </w:t>
      </w:r>
      <w:r>
        <w:rPr>
          <w:rFonts w:hint="eastAsia" w:ascii="黑体" w:hAnsi="黑体" w:eastAsia="黑体"/>
          <w:b/>
          <w:bCs w:val="0"/>
          <w:sz w:val="32"/>
          <w:szCs w:val="32"/>
        </w:rPr>
        <w:t>清算交收及质押登记</w:t>
      </w:r>
    </w:p>
    <w:p w14:paraId="138940C7">
      <w:pPr>
        <w:adjustRightInd w:val="0"/>
        <w:snapToGrid w:val="0"/>
        <w:spacing w:line="560" w:lineRule="exact"/>
        <w:jc w:val="center"/>
        <w:rPr>
          <w:rFonts w:ascii="黑体" w:hAnsi="黑体" w:eastAsia="黑体"/>
          <w:bCs/>
          <w:sz w:val="32"/>
          <w:szCs w:val="32"/>
        </w:rPr>
      </w:pPr>
      <w:r>
        <w:rPr>
          <w:rFonts w:hint="eastAsia" w:ascii="黑体" w:hAnsi="黑体" w:eastAsia="黑体"/>
          <w:b/>
          <w:bCs w:val="0"/>
          <w:sz w:val="32"/>
          <w:szCs w:val="32"/>
        </w:rPr>
        <w:t>第一节</w:t>
      </w:r>
      <w:r>
        <w:rPr>
          <w:rFonts w:ascii="黑体" w:hAnsi="黑体" w:eastAsia="黑体"/>
          <w:b/>
          <w:bCs w:val="0"/>
          <w:sz w:val="32"/>
          <w:szCs w:val="32"/>
        </w:rPr>
        <w:t xml:space="preserve"> </w:t>
      </w:r>
      <w:r>
        <w:rPr>
          <w:rFonts w:hint="eastAsia" w:ascii="黑体" w:hAnsi="黑体" w:eastAsia="黑体"/>
          <w:b/>
          <w:bCs w:val="0"/>
          <w:sz w:val="32"/>
          <w:szCs w:val="32"/>
        </w:rPr>
        <w:t>清算与交收</w:t>
      </w:r>
    </w:p>
    <w:p w14:paraId="1386DA74">
      <w:pPr>
        <w:numPr>
          <w:ilvl w:val="0"/>
          <w:numId w:val="0"/>
        </w:numPr>
        <w:tabs>
          <w:tab w:val="left" w:pos="2127"/>
        </w:tabs>
        <w:adjustRightInd w:val="0"/>
        <w:snapToGrid w:val="0"/>
        <w:spacing w:line="560" w:lineRule="exact"/>
        <w:ind w:left="0" w:leftChars="0" w:firstLine="602" w:firstLineChars="200"/>
        <w:rPr>
          <w:rFonts w:hint="eastAsia" w:ascii="仿宋_GB2312" w:hAnsi="宋体" w:eastAsia="仿宋_GB2312"/>
          <w:sz w:val="32"/>
          <w:szCs w:val="32"/>
        </w:rPr>
      </w:pPr>
      <w:r>
        <w:rPr>
          <w:rFonts w:hint="eastAsia" w:ascii="仿宋_GB2312" w:hAnsi="宋体" w:eastAsia="仿宋_GB2312" w:cs="Times New Roman"/>
          <w:b/>
          <w:kern w:val="2"/>
          <w:sz w:val="30"/>
          <w:szCs w:val="30"/>
          <w:lang w:val="en-US" w:eastAsia="zh-CN" w:bidi="ar-SA"/>
        </w:rPr>
        <w:t xml:space="preserve">第四十三条 </w:t>
      </w:r>
      <w:r>
        <w:rPr>
          <w:rFonts w:hint="eastAsia" w:ascii="仿宋_GB2312" w:hAnsi="宋体" w:eastAsia="仿宋_GB2312"/>
          <w:sz w:val="32"/>
          <w:szCs w:val="32"/>
        </w:rPr>
        <w:t>每个交易日日终，中国结算上海分公司根据上交所确认的股票质押回购交易数据，组织交易双方结算参与人的逐笔全额结算，并办理相应证券的质押登记或解除质押登记。</w:t>
      </w:r>
    </w:p>
    <w:p w14:paraId="3777448C">
      <w:pPr>
        <w:tabs>
          <w:tab w:val="left" w:pos="2127"/>
          <w:tab w:val="left" w:pos="2552"/>
        </w:tabs>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证券公司负责证券公司与客户之间的资金结算，托管机构负责托管机构与所托管集合资产管理计划或定向资产管理客户之间的资金结算。</w:t>
      </w:r>
    </w:p>
    <w:p w14:paraId="758D6F5F">
      <w:pPr>
        <w:numPr>
          <w:ilvl w:val="0"/>
          <w:numId w:val="0"/>
        </w:numPr>
        <w:tabs>
          <w:tab w:val="left" w:pos="2127"/>
        </w:tabs>
        <w:adjustRightInd w:val="0"/>
        <w:snapToGrid w:val="0"/>
        <w:spacing w:line="560" w:lineRule="exact"/>
        <w:ind w:left="0" w:leftChars="0" w:firstLine="602" w:firstLineChars="200"/>
        <w:rPr>
          <w:rFonts w:hint="eastAsia" w:ascii="仿宋_GB2312" w:hAnsi="宋体" w:eastAsia="仿宋_GB2312"/>
          <w:sz w:val="32"/>
          <w:szCs w:val="32"/>
        </w:rPr>
      </w:pPr>
      <w:r>
        <w:rPr>
          <w:rFonts w:hint="eastAsia" w:ascii="仿宋_GB2312" w:hAnsi="宋体" w:eastAsia="仿宋_GB2312" w:cs="Times New Roman"/>
          <w:b/>
          <w:kern w:val="2"/>
          <w:sz w:val="30"/>
          <w:szCs w:val="30"/>
          <w:lang w:val="en-US" w:eastAsia="zh-CN" w:bidi="ar-SA"/>
        </w:rPr>
        <w:t xml:space="preserve">第四十四条 </w:t>
      </w:r>
      <w:r>
        <w:rPr>
          <w:rFonts w:hint="eastAsia" w:ascii="仿宋_GB2312" w:hAnsi="宋体" w:eastAsia="仿宋_GB2312"/>
          <w:sz w:val="32"/>
          <w:szCs w:val="32"/>
        </w:rPr>
        <w:t>融出方、融入方使用上海证券账户参与股票质押回购。</w:t>
      </w:r>
    </w:p>
    <w:p w14:paraId="4DF67869">
      <w:pPr>
        <w:numPr>
          <w:ilvl w:val="0"/>
          <w:numId w:val="0"/>
        </w:numPr>
        <w:tabs>
          <w:tab w:val="left" w:pos="2127"/>
        </w:tabs>
        <w:adjustRightInd w:val="0"/>
        <w:snapToGrid w:val="0"/>
        <w:spacing w:line="560" w:lineRule="exact"/>
        <w:ind w:left="0" w:leftChars="0" w:firstLine="602" w:firstLineChars="200"/>
        <w:rPr>
          <w:rFonts w:hint="eastAsia" w:ascii="仿宋_GB2312" w:hAnsi="宋体" w:eastAsia="仿宋_GB2312"/>
          <w:sz w:val="32"/>
          <w:szCs w:val="32"/>
        </w:rPr>
      </w:pPr>
      <w:r>
        <w:rPr>
          <w:rFonts w:hint="eastAsia" w:ascii="仿宋_GB2312" w:hAnsi="宋体" w:eastAsia="仿宋_GB2312" w:cs="Times New Roman"/>
          <w:b/>
          <w:kern w:val="2"/>
          <w:sz w:val="30"/>
          <w:szCs w:val="30"/>
          <w:lang w:val="en-US" w:eastAsia="zh-CN" w:bidi="ar-SA"/>
        </w:rPr>
        <w:t xml:space="preserve">第四十五条 </w:t>
      </w:r>
      <w:r>
        <w:rPr>
          <w:rFonts w:hint="eastAsia" w:ascii="仿宋_GB2312" w:hAnsi="宋体" w:eastAsia="仿宋_GB2312"/>
          <w:sz w:val="32"/>
          <w:szCs w:val="32"/>
        </w:rPr>
        <w:t>中国结算上海分公司通过融入方、融出方结算参与人的非担保资金交收账户办理清算交收业务。</w:t>
      </w:r>
    </w:p>
    <w:p w14:paraId="03763960">
      <w:pPr>
        <w:numPr>
          <w:ilvl w:val="0"/>
          <w:numId w:val="0"/>
        </w:numPr>
        <w:tabs>
          <w:tab w:val="left" w:pos="2127"/>
        </w:tabs>
        <w:adjustRightInd w:val="0"/>
        <w:snapToGrid w:val="0"/>
        <w:spacing w:line="560" w:lineRule="exact"/>
        <w:ind w:left="0" w:leftChars="0" w:firstLine="602" w:firstLineChars="200"/>
        <w:rPr>
          <w:rFonts w:ascii="仿宋_GB2312" w:eastAsia="仿宋_GB2312"/>
          <w:sz w:val="32"/>
          <w:szCs w:val="32"/>
        </w:rPr>
      </w:pPr>
      <w:r>
        <w:rPr>
          <w:rFonts w:hint="eastAsia" w:ascii="仿宋_GB2312" w:hAnsi="Times New Roman" w:eastAsia="仿宋_GB2312" w:cs="Times New Roman"/>
          <w:b/>
          <w:kern w:val="2"/>
          <w:sz w:val="30"/>
          <w:szCs w:val="30"/>
          <w:lang w:val="en-US" w:eastAsia="zh-CN" w:bidi="ar-SA"/>
        </w:rPr>
        <w:t>第四十六</w:t>
      </w:r>
      <w:r>
        <w:rPr>
          <w:rFonts w:hint="eastAsia" w:ascii="仿宋_GB2312" w:eastAsia="仿宋_GB2312" w:cs="Times New Roman"/>
          <w:b/>
          <w:kern w:val="2"/>
          <w:sz w:val="30"/>
          <w:szCs w:val="30"/>
          <w:lang w:val="en-US" w:eastAsia="zh-CN" w:bidi="ar-SA"/>
        </w:rPr>
        <w:t xml:space="preserve">条 </w:t>
      </w:r>
      <w:r>
        <w:rPr>
          <w:rFonts w:hint="eastAsia" w:ascii="仿宋_GB2312" w:hAnsi="宋体" w:eastAsia="仿宋_GB2312"/>
          <w:sz w:val="32"/>
          <w:szCs w:val="32"/>
        </w:rPr>
        <w:t>交易日（以下简称</w:t>
      </w:r>
      <w:r>
        <w:rPr>
          <w:rFonts w:hint="eastAsia" w:eastAsia="仿宋_GB2312"/>
          <w:sz w:val="32"/>
          <w:szCs w:val="32"/>
        </w:rPr>
        <w:t>T</w:t>
      </w:r>
      <w:r>
        <w:rPr>
          <w:rFonts w:hint="eastAsia" w:ascii="仿宋_GB2312" w:hAnsi="宋体" w:eastAsia="仿宋_GB2312"/>
          <w:sz w:val="32"/>
          <w:szCs w:val="32"/>
        </w:rPr>
        <w:t>日）日终，中国结算上海分公司依据上交所确认的成交数据对当日达成的股票质押回购进行逐笔全额清算，计算</w:t>
      </w:r>
      <w:r>
        <w:rPr>
          <w:rFonts w:hint="eastAsia" w:eastAsia="仿宋_GB2312"/>
          <w:sz w:val="32"/>
          <w:szCs w:val="32"/>
        </w:rPr>
        <w:t>T</w:t>
      </w:r>
      <w:r>
        <w:rPr>
          <w:rFonts w:hint="eastAsia" w:ascii="仿宋_GB2312" w:hAnsi="宋体" w:eastAsia="仿宋_GB2312"/>
          <w:sz w:val="32"/>
          <w:szCs w:val="32"/>
        </w:rPr>
        <w:t>日每笔交易的资金应收应付额及证券应质押或解除质押的数量。</w:t>
      </w:r>
    </w:p>
    <w:p w14:paraId="6983DA8F">
      <w:pPr>
        <w:tabs>
          <w:tab w:val="left" w:pos="2127"/>
        </w:tabs>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其中，对于每笔初始交易，融出方初始交易应付金额</w:t>
      </w:r>
      <w:r>
        <w:rPr>
          <w:rFonts w:ascii="仿宋_GB2312" w:eastAsia="仿宋_GB2312"/>
          <w:sz w:val="32"/>
          <w:szCs w:val="32"/>
        </w:rPr>
        <w:t>=</w:t>
      </w:r>
      <w:r>
        <w:rPr>
          <w:rFonts w:hint="eastAsia" w:ascii="仿宋_GB2312" w:eastAsia="仿宋_GB2312"/>
          <w:sz w:val="32"/>
          <w:szCs w:val="32"/>
        </w:rPr>
        <w:t>初始交易成交金额，融入方初始交易应收金额</w:t>
      </w:r>
      <w:r>
        <w:rPr>
          <w:rFonts w:ascii="仿宋_GB2312" w:eastAsia="仿宋_GB2312"/>
          <w:sz w:val="32"/>
          <w:szCs w:val="32"/>
        </w:rPr>
        <w:t>=</w:t>
      </w:r>
      <w:r>
        <w:rPr>
          <w:rFonts w:hint="eastAsia" w:ascii="仿宋_GB2312" w:eastAsia="仿宋_GB2312"/>
          <w:sz w:val="32"/>
          <w:szCs w:val="32"/>
        </w:rPr>
        <w:t>初始交易成交金额</w:t>
      </w:r>
      <w:r>
        <w:rPr>
          <w:rFonts w:ascii="仿宋_GB2312" w:eastAsia="仿宋_GB2312"/>
          <w:sz w:val="32"/>
          <w:szCs w:val="32"/>
        </w:rPr>
        <w:t>-</w:t>
      </w:r>
      <w:r>
        <w:rPr>
          <w:rFonts w:hint="eastAsia" w:ascii="仿宋_GB2312" w:eastAsia="仿宋_GB2312"/>
          <w:sz w:val="32"/>
          <w:szCs w:val="32"/>
        </w:rPr>
        <w:t>相关费用，融入方应质押证券数量＝标的证券成交数量。对于每笔购回交易，融出方应收金额=融入方应付金额=购回交易成交金额，融入方解除质押证券数量=标的证券成交数量。</w:t>
      </w:r>
    </w:p>
    <w:p w14:paraId="0264931E">
      <w:pPr>
        <w:numPr>
          <w:ilvl w:val="0"/>
          <w:numId w:val="0"/>
        </w:numPr>
        <w:tabs>
          <w:tab w:val="left" w:pos="2127"/>
        </w:tabs>
        <w:adjustRightInd w:val="0"/>
        <w:snapToGrid w:val="0"/>
        <w:spacing w:line="560" w:lineRule="exact"/>
        <w:ind w:left="0" w:leftChars="0" w:firstLine="602" w:firstLineChars="200"/>
        <w:rPr>
          <w:rFonts w:hint="eastAsia" w:ascii="仿宋_GB2312" w:hAnsi="宋体" w:eastAsia="仿宋_GB2312"/>
          <w:sz w:val="32"/>
          <w:szCs w:val="32"/>
        </w:rPr>
      </w:pPr>
      <w:r>
        <w:rPr>
          <w:rFonts w:hint="eastAsia" w:ascii="仿宋_GB2312" w:hAnsi="宋体" w:eastAsia="仿宋_GB2312" w:cs="Times New Roman"/>
          <w:b/>
          <w:kern w:val="2"/>
          <w:sz w:val="30"/>
          <w:szCs w:val="30"/>
          <w:lang w:val="en-US" w:eastAsia="zh-CN" w:bidi="ar-SA"/>
        </w:rPr>
        <w:t xml:space="preserve">第四十七条 </w:t>
      </w:r>
      <w:r>
        <w:rPr>
          <w:rFonts w:hint="eastAsia" w:eastAsia="仿宋_GB2312"/>
          <w:sz w:val="32"/>
          <w:szCs w:val="32"/>
        </w:rPr>
        <w:t>T</w:t>
      </w:r>
      <w:r>
        <w:rPr>
          <w:rFonts w:hint="eastAsia" w:ascii="仿宋_GB2312" w:hAnsi="宋体" w:eastAsia="仿宋_GB2312"/>
          <w:sz w:val="32"/>
          <w:szCs w:val="32"/>
        </w:rPr>
        <w:t>日</w:t>
      </w:r>
      <w:r>
        <w:rPr>
          <w:rFonts w:hint="eastAsia" w:eastAsia="仿宋_GB2312"/>
          <w:sz w:val="32"/>
          <w:szCs w:val="32"/>
        </w:rPr>
        <w:t>16</w:t>
      </w:r>
      <w:r>
        <w:rPr>
          <w:rFonts w:hint="eastAsia" w:ascii="仿宋_GB2312" w:hAnsi="宋体" w:eastAsia="仿宋_GB2312"/>
          <w:sz w:val="32"/>
          <w:szCs w:val="32"/>
        </w:rPr>
        <w:t>：</w:t>
      </w:r>
      <w:r>
        <w:rPr>
          <w:rFonts w:hint="eastAsia" w:eastAsia="仿宋_GB2312"/>
          <w:sz w:val="32"/>
          <w:szCs w:val="32"/>
        </w:rPr>
        <w:t>00</w:t>
      </w:r>
      <w:r>
        <w:rPr>
          <w:rFonts w:hint="eastAsia" w:ascii="仿宋_GB2312" w:hAnsi="宋体" w:eastAsia="仿宋_GB2312"/>
          <w:sz w:val="32"/>
          <w:szCs w:val="32"/>
        </w:rPr>
        <w:t>，中国结算上海分公司依据清算结果，按照货银对付原则及成交先后顺序逐笔办理资金交收及证券质押登记或解除质押登记。</w:t>
      </w:r>
    </w:p>
    <w:p w14:paraId="676CA057">
      <w:pPr>
        <w:tabs>
          <w:tab w:val="left" w:pos="2127"/>
          <w:tab w:val="left" w:pos="2552"/>
        </w:tabs>
        <w:adjustRightInd w:val="0"/>
        <w:snapToGrid w:val="0"/>
        <w:spacing w:line="560" w:lineRule="exact"/>
        <w:ind w:firstLine="600"/>
        <w:rPr>
          <w:rFonts w:ascii="仿宋_GB2312" w:eastAsia="仿宋_GB2312"/>
          <w:sz w:val="32"/>
          <w:szCs w:val="32"/>
        </w:rPr>
      </w:pPr>
      <w:r>
        <w:rPr>
          <w:rFonts w:hint="eastAsia" w:ascii="仿宋_GB2312" w:hAnsi="宋体" w:eastAsia="仿宋_GB2312"/>
          <w:sz w:val="32"/>
          <w:szCs w:val="32"/>
        </w:rPr>
        <w:t>对于初始交易，</w:t>
      </w:r>
      <w:r>
        <w:rPr>
          <w:rFonts w:hint="eastAsia" w:ascii="仿宋_GB2312" w:eastAsia="仿宋_GB2312"/>
          <w:sz w:val="32"/>
          <w:szCs w:val="32"/>
        </w:rPr>
        <w:t>若证券公司作为融出方，证券公司须于</w:t>
      </w:r>
      <w:r>
        <w:rPr>
          <w:rFonts w:eastAsia="仿宋_GB2312"/>
          <w:sz w:val="32"/>
          <w:szCs w:val="32"/>
        </w:rPr>
        <w:t>T</w:t>
      </w:r>
      <w:r>
        <w:rPr>
          <w:rFonts w:hint="eastAsia" w:ascii="仿宋_GB2312" w:eastAsia="仿宋_GB2312"/>
          <w:sz w:val="32"/>
          <w:szCs w:val="32"/>
        </w:rPr>
        <w:t>日</w:t>
      </w:r>
      <w:r>
        <w:rPr>
          <w:rFonts w:eastAsia="仿宋_GB2312"/>
          <w:sz w:val="32"/>
          <w:szCs w:val="32"/>
        </w:rPr>
        <w:t>16</w:t>
      </w:r>
      <w:r>
        <w:rPr>
          <w:rFonts w:hint="eastAsia" w:ascii="仿宋_GB2312" w:eastAsia="仿宋_GB2312"/>
          <w:sz w:val="32"/>
          <w:szCs w:val="32"/>
        </w:rPr>
        <w:t>：</w:t>
      </w:r>
      <w:r>
        <w:rPr>
          <w:rFonts w:eastAsia="仿宋_GB2312"/>
          <w:sz w:val="32"/>
          <w:szCs w:val="32"/>
        </w:rPr>
        <w:t>00</w:t>
      </w:r>
      <w:r>
        <w:rPr>
          <w:rFonts w:hint="eastAsia" w:ascii="仿宋_GB2312" w:eastAsia="仿宋_GB2312"/>
          <w:sz w:val="32"/>
          <w:szCs w:val="32"/>
        </w:rPr>
        <w:t>前将相应资金划入自营非担保资金交收账户；若融出方为证券公司或其资产管理子公司管理的集合资产管理计划或定向资产管理客户（托管机构清算模式），其托管机构须于</w:t>
      </w:r>
      <w:r>
        <w:rPr>
          <w:rFonts w:eastAsia="仿宋_GB2312"/>
          <w:sz w:val="32"/>
          <w:szCs w:val="32"/>
        </w:rPr>
        <w:t>T</w:t>
      </w:r>
      <w:r>
        <w:rPr>
          <w:rFonts w:hint="eastAsia" w:ascii="仿宋_GB2312" w:eastAsia="仿宋_GB2312"/>
          <w:sz w:val="32"/>
          <w:szCs w:val="32"/>
        </w:rPr>
        <w:t>日</w:t>
      </w:r>
      <w:r>
        <w:rPr>
          <w:rFonts w:eastAsia="仿宋_GB2312"/>
          <w:sz w:val="32"/>
          <w:szCs w:val="32"/>
        </w:rPr>
        <w:t>16</w:t>
      </w:r>
      <w:r>
        <w:rPr>
          <w:rFonts w:hint="eastAsia" w:ascii="仿宋_GB2312" w:eastAsia="仿宋_GB2312"/>
          <w:sz w:val="32"/>
          <w:szCs w:val="32"/>
        </w:rPr>
        <w:t>：</w:t>
      </w:r>
      <w:r>
        <w:rPr>
          <w:rFonts w:eastAsia="仿宋_GB2312"/>
          <w:sz w:val="32"/>
          <w:szCs w:val="32"/>
        </w:rPr>
        <w:t>00</w:t>
      </w:r>
      <w:r>
        <w:rPr>
          <w:rFonts w:hint="eastAsia" w:ascii="仿宋_GB2312" w:eastAsia="仿宋_GB2312"/>
          <w:sz w:val="32"/>
          <w:szCs w:val="32"/>
        </w:rPr>
        <w:t>前将相应资金划入托管机构的非担保资金交收账户；若融出方为证券公司或其资产管理子公司管理的定向资产管理客户（证券公司清算模式），证券公司须于</w:t>
      </w:r>
      <w:r>
        <w:rPr>
          <w:rFonts w:eastAsia="仿宋_GB2312"/>
          <w:sz w:val="32"/>
          <w:szCs w:val="32"/>
        </w:rPr>
        <w:t>T</w:t>
      </w:r>
      <w:r>
        <w:rPr>
          <w:rFonts w:hint="eastAsia" w:ascii="仿宋_GB2312" w:eastAsia="仿宋_GB2312"/>
          <w:sz w:val="32"/>
          <w:szCs w:val="32"/>
        </w:rPr>
        <w:t>日</w:t>
      </w:r>
      <w:r>
        <w:rPr>
          <w:rFonts w:eastAsia="仿宋_GB2312"/>
          <w:sz w:val="32"/>
          <w:szCs w:val="32"/>
        </w:rPr>
        <w:t>16</w:t>
      </w:r>
      <w:r>
        <w:rPr>
          <w:rFonts w:hint="eastAsia" w:ascii="仿宋_GB2312" w:eastAsia="仿宋_GB2312"/>
          <w:sz w:val="32"/>
          <w:szCs w:val="32"/>
        </w:rPr>
        <w:t>：</w:t>
      </w:r>
      <w:r>
        <w:rPr>
          <w:rFonts w:eastAsia="仿宋_GB2312"/>
          <w:sz w:val="32"/>
          <w:szCs w:val="32"/>
        </w:rPr>
        <w:t>00</w:t>
      </w:r>
      <w:r>
        <w:rPr>
          <w:rFonts w:hint="eastAsia" w:ascii="仿宋_GB2312" w:eastAsia="仿宋_GB2312"/>
          <w:sz w:val="32"/>
          <w:szCs w:val="32"/>
        </w:rPr>
        <w:t>前将相应资金划入客户非担保资金交收账户。</w:t>
      </w:r>
    </w:p>
    <w:p w14:paraId="4D501D85">
      <w:pPr>
        <w:tabs>
          <w:tab w:val="left" w:pos="2127"/>
          <w:tab w:val="left" w:pos="2552"/>
        </w:tabs>
        <w:adjustRightInd w:val="0"/>
        <w:snapToGrid w:val="0"/>
        <w:spacing w:line="560" w:lineRule="exact"/>
        <w:ind w:firstLine="600"/>
        <w:rPr>
          <w:rFonts w:ascii="仿宋_GB2312" w:eastAsia="仿宋_GB2312"/>
          <w:sz w:val="32"/>
          <w:szCs w:val="32"/>
        </w:rPr>
      </w:pPr>
      <w:r>
        <w:rPr>
          <w:rFonts w:hint="eastAsia" w:ascii="仿宋_GB2312" w:eastAsia="仿宋_GB2312"/>
          <w:sz w:val="32"/>
          <w:szCs w:val="32"/>
        </w:rPr>
        <w:t>对于购回交易，证券公司须于</w:t>
      </w:r>
      <w:r>
        <w:rPr>
          <w:rFonts w:eastAsia="仿宋_GB2312"/>
          <w:sz w:val="32"/>
          <w:szCs w:val="32"/>
        </w:rPr>
        <w:t>T</w:t>
      </w:r>
      <w:r>
        <w:rPr>
          <w:rFonts w:hint="eastAsia" w:ascii="仿宋_GB2312" w:eastAsia="仿宋_GB2312"/>
          <w:sz w:val="32"/>
          <w:szCs w:val="32"/>
        </w:rPr>
        <w:t>日</w:t>
      </w:r>
      <w:r>
        <w:rPr>
          <w:rFonts w:eastAsia="仿宋_GB2312"/>
          <w:sz w:val="32"/>
          <w:szCs w:val="32"/>
        </w:rPr>
        <w:t>16</w:t>
      </w:r>
      <w:r>
        <w:rPr>
          <w:rFonts w:hint="eastAsia" w:ascii="仿宋_GB2312" w:eastAsia="仿宋_GB2312"/>
          <w:sz w:val="32"/>
          <w:szCs w:val="32"/>
        </w:rPr>
        <w:t>：</w:t>
      </w:r>
      <w:r>
        <w:rPr>
          <w:rFonts w:eastAsia="仿宋_GB2312"/>
          <w:sz w:val="32"/>
          <w:szCs w:val="32"/>
        </w:rPr>
        <w:t>00</w:t>
      </w:r>
      <w:r>
        <w:rPr>
          <w:rFonts w:hint="eastAsia" w:ascii="仿宋_GB2312" w:eastAsia="仿宋_GB2312"/>
          <w:sz w:val="32"/>
          <w:szCs w:val="32"/>
        </w:rPr>
        <w:t>前将相应资金划入客户非担保资金交收账户。</w:t>
      </w:r>
    </w:p>
    <w:p w14:paraId="15896816">
      <w:pPr>
        <w:numPr>
          <w:ilvl w:val="0"/>
          <w:numId w:val="0"/>
        </w:numPr>
        <w:tabs>
          <w:tab w:val="left" w:pos="2127"/>
        </w:tabs>
        <w:adjustRightInd w:val="0"/>
        <w:snapToGrid w:val="0"/>
        <w:spacing w:line="560" w:lineRule="exact"/>
        <w:ind w:left="0" w:leftChars="0" w:firstLine="602" w:firstLineChars="200"/>
        <w:rPr>
          <w:rFonts w:hint="eastAsia" w:ascii="仿宋_GB2312" w:hAnsi="宋体" w:eastAsia="仿宋_GB2312"/>
          <w:sz w:val="32"/>
          <w:szCs w:val="32"/>
        </w:rPr>
      </w:pPr>
      <w:r>
        <w:rPr>
          <w:rFonts w:hint="eastAsia" w:ascii="仿宋_GB2312" w:hAnsi="宋体" w:eastAsia="仿宋_GB2312" w:cs="Times New Roman"/>
          <w:b/>
          <w:kern w:val="2"/>
          <w:sz w:val="30"/>
          <w:szCs w:val="30"/>
          <w:lang w:val="en-US" w:eastAsia="zh-CN" w:bidi="ar-SA"/>
        </w:rPr>
        <w:t xml:space="preserve">第四十八条 </w:t>
      </w:r>
      <w:r>
        <w:rPr>
          <w:rFonts w:hint="eastAsia" w:ascii="仿宋_GB2312" w:hAnsi="宋体" w:eastAsia="仿宋_GB2312"/>
          <w:sz w:val="32"/>
          <w:szCs w:val="32"/>
        </w:rPr>
        <w:t>证券公司或托管机构相关非担保资金交收账户应付资金不足，或者融入方可用质押证券不足的，中国结算上海分公司不办理该笔交易的资金交收和证券质押或解除质押，对单笔交易不进行部分交收处理。</w:t>
      </w:r>
    </w:p>
    <w:p w14:paraId="536AD5A1">
      <w:pPr>
        <w:tabs>
          <w:tab w:val="left" w:pos="2127"/>
          <w:tab w:val="left" w:pos="2552"/>
        </w:tabs>
        <w:adjustRightInd w:val="0"/>
        <w:snapToGrid w:val="0"/>
        <w:spacing w:line="560" w:lineRule="exact"/>
        <w:ind w:firstLine="640" w:firstLineChars="200"/>
        <w:rPr>
          <w:rFonts w:ascii="仿宋_GB2312" w:eastAsia="仿宋_GB2312"/>
          <w:sz w:val="32"/>
          <w:szCs w:val="32"/>
        </w:rPr>
      </w:pPr>
      <w:r>
        <w:rPr>
          <w:rFonts w:hint="eastAsia" w:ascii="仿宋_GB2312" w:hAnsi="宋体" w:eastAsia="仿宋_GB2312"/>
          <w:sz w:val="32"/>
          <w:szCs w:val="32"/>
        </w:rPr>
        <w:t>因交收失败引起的后续处理事宜由相关责任方依据约定协商解决，中国结算</w:t>
      </w:r>
      <w:r>
        <w:rPr>
          <w:rFonts w:hint="eastAsia" w:ascii="仿宋_GB2312" w:eastAsia="仿宋_GB2312"/>
          <w:sz w:val="32"/>
          <w:szCs w:val="32"/>
        </w:rPr>
        <w:t>上海分公司</w:t>
      </w:r>
      <w:r>
        <w:rPr>
          <w:rFonts w:hint="eastAsia" w:ascii="仿宋_GB2312" w:hAnsi="宋体" w:eastAsia="仿宋_GB2312"/>
          <w:sz w:val="32"/>
          <w:szCs w:val="32"/>
        </w:rPr>
        <w:t>不承担任何法律责任。</w:t>
      </w:r>
    </w:p>
    <w:p w14:paraId="44925FD3">
      <w:pPr>
        <w:adjustRightInd w:val="0"/>
        <w:snapToGrid w:val="0"/>
        <w:spacing w:line="560" w:lineRule="exact"/>
        <w:jc w:val="center"/>
        <w:rPr>
          <w:rFonts w:ascii="黑体" w:hAnsi="黑体" w:eastAsia="黑体"/>
          <w:bCs/>
          <w:sz w:val="32"/>
          <w:szCs w:val="32"/>
        </w:rPr>
      </w:pPr>
      <w:r>
        <w:rPr>
          <w:rFonts w:hint="eastAsia" w:ascii="黑体" w:hAnsi="黑体" w:eastAsia="黑体"/>
          <w:b/>
          <w:bCs w:val="0"/>
          <w:sz w:val="32"/>
          <w:szCs w:val="32"/>
        </w:rPr>
        <w:t>第二节</w:t>
      </w:r>
      <w:r>
        <w:rPr>
          <w:rFonts w:ascii="黑体" w:hAnsi="黑体" w:eastAsia="黑体"/>
          <w:b/>
          <w:bCs w:val="0"/>
          <w:sz w:val="32"/>
          <w:szCs w:val="32"/>
        </w:rPr>
        <w:t xml:space="preserve"> </w:t>
      </w:r>
      <w:r>
        <w:rPr>
          <w:rFonts w:hint="eastAsia" w:ascii="黑体" w:hAnsi="黑体" w:eastAsia="黑体"/>
          <w:b/>
          <w:bCs w:val="0"/>
          <w:sz w:val="32"/>
          <w:szCs w:val="32"/>
        </w:rPr>
        <w:t>质押登记</w:t>
      </w:r>
    </w:p>
    <w:p w14:paraId="3E72EF6E">
      <w:pPr>
        <w:numPr>
          <w:ilvl w:val="0"/>
          <w:numId w:val="0"/>
        </w:numPr>
        <w:tabs>
          <w:tab w:val="left" w:pos="2127"/>
        </w:tabs>
        <w:adjustRightInd w:val="0"/>
        <w:snapToGrid w:val="0"/>
        <w:spacing w:line="560" w:lineRule="exact"/>
        <w:ind w:left="0" w:leftChars="0" w:firstLine="602" w:firstLineChars="200"/>
        <w:rPr>
          <w:rFonts w:hint="eastAsia" w:ascii="仿宋_GB2312" w:hAnsi="宋体" w:eastAsia="仿宋_GB2312"/>
          <w:sz w:val="32"/>
          <w:szCs w:val="32"/>
        </w:rPr>
      </w:pPr>
      <w:r>
        <w:rPr>
          <w:rFonts w:hint="eastAsia" w:ascii="仿宋_GB2312" w:hAnsi="宋体" w:eastAsia="仿宋_GB2312" w:cs="Times New Roman"/>
          <w:b/>
          <w:kern w:val="2"/>
          <w:sz w:val="30"/>
          <w:szCs w:val="30"/>
          <w:lang w:val="en-US" w:eastAsia="zh-CN" w:bidi="ar-SA"/>
        </w:rPr>
        <w:t xml:space="preserve">第四十九条 </w:t>
      </w:r>
      <w:r>
        <w:rPr>
          <w:rFonts w:hint="eastAsia" w:ascii="仿宋_GB2312" w:hAnsi="宋体" w:eastAsia="仿宋_GB2312"/>
          <w:sz w:val="32"/>
          <w:szCs w:val="32"/>
        </w:rPr>
        <w:t>股票质押回购的质押物管理，采用由中国结算上海分公司对融入方证券账户相应标的证券进行质押登记或解除质押登记的方式。</w:t>
      </w:r>
    </w:p>
    <w:p w14:paraId="5A581744">
      <w:pPr>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质押登记办理后，标的证券的状态为质押不可卖出。除违约处置外，融入方不得将已质押登记的标的证券申报卖出或另作他用。</w:t>
      </w:r>
    </w:p>
    <w:p w14:paraId="00817069">
      <w:pPr>
        <w:numPr>
          <w:ilvl w:val="0"/>
          <w:numId w:val="0"/>
        </w:numPr>
        <w:tabs>
          <w:tab w:val="left" w:pos="2127"/>
        </w:tabs>
        <w:adjustRightInd w:val="0"/>
        <w:snapToGrid w:val="0"/>
        <w:spacing w:line="560" w:lineRule="exact"/>
        <w:ind w:left="0" w:leftChars="0" w:firstLine="602" w:firstLineChars="200"/>
        <w:rPr>
          <w:rFonts w:hint="eastAsia" w:ascii="仿宋_GB2312" w:hAnsi="宋体" w:eastAsia="仿宋_GB2312"/>
          <w:sz w:val="32"/>
          <w:szCs w:val="32"/>
        </w:rPr>
      </w:pPr>
      <w:r>
        <w:rPr>
          <w:rFonts w:hint="eastAsia" w:ascii="仿宋_GB2312" w:hAnsi="宋体" w:eastAsia="仿宋_GB2312" w:cs="Times New Roman"/>
          <w:b/>
          <w:kern w:val="2"/>
          <w:sz w:val="30"/>
          <w:szCs w:val="30"/>
          <w:lang w:val="en-US" w:eastAsia="zh-CN" w:bidi="ar-SA"/>
        </w:rPr>
        <w:t xml:space="preserve">第五十条 </w:t>
      </w:r>
      <w:r>
        <w:rPr>
          <w:rFonts w:hint="eastAsia" w:ascii="仿宋_GB2312" w:hAnsi="宋体" w:eastAsia="仿宋_GB2312"/>
          <w:sz w:val="32"/>
          <w:szCs w:val="32"/>
        </w:rPr>
        <w:t>初始交易日日终，中国结算上海分公司根据上交所确认的成交数据，按照货银对付原则在进行逐笔全额结算时，将融入方证券账户内相应标的证券进行质押登记。</w:t>
      </w:r>
    </w:p>
    <w:p w14:paraId="00C2246B">
      <w:pPr>
        <w:numPr>
          <w:ilvl w:val="0"/>
          <w:numId w:val="0"/>
        </w:numPr>
        <w:tabs>
          <w:tab w:val="left" w:pos="2127"/>
        </w:tabs>
        <w:adjustRightInd w:val="0"/>
        <w:snapToGrid w:val="0"/>
        <w:spacing w:line="560" w:lineRule="exact"/>
        <w:ind w:left="0" w:leftChars="0" w:firstLine="602" w:firstLineChars="200"/>
        <w:rPr>
          <w:rFonts w:hint="eastAsia" w:ascii="仿宋_GB2312" w:hAnsi="宋体" w:eastAsia="仿宋_GB2312"/>
          <w:sz w:val="32"/>
          <w:szCs w:val="32"/>
        </w:rPr>
      </w:pPr>
      <w:r>
        <w:rPr>
          <w:rFonts w:hint="eastAsia" w:ascii="仿宋_GB2312" w:hAnsi="宋体" w:eastAsia="仿宋_GB2312" w:cs="Times New Roman"/>
          <w:b/>
          <w:kern w:val="2"/>
          <w:sz w:val="30"/>
          <w:szCs w:val="30"/>
          <w:lang w:val="en-US" w:eastAsia="zh-CN" w:bidi="ar-SA"/>
        </w:rPr>
        <w:t xml:space="preserve">第五十一条 </w:t>
      </w:r>
      <w:r>
        <w:rPr>
          <w:rFonts w:hint="eastAsia" w:ascii="仿宋_GB2312" w:hAnsi="宋体" w:eastAsia="仿宋_GB2312"/>
          <w:sz w:val="32"/>
          <w:szCs w:val="32"/>
        </w:rPr>
        <w:t>补充质押日日终，中国结算上海分公司根据上交所确认的成交数据，在进行逐笔全额结算时，办理相应标的证券的质押登记。</w:t>
      </w:r>
    </w:p>
    <w:p w14:paraId="32FBE029">
      <w:pPr>
        <w:tabs>
          <w:tab w:val="left" w:pos="2127"/>
        </w:tabs>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中国结算上海分公司不负责质押登记的合并管理。</w:t>
      </w:r>
    </w:p>
    <w:p w14:paraId="03D34838">
      <w:pPr>
        <w:numPr>
          <w:ilvl w:val="0"/>
          <w:numId w:val="0"/>
        </w:numPr>
        <w:tabs>
          <w:tab w:val="left" w:pos="2127"/>
        </w:tabs>
        <w:adjustRightInd w:val="0"/>
        <w:snapToGrid w:val="0"/>
        <w:spacing w:line="560" w:lineRule="exact"/>
        <w:ind w:left="0" w:leftChars="0" w:firstLine="602" w:firstLineChars="200"/>
        <w:rPr>
          <w:rFonts w:hint="eastAsia" w:ascii="仿宋_GB2312" w:hAnsi="宋体" w:eastAsia="仿宋_GB2312"/>
          <w:sz w:val="32"/>
          <w:szCs w:val="32"/>
        </w:rPr>
      </w:pPr>
      <w:r>
        <w:rPr>
          <w:rFonts w:hint="eastAsia" w:ascii="仿宋_GB2312" w:hAnsi="宋体" w:eastAsia="仿宋_GB2312" w:cs="Times New Roman"/>
          <w:b/>
          <w:kern w:val="2"/>
          <w:sz w:val="30"/>
          <w:szCs w:val="30"/>
          <w:lang w:val="en-US" w:eastAsia="zh-CN" w:bidi="ar-SA"/>
        </w:rPr>
        <w:t xml:space="preserve">第五十二条 </w:t>
      </w:r>
      <w:r>
        <w:rPr>
          <w:rFonts w:hint="eastAsia" w:ascii="仿宋_GB2312" w:hAnsi="宋体" w:eastAsia="仿宋_GB2312"/>
          <w:sz w:val="32"/>
          <w:szCs w:val="32"/>
        </w:rPr>
        <w:t>初始交易或补充质押成交当日，司法机关对该笔交易的标的证券进行司法冻结的，中国结算上海分公司优先办理质押登记。</w:t>
      </w:r>
    </w:p>
    <w:p w14:paraId="5B8643D4">
      <w:pPr>
        <w:numPr>
          <w:ilvl w:val="0"/>
          <w:numId w:val="0"/>
        </w:numPr>
        <w:tabs>
          <w:tab w:val="left" w:pos="2127"/>
        </w:tabs>
        <w:adjustRightInd w:val="0"/>
        <w:snapToGrid w:val="0"/>
        <w:spacing w:line="560" w:lineRule="exact"/>
        <w:ind w:left="0" w:leftChars="0" w:firstLine="602" w:firstLineChars="200"/>
        <w:rPr>
          <w:rFonts w:hint="eastAsia" w:ascii="仿宋_GB2312" w:hAnsi="宋体" w:eastAsia="仿宋_GB2312"/>
          <w:sz w:val="32"/>
          <w:szCs w:val="32"/>
        </w:rPr>
      </w:pPr>
      <w:r>
        <w:rPr>
          <w:rFonts w:hint="eastAsia" w:ascii="仿宋_GB2312" w:hAnsi="宋体" w:eastAsia="仿宋_GB2312" w:cs="Times New Roman"/>
          <w:b/>
          <w:kern w:val="2"/>
          <w:sz w:val="30"/>
          <w:szCs w:val="30"/>
          <w:lang w:val="en-US" w:eastAsia="zh-CN" w:bidi="ar-SA"/>
        </w:rPr>
        <w:t xml:space="preserve">第五十三条 </w:t>
      </w:r>
      <w:r>
        <w:rPr>
          <w:rFonts w:hint="eastAsia" w:ascii="仿宋_GB2312" w:hAnsi="宋体" w:eastAsia="仿宋_GB2312"/>
          <w:sz w:val="32"/>
          <w:szCs w:val="32"/>
        </w:rPr>
        <w:t>购回交易日日终，中国结算上海分公司根据上交所确认的成交数据，按照货银对付原则在进行逐笔全额结算时，将融入方证券账户内相应标的证券及孳息解除质押登记。</w:t>
      </w:r>
    </w:p>
    <w:p w14:paraId="48E4F60B">
      <w:pPr>
        <w:numPr>
          <w:ilvl w:val="0"/>
          <w:numId w:val="0"/>
        </w:numPr>
        <w:tabs>
          <w:tab w:val="left" w:pos="2127"/>
        </w:tabs>
        <w:adjustRightInd w:val="0"/>
        <w:snapToGrid w:val="0"/>
        <w:spacing w:line="560" w:lineRule="exact"/>
        <w:ind w:left="0" w:leftChars="0" w:firstLine="602" w:firstLineChars="200"/>
        <w:rPr>
          <w:rFonts w:hint="eastAsia" w:ascii="仿宋_GB2312" w:hAnsi="宋体" w:eastAsia="仿宋_GB2312"/>
          <w:sz w:val="32"/>
          <w:szCs w:val="32"/>
        </w:rPr>
      </w:pPr>
      <w:r>
        <w:rPr>
          <w:rFonts w:hint="eastAsia" w:ascii="仿宋_GB2312" w:hAnsi="宋体" w:eastAsia="仿宋_GB2312" w:cs="Times New Roman"/>
          <w:b/>
          <w:kern w:val="2"/>
          <w:sz w:val="30"/>
          <w:szCs w:val="30"/>
          <w:lang w:val="en-US" w:eastAsia="zh-CN" w:bidi="ar-SA"/>
        </w:rPr>
        <w:t xml:space="preserve">第五十四条 </w:t>
      </w:r>
      <w:r>
        <w:rPr>
          <w:rFonts w:hint="eastAsia" w:ascii="仿宋_GB2312" w:hAnsi="宋体" w:eastAsia="仿宋_GB2312"/>
          <w:sz w:val="32"/>
          <w:szCs w:val="32"/>
        </w:rPr>
        <w:t>部分解除质押日日终，中国结算上海分公司根据上交所确认的成交数据，在进行逐笔全额结算时，部分解除质押标的证券或其孳息。</w:t>
      </w:r>
    </w:p>
    <w:p w14:paraId="12BFD3DF">
      <w:pPr>
        <w:numPr>
          <w:ilvl w:val="0"/>
          <w:numId w:val="0"/>
        </w:numPr>
        <w:tabs>
          <w:tab w:val="left" w:pos="2127"/>
        </w:tabs>
        <w:adjustRightInd w:val="0"/>
        <w:snapToGrid w:val="0"/>
        <w:spacing w:line="560" w:lineRule="exact"/>
        <w:ind w:left="0" w:leftChars="0" w:firstLine="602" w:firstLineChars="200"/>
        <w:rPr>
          <w:rFonts w:hint="eastAsia" w:ascii="仿宋_GB2312" w:hAnsi="宋体" w:eastAsia="仿宋_GB2312"/>
          <w:sz w:val="32"/>
          <w:szCs w:val="32"/>
        </w:rPr>
      </w:pPr>
      <w:r>
        <w:rPr>
          <w:rFonts w:hint="eastAsia" w:ascii="仿宋_GB2312" w:hAnsi="宋体" w:eastAsia="仿宋_GB2312" w:cs="Times New Roman"/>
          <w:b/>
          <w:kern w:val="2"/>
          <w:sz w:val="30"/>
          <w:szCs w:val="30"/>
          <w:lang w:val="en-US" w:eastAsia="zh-CN" w:bidi="ar-SA"/>
        </w:rPr>
        <w:t xml:space="preserve">第五十五条 </w:t>
      </w:r>
      <w:r>
        <w:rPr>
          <w:rFonts w:hint="eastAsia" w:ascii="仿宋_GB2312" w:hAnsi="宋体" w:eastAsia="仿宋_GB2312"/>
          <w:sz w:val="32"/>
          <w:szCs w:val="32"/>
        </w:rPr>
        <w:t>违约处置申报日日终，中国结算上海分公司根据上交所确认的申报数据，将融入方证券账户内相应标的证券的状态由质押不可卖出调整为质押可卖出。</w:t>
      </w:r>
    </w:p>
    <w:p w14:paraId="642FDD9D">
      <w:pPr>
        <w:tabs>
          <w:tab w:val="left" w:pos="2127"/>
          <w:tab w:val="left" w:pos="2552"/>
        </w:tabs>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融入方证券账户内相应证券已被司法机关冻结的或为限售股的，中国结算上海分公司不进行质押状态调整。</w:t>
      </w:r>
    </w:p>
    <w:p w14:paraId="1B55B471">
      <w:pPr>
        <w:numPr>
          <w:ilvl w:val="0"/>
          <w:numId w:val="0"/>
        </w:numPr>
        <w:tabs>
          <w:tab w:val="left" w:pos="2127"/>
        </w:tabs>
        <w:adjustRightInd w:val="0"/>
        <w:snapToGrid w:val="0"/>
        <w:spacing w:line="560" w:lineRule="exact"/>
        <w:ind w:left="0" w:leftChars="0" w:firstLine="602" w:firstLineChars="200"/>
        <w:rPr>
          <w:rFonts w:hint="eastAsia" w:ascii="仿宋_GB2312" w:hAnsi="宋体" w:eastAsia="仿宋_GB2312"/>
          <w:sz w:val="32"/>
          <w:szCs w:val="32"/>
        </w:rPr>
      </w:pPr>
      <w:r>
        <w:rPr>
          <w:rFonts w:hint="eastAsia" w:ascii="仿宋_GB2312" w:hAnsi="宋体" w:eastAsia="仿宋_GB2312" w:cs="Times New Roman"/>
          <w:b/>
          <w:kern w:val="2"/>
          <w:sz w:val="30"/>
          <w:szCs w:val="30"/>
          <w:lang w:val="en-US" w:eastAsia="zh-CN" w:bidi="ar-SA"/>
        </w:rPr>
        <w:t xml:space="preserve">第五十六条 </w:t>
      </w:r>
      <w:r>
        <w:rPr>
          <w:rFonts w:hint="eastAsia" w:ascii="仿宋_GB2312" w:hAnsi="宋体" w:eastAsia="仿宋_GB2312"/>
          <w:sz w:val="32"/>
          <w:szCs w:val="32"/>
        </w:rPr>
        <w:t>终止购回申报日日终，中国结算上海分公司根据上交所确认的申报数据，将融入方证券账户内相应标的证券及孳息解除质押登记。</w:t>
      </w:r>
    </w:p>
    <w:p w14:paraId="41F815D0">
      <w:pPr>
        <w:numPr>
          <w:ilvl w:val="0"/>
          <w:numId w:val="0"/>
        </w:numPr>
        <w:tabs>
          <w:tab w:val="left" w:pos="2127"/>
        </w:tabs>
        <w:adjustRightInd w:val="0"/>
        <w:snapToGrid w:val="0"/>
        <w:spacing w:line="560" w:lineRule="exact"/>
        <w:ind w:left="0" w:leftChars="0" w:firstLine="602" w:firstLineChars="200"/>
        <w:rPr>
          <w:rFonts w:hint="eastAsia" w:ascii="仿宋_GB2312" w:hAnsi="宋体" w:eastAsia="仿宋_GB2312"/>
          <w:sz w:val="32"/>
          <w:szCs w:val="32"/>
        </w:rPr>
      </w:pPr>
      <w:r>
        <w:rPr>
          <w:rFonts w:hint="eastAsia" w:ascii="仿宋_GB2312" w:hAnsi="宋体" w:eastAsia="仿宋_GB2312" w:cs="Times New Roman"/>
          <w:b/>
          <w:kern w:val="2"/>
          <w:sz w:val="30"/>
          <w:szCs w:val="30"/>
          <w:lang w:val="en-US" w:eastAsia="zh-CN" w:bidi="ar-SA"/>
        </w:rPr>
        <w:t xml:space="preserve">第五十七条 </w:t>
      </w:r>
      <w:r>
        <w:rPr>
          <w:rFonts w:hint="eastAsia" w:ascii="仿宋_GB2312" w:hAnsi="宋体" w:eastAsia="仿宋_GB2312"/>
          <w:sz w:val="32"/>
          <w:szCs w:val="32"/>
        </w:rPr>
        <w:t>融入方与融出方可向证券公司申请查询股票质押回购交易明细情况。出质人与质权人可向中国结算上海分公司申请查询其质押登记明细情况。</w:t>
      </w:r>
    </w:p>
    <w:p w14:paraId="6569A055">
      <w:pPr>
        <w:tabs>
          <w:tab w:val="left" w:pos="2127"/>
          <w:tab w:val="left" w:pos="2552"/>
        </w:tabs>
        <w:adjustRightInd w:val="0"/>
        <w:snapToGrid w:val="0"/>
        <w:spacing w:line="560" w:lineRule="exact"/>
        <w:ind w:firstLine="640" w:firstLineChars="200"/>
        <w:rPr>
          <w:rFonts w:ascii="仿宋_GB2312" w:eastAsia="仿宋_GB2312"/>
          <w:b/>
          <w:sz w:val="32"/>
          <w:szCs w:val="32"/>
        </w:rPr>
      </w:pPr>
      <w:r>
        <w:rPr>
          <w:rFonts w:hint="eastAsia" w:ascii="仿宋_GB2312" w:hAnsi="宋体" w:eastAsia="仿宋_GB2312"/>
          <w:sz w:val="32"/>
          <w:szCs w:val="32"/>
        </w:rPr>
        <w:t>证券公司和中国结算上海分公司的数据如有不一致，以中国结算上海分公司提供的数据为准。</w:t>
      </w:r>
    </w:p>
    <w:p w14:paraId="2038B991">
      <w:pPr>
        <w:adjustRightInd w:val="0"/>
        <w:snapToGrid w:val="0"/>
        <w:spacing w:line="560" w:lineRule="exact"/>
        <w:jc w:val="center"/>
        <w:rPr>
          <w:rFonts w:hint="eastAsia" w:ascii="黑体" w:hAnsi="黑体" w:eastAsia="黑体"/>
          <w:b/>
          <w:bCs w:val="0"/>
          <w:sz w:val="32"/>
          <w:szCs w:val="32"/>
        </w:rPr>
      </w:pPr>
      <w:r>
        <w:rPr>
          <w:rFonts w:hint="eastAsia" w:ascii="黑体" w:hAnsi="黑体" w:eastAsia="黑体"/>
          <w:b/>
          <w:bCs w:val="0"/>
          <w:sz w:val="32"/>
          <w:szCs w:val="32"/>
        </w:rPr>
        <w:t>第三节</w:t>
      </w:r>
      <w:r>
        <w:rPr>
          <w:rFonts w:ascii="黑体" w:hAnsi="黑体" w:eastAsia="黑体"/>
          <w:b/>
          <w:bCs w:val="0"/>
          <w:sz w:val="32"/>
          <w:szCs w:val="32"/>
        </w:rPr>
        <w:t xml:space="preserve"> </w:t>
      </w:r>
      <w:r>
        <w:rPr>
          <w:rFonts w:hint="eastAsia" w:ascii="黑体" w:hAnsi="黑体" w:eastAsia="黑体"/>
          <w:b/>
          <w:bCs w:val="0"/>
          <w:sz w:val="32"/>
          <w:szCs w:val="32"/>
        </w:rPr>
        <w:t>标的证券权益处理</w:t>
      </w:r>
    </w:p>
    <w:p w14:paraId="3B33BD9A">
      <w:pPr>
        <w:numPr>
          <w:ilvl w:val="0"/>
          <w:numId w:val="0"/>
        </w:numPr>
        <w:tabs>
          <w:tab w:val="left" w:pos="2127"/>
        </w:tabs>
        <w:adjustRightInd w:val="0"/>
        <w:snapToGrid w:val="0"/>
        <w:spacing w:line="560" w:lineRule="exact"/>
        <w:ind w:left="0" w:leftChars="0" w:firstLine="602" w:firstLineChars="200"/>
        <w:rPr>
          <w:rFonts w:hint="eastAsia" w:ascii="仿宋_GB2312" w:hAnsi="宋体" w:eastAsia="仿宋_GB2312"/>
          <w:sz w:val="32"/>
          <w:szCs w:val="32"/>
        </w:rPr>
      </w:pPr>
      <w:r>
        <w:rPr>
          <w:rFonts w:hint="eastAsia" w:ascii="仿宋_GB2312" w:hAnsi="宋体" w:eastAsia="仿宋_GB2312" w:cs="Times New Roman"/>
          <w:b/>
          <w:kern w:val="2"/>
          <w:sz w:val="30"/>
          <w:szCs w:val="30"/>
          <w:lang w:val="en-US" w:eastAsia="zh-CN" w:bidi="ar-SA"/>
        </w:rPr>
        <w:t xml:space="preserve">第五十八条 </w:t>
      </w:r>
      <w:r>
        <w:rPr>
          <w:rFonts w:hint="eastAsia" w:ascii="仿宋_GB2312" w:hAnsi="宋体" w:eastAsia="仿宋_GB2312"/>
          <w:sz w:val="32"/>
          <w:szCs w:val="32"/>
        </w:rPr>
        <w:t>待购回期间，标的证券产生的无需支付对价的股东权益，如送股、转增股份、现金红利等，一并予以质押。</w:t>
      </w:r>
    </w:p>
    <w:p w14:paraId="4AFD9330">
      <w:pPr>
        <w:numPr>
          <w:ilvl w:val="0"/>
          <w:numId w:val="0"/>
        </w:numPr>
        <w:tabs>
          <w:tab w:val="left" w:pos="2127"/>
        </w:tabs>
        <w:adjustRightInd w:val="0"/>
        <w:snapToGrid w:val="0"/>
        <w:spacing w:line="560" w:lineRule="exact"/>
        <w:ind w:left="0" w:leftChars="0" w:firstLine="602" w:firstLineChars="200"/>
        <w:rPr>
          <w:rFonts w:hint="eastAsia" w:ascii="仿宋_GB2312" w:hAnsi="宋体" w:eastAsia="仿宋_GB2312"/>
          <w:sz w:val="32"/>
          <w:szCs w:val="32"/>
        </w:rPr>
      </w:pPr>
      <w:r>
        <w:rPr>
          <w:rFonts w:hint="eastAsia" w:ascii="仿宋_GB2312" w:hAnsi="宋体" w:eastAsia="仿宋_GB2312" w:cs="Times New Roman"/>
          <w:b/>
          <w:kern w:val="2"/>
          <w:sz w:val="30"/>
          <w:szCs w:val="30"/>
          <w:lang w:val="en-US" w:eastAsia="zh-CN" w:bidi="ar-SA"/>
        </w:rPr>
        <w:t xml:space="preserve">第五十九条 </w:t>
      </w:r>
      <w:r>
        <w:rPr>
          <w:rFonts w:hint="eastAsia" w:ascii="仿宋_GB2312" w:hAnsi="宋体" w:eastAsia="仿宋_GB2312"/>
          <w:sz w:val="32"/>
          <w:szCs w:val="32"/>
        </w:rPr>
        <w:t>待购回期间，标的证券产生的需支付对价的股东权益，如老股东配售方式的增发、配股等，由融入方自行行使，所取得的证券不随标的证券一并质押。</w:t>
      </w:r>
    </w:p>
    <w:p w14:paraId="2F057AF1">
      <w:pPr>
        <w:numPr>
          <w:ilvl w:val="0"/>
          <w:numId w:val="0"/>
        </w:numPr>
        <w:tabs>
          <w:tab w:val="left" w:pos="2127"/>
        </w:tabs>
        <w:adjustRightInd w:val="0"/>
        <w:snapToGrid w:val="0"/>
        <w:spacing w:line="560" w:lineRule="exact"/>
        <w:ind w:left="0" w:leftChars="0" w:firstLine="602" w:firstLineChars="200"/>
        <w:rPr>
          <w:rFonts w:hint="eastAsia" w:ascii="仿宋_GB2312" w:hAnsi="宋体" w:eastAsia="仿宋_GB2312"/>
          <w:sz w:val="32"/>
          <w:szCs w:val="32"/>
        </w:rPr>
      </w:pPr>
      <w:r>
        <w:rPr>
          <w:rFonts w:hint="eastAsia" w:ascii="仿宋_GB2312" w:hAnsi="宋体" w:eastAsia="仿宋_GB2312" w:cs="Times New Roman"/>
          <w:b/>
          <w:kern w:val="2"/>
          <w:sz w:val="30"/>
          <w:szCs w:val="30"/>
          <w:lang w:val="en-US" w:eastAsia="zh-CN" w:bidi="ar-SA"/>
        </w:rPr>
        <w:t xml:space="preserve">第六十条 </w:t>
      </w:r>
      <w:r>
        <w:rPr>
          <w:rFonts w:hint="eastAsia" w:ascii="仿宋_GB2312" w:hAnsi="宋体" w:eastAsia="仿宋_GB2312"/>
          <w:sz w:val="32"/>
          <w:szCs w:val="32"/>
        </w:rPr>
        <w:t>待购回期间，融入方基于股东身份享有出席股东会、提案、表决等权利。</w:t>
      </w:r>
    </w:p>
    <w:p w14:paraId="004A2BDF">
      <w:pPr>
        <w:adjustRightInd w:val="0"/>
        <w:snapToGrid w:val="0"/>
        <w:spacing w:line="560" w:lineRule="exact"/>
        <w:jc w:val="center"/>
        <w:rPr>
          <w:rFonts w:ascii="黑体" w:hAnsi="黑体" w:eastAsia="黑体"/>
          <w:b/>
          <w:bCs w:val="0"/>
          <w:sz w:val="32"/>
          <w:szCs w:val="32"/>
        </w:rPr>
      </w:pPr>
      <w:r>
        <w:rPr>
          <w:rFonts w:hint="eastAsia" w:ascii="黑体" w:hAnsi="黑体" w:eastAsia="黑体"/>
          <w:b/>
          <w:bCs w:val="0"/>
          <w:sz w:val="32"/>
          <w:szCs w:val="32"/>
        </w:rPr>
        <w:t>第七章</w:t>
      </w:r>
      <w:r>
        <w:rPr>
          <w:rFonts w:ascii="黑体" w:hAnsi="黑体" w:eastAsia="黑体"/>
          <w:b/>
          <w:bCs w:val="0"/>
          <w:sz w:val="32"/>
          <w:szCs w:val="32"/>
        </w:rPr>
        <w:t xml:space="preserve"> </w:t>
      </w:r>
      <w:r>
        <w:rPr>
          <w:rFonts w:hint="eastAsia" w:ascii="黑体" w:hAnsi="黑体" w:eastAsia="黑体"/>
          <w:b/>
          <w:bCs w:val="0"/>
          <w:sz w:val="32"/>
          <w:szCs w:val="32"/>
        </w:rPr>
        <w:t>风险管理、违约处置与异常情况处理</w:t>
      </w:r>
    </w:p>
    <w:p w14:paraId="3881C5F5">
      <w:pPr>
        <w:adjustRightInd w:val="0"/>
        <w:snapToGrid w:val="0"/>
        <w:spacing w:line="560" w:lineRule="exact"/>
        <w:jc w:val="center"/>
        <w:rPr>
          <w:rFonts w:ascii="黑体" w:hAnsi="黑体" w:eastAsia="黑体"/>
          <w:b/>
          <w:bCs w:val="0"/>
          <w:sz w:val="32"/>
          <w:szCs w:val="32"/>
        </w:rPr>
      </w:pPr>
      <w:r>
        <w:rPr>
          <w:rFonts w:hint="eastAsia" w:ascii="黑体" w:hAnsi="黑体" w:eastAsia="黑体"/>
          <w:b/>
          <w:bCs w:val="0"/>
          <w:sz w:val="32"/>
          <w:szCs w:val="32"/>
        </w:rPr>
        <w:t>第一节</w:t>
      </w:r>
      <w:r>
        <w:rPr>
          <w:rFonts w:ascii="黑体" w:hAnsi="黑体" w:eastAsia="黑体"/>
          <w:b/>
          <w:bCs w:val="0"/>
          <w:sz w:val="32"/>
          <w:szCs w:val="32"/>
        </w:rPr>
        <w:t xml:space="preserve"> </w:t>
      </w:r>
      <w:r>
        <w:rPr>
          <w:rFonts w:hint="eastAsia" w:ascii="黑体" w:hAnsi="黑体" w:eastAsia="黑体"/>
          <w:b/>
          <w:bCs w:val="0"/>
          <w:sz w:val="32"/>
          <w:szCs w:val="32"/>
        </w:rPr>
        <w:t>风险管理</w:t>
      </w:r>
    </w:p>
    <w:p w14:paraId="65940778">
      <w:pPr>
        <w:numPr>
          <w:ilvl w:val="0"/>
          <w:numId w:val="0"/>
        </w:numPr>
        <w:tabs>
          <w:tab w:val="left" w:pos="2127"/>
        </w:tabs>
        <w:adjustRightInd w:val="0"/>
        <w:snapToGrid w:val="0"/>
        <w:spacing w:line="560" w:lineRule="exact"/>
        <w:ind w:left="0" w:leftChars="0" w:firstLine="602" w:firstLineChars="200"/>
        <w:rPr>
          <w:rFonts w:hint="eastAsia" w:ascii="仿宋_GB2312" w:hAnsi="宋体" w:eastAsia="仿宋_GB2312"/>
          <w:sz w:val="32"/>
          <w:szCs w:val="32"/>
        </w:rPr>
      </w:pPr>
      <w:r>
        <w:rPr>
          <w:rFonts w:hint="eastAsia" w:ascii="仿宋_GB2312" w:hAnsi="宋体" w:eastAsia="仿宋_GB2312" w:cs="Times New Roman"/>
          <w:b/>
          <w:kern w:val="2"/>
          <w:sz w:val="30"/>
          <w:szCs w:val="30"/>
          <w:lang w:val="en-US" w:eastAsia="zh-CN" w:bidi="ar-SA"/>
        </w:rPr>
        <w:t xml:space="preserve">第六十一条 </w:t>
      </w:r>
      <w:r>
        <w:rPr>
          <w:rFonts w:hint="eastAsia" w:ascii="仿宋_GB2312" w:hAnsi="宋体" w:eastAsia="仿宋_GB2312"/>
          <w:sz w:val="32"/>
          <w:szCs w:val="32"/>
        </w:rPr>
        <w:t>证券公司应当对股票质押回购实行集中统一管理，并建立完备的管理制度、操作流程和风险识别、评估与控制体系，确保风险可测、可控、可承受。</w:t>
      </w:r>
    </w:p>
    <w:p w14:paraId="7AEF690C">
      <w:pPr>
        <w:numPr>
          <w:ilvl w:val="0"/>
          <w:numId w:val="0"/>
        </w:numPr>
        <w:tabs>
          <w:tab w:val="left" w:pos="2127"/>
        </w:tabs>
        <w:adjustRightInd w:val="0"/>
        <w:snapToGrid w:val="0"/>
        <w:spacing w:line="560" w:lineRule="exact"/>
        <w:ind w:left="0" w:leftChars="0" w:firstLine="602" w:firstLineChars="200"/>
        <w:rPr>
          <w:rFonts w:hint="eastAsia" w:ascii="仿宋_GB2312" w:hAnsi="宋体" w:eastAsia="仿宋_GB2312"/>
          <w:sz w:val="32"/>
          <w:szCs w:val="32"/>
        </w:rPr>
      </w:pPr>
      <w:r>
        <w:rPr>
          <w:rFonts w:hint="eastAsia" w:ascii="仿宋_GB2312" w:hAnsi="宋体" w:eastAsia="仿宋_GB2312" w:cs="Times New Roman"/>
          <w:b/>
          <w:kern w:val="2"/>
          <w:sz w:val="30"/>
          <w:szCs w:val="30"/>
          <w:lang w:val="en-US" w:eastAsia="zh-CN" w:bidi="ar-SA"/>
        </w:rPr>
        <w:t xml:space="preserve">第六十二条 </w:t>
      </w:r>
      <w:r>
        <w:rPr>
          <w:rFonts w:hint="eastAsia" w:ascii="仿宋_GB2312" w:hAnsi="宋体" w:eastAsia="仿宋_GB2312"/>
          <w:sz w:val="32"/>
          <w:szCs w:val="32"/>
        </w:rPr>
        <w:t>证券公司应当健全业务隔离制度，确保股票质押回购与有可能形成冲突的业务在机构、人员、信息、账户等方面相互隔离。</w:t>
      </w:r>
    </w:p>
    <w:p w14:paraId="4D9DE520">
      <w:pPr>
        <w:numPr>
          <w:ilvl w:val="0"/>
          <w:numId w:val="0"/>
        </w:numPr>
        <w:tabs>
          <w:tab w:val="left" w:pos="2127"/>
        </w:tabs>
        <w:adjustRightInd w:val="0"/>
        <w:snapToGrid w:val="0"/>
        <w:spacing w:line="560" w:lineRule="exact"/>
        <w:ind w:left="0" w:leftChars="0" w:firstLine="602" w:firstLineChars="200"/>
        <w:rPr>
          <w:rFonts w:hint="eastAsia" w:ascii="仿宋_GB2312" w:hAnsi="宋体" w:eastAsia="仿宋_GB2312"/>
          <w:sz w:val="32"/>
          <w:szCs w:val="32"/>
        </w:rPr>
      </w:pPr>
      <w:r>
        <w:rPr>
          <w:rFonts w:hint="eastAsia" w:ascii="仿宋_GB2312" w:hAnsi="宋体" w:eastAsia="仿宋_GB2312" w:cs="Times New Roman"/>
          <w:b/>
          <w:kern w:val="2"/>
          <w:sz w:val="30"/>
          <w:szCs w:val="30"/>
          <w:lang w:val="en-US" w:eastAsia="zh-CN" w:bidi="ar-SA"/>
        </w:rPr>
        <w:t xml:space="preserve">第六十三条 </w:t>
      </w:r>
      <w:r>
        <w:rPr>
          <w:rFonts w:hint="eastAsia" w:ascii="仿宋_GB2312" w:hAnsi="宋体" w:eastAsia="仿宋_GB2312"/>
          <w:sz w:val="32"/>
          <w:szCs w:val="32"/>
        </w:rPr>
        <w:t>证券公司及其资产管理子公司应当健全利益冲突防范机制，以公平参与为原则，防范证券公司自营业务、客户资产管理业务在参与股票质押回购时可能发生的利益冲突。</w:t>
      </w:r>
    </w:p>
    <w:p w14:paraId="3D6BC887">
      <w:pPr>
        <w:numPr>
          <w:ilvl w:val="0"/>
          <w:numId w:val="0"/>
        </w:numPr>
        <w:tabs>
          <w:tab w:val="left" w:pos="2127"/>
        </w:tabs>
        <w:adjustRightInd w:val="0"/>
        <w:snapToGrid w:val="0"/>
        <w:spacing w:line="560" w:lineRule="exact"/>
        <w:ind w:left="0" w:leftChars="0" w:firstLine="602" w:firstLineChars="200"/>
        <w:rPr>
          <w:rFonts w:hint="eastAsia" w:ascii="仿宋_GB2312" w:hAnsi="宋体" w:eastAsia="仿宋_GB2312"/>
          <w:sz w:val="32"/>
          <w:szCs w:val="32"/>
        </w:rPr>
      </w:pPr>
      <w:r>
        <w:rPr>
          <w:rFonts w:hint="eastAsia" w:ascii="仿宋_GB2312" w:hAnsi="宋体" w:eastAsia="仿宋_GB2312" w:cs="Times New Roman"/>
          <w:b/>
          <w:kern w:val="2"/>
          <w:sz w:val="30"/>
          <w:szCs w:val="30"/>
          <w:lang w:val="en-US" w:eastAsia="zh-CN" w:bidi="ar-SA"/>
        </w:rPr>
        <w:t xml:space="preserve">第六十四条 </w:t>
      </w:r>
      <w:r>
        <w:rPr>
          <w:rFonts w:hint="eastAsia" w:ascii="仿宋_GB2312" w:hAnsi="宋体" w:eastAsia="仿宋_GB2312"/>
          <w:sz w:val="32"/>
          <w:szCs w:val="32"/>
        </w:rPr>
        <w:t>证券公司应当建立标的证券管理制度，在本办法规定的标的证券范围内确定和调整标的证券范围，确保选择的标的证券合法合规、风险可控。</w:t>
      </w:r>
    </w:p>
    <w:p w14:paraId="6AF8BCF4">
      <w:pPr>
        <w:tabs>
          <w:tab w:val="left" w:pos="2127"/>
        </w:tabs>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以有限售条件股份作为标的证券的，解除限售日应当早于回购到期日。</w:t>
      </w:r>
    </w:p>
    <w:p w14:paraId="6375DBA4">
      <w:pPr>
        <w:numPr>
          <w:ilvl w:val="0"/>
          <w:numId w:val="0"/>
        </w:numPr>
        <w:tabs>
          <w:tab w:val="left" w:pos="2127"/>
        </w:tabs>
        <w:adjustRightInd w:val="0"/>
        <w:snapToGrid w:val="0"/>
        <w:spacing w:line="560" w:lineRule="exact"/>
        <w:ind w:left="0" w:leftChars="0" w:firstLine="602" w:firstLineChars="200"/>
        <w:rPr>
          <w:rFonts w:hint="eastAsia" w:ascii="仿宋_GB2312" w:hAnsi="宋体" w:eastAsia="仿宋_GB2312"/>
          <w:sz w:val="32"/>
          <w:szCs w:val="32"/>
        </w:rPr>
      </w:pPr>
      <w:r>
        <w:rPr>
          <w:rFonts w:hint="eastAsia" w:ascii="仿宋_GB2312" w:hAnsi="宋体" w:eastAsia="仿宋_GB2312" w:cs="Times New Roman"/>
          <w:b/>
          <w:kern w:val="2"/>
          <w:sz w:val="30"/>
          <w:szCs w:val="30"/>
          <w:lang w:val="en-US" w:eastAsia="zh-CN" w:bidi="ar-SA"/>
        </w:rPr>
        <w:t xml:space="preserve">第六十五条 </w:t>
      </w:r>
      <w:r>
        <w:rPr>
          <w:rFonts w:hint="eastAsia" w:ascii="仿宋_GB2312" w:hAnsi="宋体" w:eastAsia="仿宋_GB2312"/>
          <w:sz w:val="32"/>
          <w:szCs w:val="32"/>
        </w:rPr>
        <w:t>证券公司作为融出方的，单一证券公司接受单只</w:t>
      </w:r>
      <w:r>
        <w:rPr>
          <w:rFonts w:hint="eastAsia" w:eastAsia="仿宋_GB2312"/>
          <w:sz w:val="32"/>
          <w:szCs w:val="32"/>
        </w:rPr>
        <w:t>A</w:t>
      </w:r>
      <w:r>
        <w:rPr>
          <w:rFonts w:hint="eastAsia" w:ascii="仿宋_GB2312" w:hAnsi="宋体" w:eastAsia="仿宋_GB2312"/>
          <w:sz w:val="32"/>
          <w:szCs w:val="32"/>
        </w:rPr>
        <w:t>股股票质押的数量不得超过该股票</w:t>
      </w:r>
      <w:r>
        <w:rPr>
          <w:rFonts w:hint="eastAsia" w:eastAsia="仿宋_GB2312"/>
          <w:sz w:val="32"/>
          <w:szCs w:val="32"/>
        </w:rPr>
        <w:t>A</w:t>
      </w:r>
      <w:r>
        <w:rPr>
          <w:rFonts w:hint="eastAsia" w:ascii="仿宋_GB2312" w:hAnsi="宋体" w:eastAsia="仿宋_GB2312"/>
          <w:sz w:val="32"/>
          <w:szCs w:val="32"/>
        </w:rPr>
        <w:t>股股本的</w:t>
      </w:r>
      <w:r>
        <w:rPr>
          <w:rFonts w:hint="eastAsia" w:eastAsia="仿宋_GB2312"/>
          <w:sz w:val="32"/>
          <w:szCs w:val="32"/>
        </w:rPr>
        <w:t>30</w:t>
      </w:r>
      <w:r>
        <w:rPr>
          <w:rFonts w:hint="eastAsia" w:ascii="仿宋_GB2312" w:hAnsi="宋体" w:eastAsia="仿宋_GB2312"/>
          <w:sz w:val="32"/>
          <w:szCs w:val="32"/>
        </w:rPr>
        <w:t>%。集合资产管理计划或定向资产管理客户作为融出方的，单一集合资产管理计划或定向资产管理客户接受单只</w:t>
      </w:r>
      <w:r>
        <w:rPr>
          <w:rFonts w:hint="eastAsia" w:eastAsia="仿宋_GB2312"/>
          <w:sz w:val="32"/>
          <w:szCs w:val="32"/>
        </w:rPr>
        <w:t>A</w:t>
      </w:r>
      <w:r>
        <w:rPr>
          <w:rFonts w:hint="eastAsia" w:ascii="仿宋_GB2312" w:hAnsi="宋体" w:eastAsia="仿宋_GB2312"/>
          <w:sz w:val="32"/>
          <w:szCs w:val="32"/>
        </w:rPr>
        <w:t>股股票质押的数量不得超过该股票</w:t>
      </w:r>
      <w:r>
        <w:rPr>
          <w:rFonts w:hint="eastAsia" w:eastAsia="仿宋_GB2312"/>
          <w:sz w:val="32"/>
          <w:szCs w:val="32"/>
        </w:rPr>
        <w:t>A</w:t>
      </w:r>
      <w:r>
        <w:rPr>
          <w:rFonts w:hint="eastAsia" w:ascii="仿宋_GB2312" w:hAnsi="宋体" w:eastAsia="仿宋_GB2312"/>
          <w:sz w:val="32"/>
          <w:szCs w:val="32"/>
        </w:rPr>
        <w:t>股股本的</w:t>
      </w:r>
      <w:r>
        <w:rPr>
          <w:rFonts w:hint="eastAsia" w:eastAsia="仿宋_GB2312"/>
          <w:sz w:val="32"/>
          <w:szCs w:val="32"/>
        </w:rPr>
        <w:t>15</w:t>
      </w:r>
      <w:r>
        <w:rPr>
          <w:rFonts w:hint="eastAsia" w:ascii="仿宋_GB2312" w:hAnsi="宋体" w:eastAsia="仿宋_GB2312"/>
          <w:sz w:val="32"/>
          <w:szCs w:val="32"/>
        </w:rPr>
        <w:t>%。因履约保障比例达到或低于约定数值，补充质押导致超过上述比例或超过上述比例后继续补充质押的情况除外。</w:t>
      </w:r>
    </w:p>
    <w:p w14:paraId="3B781E49">
      <w:pPr>
        <w:tabs>
          <w:tab w:val="left" w:pos="2127"/>
        </w:tabs>
        <w:adjustRightInd w:val="0"/>
        <w:snapToGrid w:val="0"/>
        <w:spacing w:line="560" w:lineRule="exact"/>
        <w:ind w:firstLine="600"/>
        <w:rPr>
          <w:rFonts w:hint="eastAsia" w:ascii="仿宋_GB2312" w:hAnsi="宋体" w:eastAsia="仿宋_GB2312"/>
          <w:sz w:val="32"/>
          <w:szCs w:val="32"/>
        </w:rPr>
      </w:pPr>
      <w:r>
        <w:rPr>
          <w:rFonts w:hint="eastAsia" w:ascii="仿宋_GB2312" w:hAnsi="宋体" w:eastAsia="仿宋_GB2312"/>
          <w:sz w:val="32"/>
          <w:szCs w:val="32"/>
        </w:rPr>
        <w:t>证券公司应当加强标的证券的风险管理，在提交交易申报前，应通过中国结算指定渠道查询相关股票市场整体质押比例信息，做好交易前端检查控制，该笔交易不得导致单只</w:t>
      </w:r>
      <w:r>
        <w:rPr>
          <w:rFonts w:hint="eastAsia" w:eastAsia="仿宋_GB2312"/>
          <w:sz w:val="32"/>
          <w:szCs w:val="32"/>
        </w:rPr>
        <w:t>A</w:t>
      </w:r>
      <w:r>
        <w:rPr>
          <w:rFonts w:hint="eastAsia" w:ascii="仿宋_GB2312" w:hAnsi="宋体" w:eastAsia="仿宋_GB2312"/>
          <w:sz w:val="32"/>
          <w:szCs w:val="32"/>
        </w:rPr>
        <w:t>股股票市场整体质押比例超过</w:t>
      </w:r>
      <w:r>
        <w:rPr>
          <w:rFonts w:hint="eastAsia" w:eastAsia="仿宋_GB2312"/>
          <w:sz w:val="32"/>
          <w:szCs w:val="32"/>
        </w:rPr>
        <w:t>50</w:t>
      </w:r>
      <w:r>
        <w:rPr>
          <w:rFonts w:hint="eastAsia" w:ascii="仿宋_GB2312" w:hAnsi="宋体" w:eastAsia="仿宋_GB2312"/>
          <w:sz w:val="32"/>
          <w:szCs w:val="32"/>
        </w:rPr>
        <w:t>%。因履约保障比例达到或低于约定数值，补充质押导致超过上述比例或超过上述比例后继续补充质押的情况除外。</w:t>
      </w:r>
    </w:p>
    <w:p w14:paraId="0A2EAC17">
      <w:pPr>
        <w:tabs>
          <w:tab w:val="left" w:pos="2127"/>
        </w:tabs>
        <w:adjustRightInd w:val="0"/>
        <w:snapToGrid w:val="0"/>
        <w:spacing w:line="560" w:lineRule="exact"/>
        <w:ind w:firstLine="600"/>
        <w:rPr>
          <w:rFonts w:hint="eastAsia" w:ascii="仿宋_GB2312" w:hAnsi="宋体" w:eastAsia="仿宋_GB2312"/>
          <w:sz w:val="32"/>
          <w:szCs w:val="32"/>
        </w:rPr>
      </w:pPr>
      <w:r>
        <w:rPr>
          <w:rFonts w:hint="eastAsia" w:ascii="仿宋_GB2312" w:hAnsi="宋体" w:eastAsia="仿宋_GB2312"/>
          <w:sz w:val="32"/>
          <w:szCs w:val="32"/>
        </w:rPr>
        <w:t>本条所称市场整体质押比例，是指单只</w:t>
      </w:r>
      <w:r>
        <w:rPr>
          <w:rFonts w:hint="eastAsia" w:eastAsia="仿宋_GB2312"/>
          <w:sz w:val="32"/>
          <w:szCs w:val="32"/>
        </w:rPr>
        <w:t>A</w:t>
      </w:r>
      <w:r>
        <w:rPr>
          <w:rFonts w:hint="eastAsia" w:ascii="仿宋_GB2312" w:hAnsi="宋体" w:eastAsia="仿宋_GB2312"/>
          <w:sz w:val="32"/>
          <w:szCs w:val="32"/>
        </w:rPr>
        <w:t>股股票质押数量与其</w:t>
      </w:r>
      <w:r>
        <w:rPr>
          <w:rFonts w:hint="eastAsia" w:eastAsia="仿宋_GB2312"/>
          <w:sz w:val="32"/>
          <w:szCs w:val="32"/>
        </w:rPr>
        <w:t>A</w:t>
      </w:r>
      <w:r>
        <w:rPr>
          <w:rFonts w:hint="eastAsia" w:ascii="仿宋_GB2312" w:hAnsi="宋体" w:eastAsia="仿宋_GB2312"/>
          <w:sz w:val="32"/>
          <w:szCs w:val="32"/>
        </w:rPr>
        <w:t>股股本的比值。</w:t>
      </w:r>
    </w:p>
    <w:p w14:paraId="3B8CB277">
      <w:pPr>
        <w:numPr>
          <w:ilvl w:val="0"/>
          <w:numId w:val="0"/>
        </w:numPr>
        <w:tabs>
          <w:tab w:val="left" w:pos="2127"/>
        </w:tabs>
        <w:adjustRightInd w:val="0"/>
        <w:snapToGrid w:val="0"/>
        <w:spacing w:line="560" w:lineRule="exact"/>
        <w:ind w:left="0" w:leftChars="0" w:firstLine="602" w:firstLineChars="200"/>
        <w:rPr>
          <w:rFonts w:hint="eastAsia" w:ascii="仿宋_GB2312" w:hAnsi="宋体" w:eastAsia="仿宋_GB2312"/>
          <w:sz w:val="32"/>
          <w:szCs w:val="32"/>
        </w:rPr>
      </w:pPr>
      <w:r>
        <w:rPr>
          <w:rFonts w:hint="eastAsia" w:ascii="仿宋_GB2312" w:hAnsi="宋体" w:eastAsia="仿宋_GB2312" w:cs="Times New Roman"/>
          <w:b/>
          <w:kern w:val="2"/>
          <w:sz w:val="30"/>
          <w:szCs w:val="30"/>
          <w:lang w:val="en-US" w:eastAsia="zh-CN" w:bidi="ar-SA"/>
        </w:rPr>
        <w:t xml:space="preserve">第六十六条 </w:t>
      </w:r>
      <w:r>
        <w:rPr>
          <w:rFonts w:hint="eastAsia" w:ascii="仿宋_GB2312" w:hAnsi="宋体" w:eastAsia="仿宋_GB2312"/>
          <w:sz w:val="32"/>
          <w:szCs w:val="32"/>
        </w:rPr>
        <w:t>融入方所持有股票涉及业绩承诺股份补偿协议的，在相关业绩承诺履行完毕前，证券公司不得允许集合资产管理计划或者定向资产管理客户作为融出方参与相应股票质押回购；证券公司作为融出方参与相应股票质押回购的，应当切实防范因融入方履行业绩承诺股份补偿协议可能产生的风险。</w:t>
      </w:r>
    </w:p>
    <w:p w14:paraId="1FA75D58">
      <w:pPr>
        <w:numPr>
          <w:ilvl w:val="0"/>
          <w:numId w:val="0"/>
        </w:numPr>
        <w:tabs>
          <w:tab w:val="left" w:pos="2127"/>
        </w:tabs>
        <w:adjustRightInd w:val="0"/>
        <w:snapToGrid w:val="0"/>
        <w:spacing w:line="560" w:lineRule="exact"/>
        <w:ind w:left="0" w:leftChars="0" w:firstLine="602" w:firstLineChars="200"/>
        <w:rPr>
          <w:rFonts w:hint="eastAsia" w:ascii="仿宋_GB2312" w:hAnsi="宋体" w:eastAsia="仿宋_GB2312"/>
          <w:sz w:val="32"/>
          <w:szCs w:val="32"/>
        </w:rPr>
      </w:pPr>
      <w:r>
        <w:rPr>
          <w:rFonts w:hint="eastAsia" w:ascii="仿宋_GB2312" w:hAnsi="宋体" w:eastAsia="仿宋_GB2312" w:cs="Times New Roman"/>
          <w:b/>
          <w:kern w:val="2"/>
          <w:sz w:val="30"/>
          <w:szCs w:val="30"/>
          <w:lang w:val="en-US" w:eastAsia="zh-CN" w:bidi="ar-SA"/>
        </w:rPr>
        <w:t xml:space="preserve">第六十七条 </w:t>
      </w:r>
      <w:r>
        <w:rPr>
          <w:rFonts w:hint="eastAsia" w:ascii="仿宋_GB2312" w:hAnsi="宋体" w:eastAsia="仿宋_GB2312"/>
          <w:sz w:val="32"/>
          <w:szCs w:val="32"/>
        </w:rPr>
        <w:t>证券公司应当依据标的证券资质、融入方资信、回购期限、第三方担保等因素确定和调整标的证券的质押率上限，其中股票质押率上限不得超过</w:t>
      </w:r>
      <w:r>
        <w:rPr>
          <w:rFonts w:hint="eastAsia" w:eastAsia="仿宋_GB2312"/>
          <w:sz w:val="32"/>
          <w:szCs w:val="32"/>
        </w:rPr>
        <w:t>60</w:t>
      </w:r>
      <w:r>
        <w:rPr>
          <w:rFonts w:hint="eastAsia" w:ascii="仿宋_GB2312" w:hAnsi="宋体" w:eastAsia="仿宋_GB2312"/>
          <w:sz w:val="32"/>
          <w:szCs w:val="32"/>
        </w:rPr>
        <w:t>%。质押率是指初始交易金额与质押标的证券市值的比率。</w:t>
      </w:r>
    </w:p>
    <w:p w14:paraId="72B4B1D6">
      <w:pPr>
        <w:tabs>
          <w:tab w:val="left" w:pos="2127"/>
        </w:tabs>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以有限售条件股份作为标的证券的,质押率的确定应根据该上市公司的各项风险因素全面认定并原则上低于同等条件下无限售条件股份的质押率。</w:t>
      </w:r>
    </w:p>
    <w:p w14:paraId="191759C7">
      <w:pPr>
        <w:tabs>
          <w:tab w:val="left" w:pos="2127"/>
        </w:tabs>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上交所可以根据市场情况，对质押率上限进行调整，并向市场公布。</w:t>
      </w:r>
    </w:p>
    <w:p w14:paraId="2FDBE4A9">
      <w:pPr>
        <w:numPr>
          <w:ilvl w:val="0"/>
          <w:numId w:val="0"/>
        </w:numPr>
        <w:tabs>
          <w:tab w:val="left" w:pos="2127"/>
        </w:tabs>
        <w:adjustRightInd w:val="0"/>
        <w:snapToGrid w:val="0"/>
        <w:spacing w:line="560" w:lineRule="exact"/>
        <w:ind w:left="0" w:leftChars="0" w:firstLine="602" w:firstLineChars="200"/>
        <w:rPr>
          <w:rFonts w:hint="eastAsia" w:ascii="仿宋_GB2312" w:hAnsi="宋体" w:eastAsia="仿宋_GB2312"/>
          <w:sz w:val="32"/>
          <w:szCs w:val="32"/>
        </w:rPr>
      </w:pPr>
      <w:r>
        <w:rPr>
          <w:rFonts w:hint="eastAsia" w:ascii="仿宋_GB2312" w:hAnsi="宋体" w:eastAsia="仿宋_GB2312" w:cs="Times New Roman"/>
          <w:b/>
          <w:kern w:val="2"/>
          <w:sz w:val="30"/>
          <w:szCs w:val="30"/>
          <w:lang w:val="en-US" w:eastAsia="zh-CN" w:bidi="ar-SA"/>
        </w:rPr>
        <w:t xml:space="preserve">第六十八条 </w:t>
      </w:r>
      <w:r>
        <w:rPr>
          <w:rFonts w:hint="eastAsia" w:ascii="仿宋_GB2312" w:hAnsi="宋体" w:eastAsia="仿宋_GB2312"/>
          <w:sz w:val="32"/>
          <w:szCs w:val="32"/>
        </w:rPr>
        <w:t>证券公司应当建立以净资本为核心的股票质押回购规模监控和调整机制，根据监管要求和自身财务状况，合理确定总体规模、单一客户、单一证券交易金额占净资本的比例等风险控制指标。</w:t>
      </w:r>
    </w:p>
    <w:p w14:paraId="21DFF82B">
      <w:pPr>
        <w:numPr>
          <w:ilvl w:val="0"/>
          <w:numId w:val="0"/>
        </w:numPr>
        <w:tabs>
          <w:tab w:val="left" w:pos="2127"/>
        </w:tabs>
        <w:adjustRightInd w:val="0"/>
        <w:snapToGrid w:val="0"/>
        <w:spacing w:line="560" w:lineRule="exact"/>
        <w:ind w:left="0" w:leftChars="0" w:firstLine="602" w:firstLineChars="200"/>
        <w:rPr>
          <w:rFonts w:hint="eastAsia" w:ascii="仿宋_GB2312" w:hAnsi="宋体" w:eastAsia="仿宋_GB2312"/>
          <w:sz w:val="32"/>
          <w:szCs w:val="32"/>
        </w:rPr>
      </w:pPr>
      <w:r>
        <w:rPr>
          <w:rFonts w:hint="eastAsia" w:ascii="仿宋_GB2312" w:hAnsi="宋体" w:eastAsia="仿宋_GB2312" w:cs="Times New Roman"/>
          <w:b/>
          <w:kern w:val="2"/>
          <w:sz w:val="30"/>
          <w:szCs w:val="30"/>
          <w:lang w:val="en-US" w:eastAsia="zh-CN" w:bidi="ar-SA"/>
        </w:rPr>
        <w:t xml:space="preserve">第六十九条 </w:t>
      </w:r>
      <w:r>
        <w:rPr>
          <w:rFonts w:hint="eastAsia" w:ascii="仿宋_GB2312" w:hAnsi="宋体" w:eastAsia="仿宋_GB2312"/>
          <w:sz w:val="32"/>
          <w:szCs w:val="32"/>
        </w:rPr>
        <w:t>证券公司应当建立、健全待购回期间融入方跟踪监测机制，持续关注融入方的经营、财务、对外担保、诉讼等情况，及时评估融入方的信用风险和履约能力。</w:t>
      </w:r>
    </w:p>
    <w:p w14:paraId="28405C1E">
      <w:pPr>
        <w:numPr>
          <w:ilvl w:val="0"/>
          <w:numId w:val="0"/>
        </w:numPr>
        <w:tabs>
          <w:tab w:val="left" w:pos="2127"/>
        </w:tabs>
        <w:adjustRightInd w:val="0"/>
        <w:snapToGrid w:val="0"/>
        <w:spacing w:line="560" w:lineRule="exact"/>
        <w:ind w:left="0" w:leftChars="0" w:firstLine="602" w:firstLineChars="200"/>
        <w:rPr>
          <w:rFonts w:hint="eastAsia" w:ascii="仿宋_GB2312" w:hAnsi="宋体" w:eastAsia="仿宋_GB2312"/>
          <w:sz w:val="32"/>
          <w:szCs w:val="32"/>
        </w:rPr>
      </w:pPr>
      <w:r>
        <w:rPr>
          <w:rFonts w:hint="eastAsia" w:ascii="仿宋_GB2312" w:hAnsi="宋体" w:eastAsia="仿宋_GB2312" w:cs="Times New Roman"/>
          <w:b/>
          <w:kern w:val="2"/>
          <w:sz w:val="30"/>
          <w:szCs w:val="30"/>
          <w:lang w:val="en-US" w:eastAsia="zh-CN" w:bidi="ar-SA"/>
        </w:rPr>
        <w:t xml:space="preserve">第七十条 </w:t>
      </w:r>
      <w:r>
        <w:rPr>
          <w:rFonts w:hint="eastAsia" w:ascii="仿宋_GB2312" w:hAnsi="宋体" w:eastAsia="仿宋_GB2312"/>
          <w:sz w:val="32"/>
          <w:szCs w:val="32"/>
        </w:rPr>
        <w:t>证券公司应当建立、健全盯市机制，持续跟踪质押标的证券价格波动和可能对质押标的证券产生重大影响的风险事件，对股票质押回购初始交易及相应的补充质押、部分解除质押进行合并管理，有效监控质押标的证券的市场风险。</w:t>
      </w:r>
    </w:p>
    <w:p w14:paraId="481AC436">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履约保障比例达到或低于约定数值的，证券公司应当按照《业务协议》的约定要求融入方采取相应的措施。《业务协议》可以约定的措施包括：</w:t>
      </w:r>
    </w:p>
    <w:p w14:paraId="45E6393D">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（一）提前购回；</w:t>
      </w:r>
    </w:p>
    <w:p w14:paraId="2C2EA909">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（二）补充质押标的证券；</w:t>
      </w:r>
    </w:p>
    <w:p w14:paraId="151789E0">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（三）补充其他担保物，担保物应为依法可以担保的其他财产或财产权利；</w:t>
      </w:r>
    </w:p>
    <w:p w14:paraId="4311146A">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（四）其他方式。</w:t>
      </w:r>
    </w:p>
    <w:p w14:paraId="01490FA3">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融出方、融入方可以在《业务协议》中约定，在履约保障比例超过约定数值时，部分解除质押或解除其他担保；部分解除质押前，应当先解除其他担保，当无其他担保物时方可解除质押标的证券或其孳息。部分解除质押或解除其他担保后的履约保障比例不得低于约定数值。</w:t>
      </w:r>
    </w:p>
    <w:p w14:paraId="6AE98D9E">
      <w:pPr>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eastAsia="仿宋_GB2312"/>
          <w:sz w:val="32"/>
          <w:szCs w:val="32"/>
        </w:rPr>
        <w:t>履约保障比例，是指合并管理的质押标的证券、相应孳息及其他担保物价值之和与融入方应付金额的比值。</w:t>
      </w:r>
    </w:p>
    <w:p w14:paraId="1CEAE974">
      <w:pPr>
        <w:numPr>
          <w:ilvl w:val="0"/>
          <w:numId w:val="0"/>
        </w:numPr>
        <w:tabs>
          <w:tab w:val="left" w:pos="2127"/>
        </w:tabs>
        <w:adjustRightInd w:val="0"/>
        <w:snapToGrid w:val="0"/>
        <w:spacing w:line="560" w:lineRule="exact"/>
        <w:ind w:left="0" w:leftChars="0" w:firstLine="602" w:firstLineChars="200"/>
        <w:rPr>
          <w:rFonts w:hint="eastAsia" w:ascii="仿宋_GB2312" w:hAnsi="宋体" w:eastAsia="仿宋_GB2312"/>
          <w:sz w:val="32"/>
          <w:szCs w:val="32"/>
        </w:rPr>
      </w:pPr>
      <w:r>
        <w:rPr>
          <w:rFonts w:hint="eastAsia" w:ascii="仿宋_GB2312" w:hAnsi="宋体" w:eastAsia="仿宋_GB2312" w:cs="Times New Roman"/>
          <w:b/>
          <w:kern w:val="2"/>
          <w:sz w:val="30"/>
          <w:szCs w:val="30"/>
          <w:lang w:val="en-US" w:eastAsia="zh-CN" w:bidi="ar-SA"/>
        </w:rPr>
        <w:t xml:space="preserve">第七十一条 </w:t>
      </w:r>
      <w:r>
        <w:rPr>
          <w:rFonts w:hint="eastAsia" w:ascii="仿宋_GB2312" w:hAnsi="宋体" w:eastAsia="仿宋_GB2312"/>
          <w:sz w:val="32"/>
          <w:szCs w:val="32"/>
        </w:rPr>
        <w:t>交易各方不得通过补充质押标的证券，规避本办法第二十九条第二款关于标的证券范围、第六十五条关于单只</w:t>
      </w:r>
      <w:r>
        <w:rPr>
          <w:rFonts w:hint="eastAsia" w:eastAsia="仿宋_GB2312"/>
          <w:sz w:val="32"/>
          <w:szCs w:val="32"/>
        </w:rPr>
        <w:t>A</w:t>
      </w:r>
      <w:r>
        <w:rPr>
          <w:rFonts w:hint="eastAsia" w:ascii="仿宋_GB2312" w:hAnsi="宋体" w:eastAsia="仿宋_GB2312"/>
          <w:sz w:val="32"/>
          <w:szCs w:val="32"/>
        </w:rPr>
        <w:t>股股票质押数量及市场整体质押比例相关要求。</w:t>
      </w:r>
    </w:p>
    <w:p w14:paraId="7B0ABA50">
      <w:pPr>
        <w:numPr>
          <w:ilvl w:val="0"/>
          <w:numId w:val="0"/>
        </w:numPr>
        <w:tabs>
          <w:tab w:val="left" w:pos="2127"/>
        </w:tabs>
        <w:adjustRightInd w:val="0"/>
        <w:snapToGrid w:val="0"/>
        <w:spacing w:line="560" w:lineRule="exact"/>
        <w:ind w:left="0" w:leftChars="0" w:firstLine="602" w:firstLineChars="200"/>
        <w:rPr>
          <w:rFonts w:hint="eastAsia" w:ascii="仿宋_GB2312" w:hAnsi="宋体" w:eastAsia="仿宋_GB2312"/>
          <w:sz w:val="32"/>
          <w:szCs w:val="32"/>
        </w:rPr>
      </w:pPr>
      <w:r>
        <w:rPr>
          <w:rFonts w:hint="eastAsia" w:ascii="仿宋_GB2312" w:hAnsi="宋体" w:eastAsia="仿宋_GB2312" w:cs="Times New Roman"/>
          <w:b/>
          <w:kern w:val="2"/>
          <w:sz w:val="30"/>
          <w:szCs w:val="30"/>
          <w:lang w:val="en-US" w:eastAsia="zh-CN" w:bidi="ar-SA"/>
        </w:rPr>
        <w:t xml:space="preserve">第七十二条 </w:t>
      </w:r>
      <w:r>
        <w:rPr>
          <w:rFonts w:hint="eastAsia" w:ascii="仿宋_GB2312" w:hAnsi="宋体" w:eastAsia="仿宋_GB2312"/>
          <w:sz w:val="32"/>
          <w:szCs w:val="32"/>
        </w:rPr>
        <w:t>证券公司应当建立融入方融入资金跟踪管理制度，采取措施对融入资金的使用情况进行跟踪。证券公司发现融入方违反本办法第二十二条第一款规定使用资金的，应当督促融入方按照协议约定采取改正措施，相关改正完成前不得继续向融入方融出资金；未按照协议约定采取改正措施的，证券公司应当要求融入方提前购回。</w:t>
      </w:r>
    </w:p>
    <w:p w14:paraId="659A9196">
      <w:pPr>
        <w:numPr>
          <w:ilvl w:val="0"/>
          <w:numId w:val="0"/>
        </w:numPr>
        <w:tabs>
          <w:tab w:val="left" w:pos="2127"/>
        </w:tabs>
        <w:adjustRightInd w:val="0"/>
        <w:snapToGrid w:val="0"/>
        <w:spacing w:line="560" w:lineRule="exact"/>
        <w:ind w:left="0" w:leftChars="0" w:firstLine="602" w:firstLineChars="200"/>
        <w:rPr>
          <w:rFonts w:hint="eastAsia" w:ascii="仿宋_GB2312" w:hAnsi="宋体" w:eastAsia="仿宋_GB2312"/>
          <w:sz w:val="32"/>
          <w:szCs w:val="32"/>
        </w:rPr>
      </w:pPr>
      <w:r>
        <w:rPr>
          <w:rFonts w:hint="eastAsia" w:ascii="仿宋_GB2312" w:hAnsi="宋体" w:eastAsia="仿宋_GB2312" w:cs="Times New Roman"/>
          <w:b/>
          <w:kern w:val="2"/>
          <w:sz w:val="30"/>
          <w:szCs w:val="30"/>
          <w:lang w:val="en-US" w:eastAsia="zh-CN" w:bidi="ar-SA"/>
        </w:rPr>
        <w:t xml:space="preserve">第七十三条 </w:t>
      </w:r>
      <w:r>
        <w:rPr>
          <w:rFonts w:hint="eastAsia" w:ascii="仿宋_GB2312" w:hAnsi="宋体" w:eastAsia="仿宋_GB2312"/>
          <w:sz w:val="32"/>
          <w:szCs w:val="32"/>
        </w:rPr>
        <w:t>证券公司应当按照上交所要求报送股票质押回购相关数据信息。</w:t>
      </w:r>
    </w:p>
    <w:p w14:paraId="75D01183">
      <w:pPr>
        <w:numPr>
          <w:ilvl w:val="0"/>
          <w:numId w:val="0"/>
        </w:numPr>
        <w:tabs>
          <w:tab w:val="left" w:pos="2127"/>
        </w:tabs>
        <w:adjustRightInd w:val="0"/>
        <w:snapToGrid w:val="0"/>
        <w:spacing w:line="560" w:lineRule="exact"/>
        <w:ind w:left="0" w:leftChars="0" w:firstLine="602" w:firstLineChars="200"/>
        <w:rPr>
          <w:rFonts w:hint="eastAsia" w:ascii="仿宋_GB2312" w:hAnsi="宋体" w:eastAsia="仿宋_GB2312"/>
          <w:sz w:val="32"/>
          <w:szCs w:val="32"/>
        </w:rPr>
      </w:pPr>
      <w:r>
        <w:rPr>
          <w:rFonts w:hint="eastAsia" w:ascii="仿宋_GB2312" w:hAnsi="宋体" w:eastAsia="仿宋_GB2312" w:cs="Times New Roman"/>
          <w:b/>
          <w:kern w:val="2"/>
          <w:sz w:val="30"/>
          <w:szCs w:val="30"/>
          <w:lang w:val="en-US" w:eastAsia="zh-CN" w:bidi="ar-SA"/>
        </w:rPr>
        <w:t xml:space="preserve">第七十四条 </w:t>
      </w:r>
      <w:r>
        <w:rPr>
          <w:rFonts w:hint="eastAsia" w:ascii="仿宋_GB2312" w:hAnsi="宋体" w:eastAsia="仿宋_GB2312"/>
          <w:sz w:val="32"/>
          <w:szCs w:val="32"/>
        </w:rPr>
        <w:t>管理人应当在资产管理计划设计及运作中采取必要措施，使资产管理计划的流动性、存续期限与股票质押回购期限相匹配。</w:t>
      </w:r>
    </w:p>
    <w:p w14:paraId="4A3CCF9E">
      <w:pPr>
        <w:numPr>
          <w:ilvl w:val="0"/>
          <w:numId w:val="0"/>
        </w:numPr>
        <w:tabs>
          <w:tab w:val="left" w:pos="2127"/>
        </w:tabs>
        <w:adjustRightInd w:val="0"/>
        <w:snapToGrid w:val="0"/>
        <w:spacing w:line="560" w:lineRule="exact"/>
        <w:ind w:left="0" w:leftChars="0" w:firstLine="602" w:firstLineChars="200"/>
        <w:rPr>
          <w:rFonts w:hint="eastAsia" w:ascii="仿宋_GB2312" w:hAnsi="宋体" w:eastAsia="仿宋_GB2312"/>
          <w:sz w:val="32"/>
          <w:szCs w:val="32"/>
        </w:rPr>
      </w:pPr>
      <w:r>
        <w:rPr>
          <w:rFonts w:hint="eastAsia" w:ascii="仿宋_GB2312" w:hAnsi="宋体" w:eastAsia="仿宋_GB2312" w:cs="Times New Roman"/>
          <w:b/>
          <w:kern w:val="2"/>
          <w:sz w:val="30"/>
          <w:szCs w:val="30"/>
          <w:lang w:val="en-US" w:eastAsia="zh-CN" w:bidi="ar-SA"/>
        </w:rPr>
        <w:t xml:space="preserve">第七十五条 </w:t>
      </w:r>
      <w:r>
        <w:rPr>
          <w:rFonts w:hint="eastAsia" w:ascii="仿宋_GB2312" w:hAnsi="宋体" w:eastAsia="仿宋_GB2312"/>
          <w:sz w:val="32"/>
          <w:szCs w:val="32"/>
        </w:rPr>
        <w:t>融出方为集合资产管理计划的，可通过证券公司或其他第三方的信用增级措施保障融出方权益。</w:t>
      </w:r>
    </w:p>
    <w:p w14:paraId="19F5B226">
      <w:pPr>
        <w:numPr>
          <w:ilvl w:val="0"/>
          <w:numId w:val="0"/>
        </w:numPr>
        <w:tabs>
          <w:tab w:val="left" w:pos="2127"/>
        </w:tabs>
        <w:adjustRightInd w:val="0"/>
        <w:snapToGrid w:val="0"/>
        <w:spacing w:line="560" w:lineRule="exact"/>
        <w:ind w:left="0" w:leftChars="0" w:firstLine="602" w:firstLineChars="200"/>
        <w:rPr>
          <w:rFonts w:hint="eastAsia" w:ascii="仿宋_GB2312" w:hAnsi="宋体" w:eastAsia="仿宋_GB2312"/>
          <w:sz w:val="32"/>
          <w:szCs w:val="32"/>
        </w:rPr>
      </w:pPr>
      <w:r>
        <w:rPr>
          <w:rFonts w:hint="eastAsia" w:ascii="仿宋_GB2312" w:hAnsi="宋体" w:eastAsia="仿宋_GB2312" w:cs="Times New Roman"/>
          <w:b/>
          <w:kern w:val="2"/>
          <w:sz w:val="30"/>
          <w:szCs w:val="30"/>
          <w:lang w:val="en-US" w:eastAsia="zh-CN" w:bidi="ar-SA"/>
        </w:rPr>
        <w:t xml:space="preserve">第七十六条 </w:t>
      </w:r>
      <w:r>
        <w:rPr>
          <w:rFonts w:hint="eastAsia" w:ascii="仿宋_GB2312" w:hAnsi="宋体" w:eastAsia="仿宋_GB2312"/>
          <w:sz w:val="32"/>
          <w:szCs w:val="32"/>
        </w:rPr>
        <w:t>上交所可以根据市场情况暂停或恢复单一标的证券用于股票质押回购。</w:t>
      </w:r>
    </w:p>
    <w:p w14:paraId="01C015CE">
      <w:pPr>
        <w:numPr>
          <w:ilvl w:val="0"/>
          <w:numId w:val="0"/>
        </w:numPr>
        <w:tabs>
          <w:tab w:val="left" w:pos="2127"/>
        </w:tabs>
        <w:adjustRightInd w:val="0"/>
        <w:snapToGrid w:val="0"/>
        <w:spacing w:line="560" w:lineRule="exact"/>
        <w:ind w:left="0" w:leftChars="0" w:firstLine="602" w:firstLineChars="200"/>
        <w:rPr>
          <w:rFonts w:hint="eastAsia" w:ascii="仿宋_GB2312" w:hAnsi="宋体" w:eastAsia="仿宋_GB2312"/>
          <w:sz w:val="32"/>
          <w:szCs w:val="32"/>
        </w:rPr>
      </w:pPr>
      <w:r>
        <w:rPr>
          <w:rFonts w:hint="eastAsia" w:ascii="仿宋_GB2312" w:hAnsi="宋体" w:eastAsia="仿宋_GB2312" w:cs="Times New Roman"/>
          <w:b/>
          <w:kern w:val="2"/>
          <w:sz w:val="30"/>
          <w:szCs w:val="30"/>
          <w:lang w:val="en-US" w:eastAsia="zh-CN" w:bidi="ar-SA"/>
        </w:rPr>
        <w:t xml:space="preserve">第七十七条 </w:t>
      </w:r>
      <w:r>
        <w:rPr>
          <w:rFonts w:hint="eastAsia" w:ascii="仿宋_GB2312" w:hAnsi="宋体" w:eastAsia="仿宋_GB2312"/>
          <w:sz w:val="32"/>
          <w:szCs w:val="32"/>
        </w:rPr>
        <w:t>持有上市公司股份</w:t>
      </w:r>
      <w:r>
        <w:rPr>
          <w:rFonts w:hint="eastAsia" w:eastAsia="仿宋_GB2312"/>
          <w:sz w:val="32"/>
          <w:szCs w:val="32"/>
        </w:rPr>
        <w:t>5</w:t>
      </w:r>
      <w:r>
        <w:rPr>
          <w:rFonts w:hint="eastAsia" w:ascii="仿宋_GB2312" w:hAnsi="宋体" w:eastAsia="仿宋_GB2312"/>
          <w:sz w:val="32"/>
          <w:szCs w:val="32"/>
        </w:rPr>
        <w:t>%以上的股东，将其持有的该上市公司股票进行股票质押回购的，不得违反有关信息披露的规定。</w:t>
      </w:r>
    </w:p>
    <w:p w14:paraId="41112394">
      <w:pPr>
        <w:adjustRightInd w:val="0"/>
        <w:snapToGrid w:val="0"/>
        <w:spacing w:line="560" w:lineRule="exact"/>
        <w:jc w:val="center"/>
        <w:rPr>
          <w:rFonts w:ascii="黑体" w:hAnsi="黑体" w:eastAsia="黑体"/>
          <w:b/>
          <w:bCs w:val="0"/>
          <w:sz w:val="32"/>
          <w:szCs w:val="32"/>
        </w:rPr>
      </w:pPr>
      <w:r>
        <w:rPr>
          <w:rFonts w:hint="eastAsia" w:ascii="黑体" w:hAnsi="黑体" w:eastAsia="黑体"/>
          <w:b/>
          <w:bCs w:val="0"/>
          <w:sz w:val="32"/>
          <w:szCs w:val="32"/>
        </w:rPr>
        <w:t>第二节</w:t>
      </w:r>
      <w:r>
        <w:rPr>
          <w:rFonts w:ascii="黑体" w:hAnsi="黑体" w:eastAsia="黑体"/>
          <w:b/>
          <w:bCs w:val="0"/>
          <w:sz w:val="32"/>
          <w:szCs w:val="32"/>
        </w:rPr>
        <w:t xml:space="preserve"> </w:t>
      </w:r>
      <w:r>
        <w:rPr>
          <w:rFonts w:hint="eastAsia" w:ascii="黑体" w:hAnsi="黑体" w:eastAsia="黑体"/>
          <w:b/>
          <w:bCs w:val="0"/>
          <w:sz w:val="32"/>
          <w:szCs w:val="32"/>
        </w:rPr>
        <w:t>违约处置</w:t>
      </w:r>
    </w:p>
    <w:p w14:paraId="498EB0E5">
      <w:pPr>
        <w:numPr>
          <w:ilvl w:val="0"/>
          <w:numId w:val="0"/>
        </w:numPr>
        <w:tabs>
          <w:tab w:val="left" w:pos="2127"/>
        </w:tabs>
        <w:adjustRightInd w:val="0"/>
        <w:snapToGrid w:val="0"/>
        <w:spacing w:line="560" w:lineRule="exact"/>
        <w:ind w:left="0" w:leftChars="0" w:firstLine="602" w:firstLineChars="200"/>
        <w:rPr>
          <w:rFonts w:hint="eastAsia" w:ascii="仿宋_GB2312" w:hAnsi="宋体" w:eastAsia="仿宋_GB2312"/>
          <w:sz w:val="32"/>
          <w:szCs w:val="32"/>
        </w:rPr>
      </w:pPr>
      <w:r>
        <w:rPr>
          <w:rFonts w:hint="eastAsia" w:ascii="仿宋_GB2312" w:hAnsi="宋体" w:eastAsia="仿宋_GB2312" w:cs="Times New Roman"/>
          <w:b/>
          <w:kern w:val="2"/>
          <w:sz w:val="30"/>
          <w:szCs w:val="30"/>
          <w:lang w:val="en-US" w:eastAsia="zh-CN" w:bidi="ar-SA"/>
        </w:rPr>
        <w:t xml:space="preserve">第七十八条 </w:t>
      </w:r>
      <w:r>
        <w:rPr>
          <w:rFonts w:hint="eastAsia" w:ascii="仿宋_GB2312" w:hAnsi="宋体" w:eastAsia="仿宋_GB2312"/>
          <w:sz w:val="32"/>
          <w:szCs w:val="32"/>
        </w:rPr>
        <w:t>融入方违约，根据《业务协议》的约定须处置质押标的证券的，对于无限售条件股份，通过上交所进行处置的，交易各方应当遵守中国证监会部门规章、规范性文件及上交所业务规则等关于股份减持的相关规定，按以下程序处理：</w:t>
      </w:r>
    </w:p>
    <w:p w14:paraId="022520A7">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（一）证券公司应及时通知交易双方并报告上交所；</w:t>
      </w:r>
    </w:p>
    <w:p w14:paraId="656269E0">
      <w:pPr>
        <w:adjustRightInd w:val="0"/>
        <w:snapToGrid w:val="0"/>
        <w:spacing w:line="560" w:lineRule="exact"/>
        <w:ind w:firstLine="600"/>
        <w:rPr>
          <w:rFonts w:ascii="仿宋_GB2312" w:eastAsia="仿宋_GB2312"/>
          <w:sz w:val="32"/>
          <w:szCs w:val="32"/>
        </w:rPr>
      </w:pPr>
      <w:r>
        <w:rPr>
          <w:rFonts w:hint="eastAsia" w:ascii="仿宋_GB2312" w:eastAsia="仿宋_GB2312"/>
          <w:sz w:val="32"/>
          <w:szCs w:val="32"/>
        </w:rPr>
        <w:t>（二）</w:t>
      </w:r>
      <w:r>
        <w:rPr>
          <w:rFonts w:eastAsia="仿宋_GB2312"/>
          <w:sz w:val="32"/>
          <w:szCs w:val="32"/>
        </w:rPr>
        <w:t>T</w:t>
      </w:r>
      <w:r>
        <w:rPr>
          <w:rFonts w:hint="eastAsia" w:ascii="仿宋_GB2312" w:eastAsia="仿宋_GB2312"/>
          <w:sz w:val="32"/>
          <w:szCs w:val="32"/>
        </w:rPr>
        <w:t>日</w:t>
      </w:r>
      <w:r>
        <w:rPr>
          <w:rFonts w:hint="eastAsia" w:ascii="仿宋_GB2312" w:hAnsi="??" w:eastAsia="仿宋_GB2312"/>
          <w:sz w:val="32"/>
          <w:szCs w:val="32"/>
        </w:rPr>
        <w:t>证券公司根据《业务协议》约定，向上交所交易系统提交违约处置申报</w:t>
      </w:r>
      <w:r>
        <w:rPr>
          <w:rFonts w:hint="eastAsia" w:ascii="仿宋_GB2312" w:eastAsia="仿宋_GB2312"/>
          <w:sz w:val="32"/>
          <w:szCs w:val="32"/>
        </w:rPr>
        <w:t>；</w:t>
      </w:r>
    </w:p>
    <w:p w14:paraId="0B84B3F6">
      <w:pPr>
        <w:adjustRightInd w:val="0"/>
        <w:snapToGrid w:val="0"/>
        <w:spacing w:line="560" w:lineRule="exact"/>
        <w:ind w:firstLine="600"/>
        <w:rPr>
          <w:rFonts w:ascii="仿宋_GB2312" w:hAnsi="??" w:eastAsia="仿宋_GB2312"/>
          <w:sz w:val="32"/>
          <w:szCs w:val="32"/>
        </w:rPr>
      </w:pPr>
      <w:r>
        <w:rPr>
          <w:rFonts w:hint="eastAsia" w:ascii="仿宋_GB2312" w:eastAsia="仿宋_GB2312"/>
          <w:sz w:val="32"/>
          <w:szCs w:val="32"/>
        </w:rPr>
        <w:t>（三）</w:t>
      </w:r>
      <w:r>
        <w:rPr>
          <w:rFonts w:eastAsia="仿宋_GB2312"/>
          <w:sz w:val="32"/>
          <w:szCs w:val="32"/>
        </w:rPr>
        <w:t>T</w:t>
      </w:r>
      <w:r>
        <w:rPr>
          <w:rFonts w:hint="eastAsia" w:ascii="仿宋_GB2312" w:eastAsia="仿宋_GB2312"/>
          <w:sz w:val="32"/>
          <w:szCs w:val="32"/>
        </w:rPr>
        <w:t>日</w:t>
      </w:r>
      <w:r>
        <w:rPr>
          <w:rFonts w:hint="eastAsia" w:ascii="仿宋_GB2312" w:hAnsi="??" w:eastAsia="仿宋_GB2312"/>
          <w:sz w:val="32"/>
          <w:szCs w:val="32"/>
        </w:rPr>
        <w:t>违约处置申报处理成功后，</w:t>
      </w:r>
      <w:r>
        <w:rPr>
          <w:rFonts w:eastAsia="仿宋_GB2312"/>
          <w:sz w:val="32"/>
          <w:szCs w:val="32"/>
        </w:rPr>
        <w:t>T</w:t>
      </w:r>
      <w:r>
        <w:rPr>
          <w:rFonts w:ascii="仿宋_GB2312" w:eastAsia="仿宋_GB2312"/>
          <w:sz w:val="32"/>
          <w:szCs w:val="32"/>
        </w:rPr>
        <w:t>+</w:t>
      </w:r>
      <w:r>
        <w:rPr>
          <w:rFonts w:eastAsia="仿宋_GB2312"/>
          <w:sz w:val="32"/>
          <w:szCs w:val="32"/>
        </w:rPr>
        <w:t>1</w:t>
      </w:r>
      <w:r>
        <w:rPr>
          <w:rFonts w:hint="eastAsia" w:ascii="仿宋_GB2312" w:eastAsia="仿宋_GB2312"/>
          <w:sz w:val="32"/>
          <w:szCs w:val="32"/>
        </w:rPr>
        <w:t>日起</w:t>
      </w:r>
      <w:r>
        <w:rPr>
          <w:rFonts w:hint="eastAsia" w:ascii="仿宋_GB2312" w:hAnsi="??" w:eastAsia="仿宋_GB2312"/>
          <w:sz w:val="32"/>
          <w:szCs w:val="32"/>
        </w:rPr>
        <w:t>证券公司即可根据《业务协议》的约定处置标的证券，卖出成交后，证券公司应当在当日根据中国结算上海分公司的要求提交申报数据，处置所得优先偿付融出方；证券公司应当根据《业务协议》的约定将偿付资金划付到融出方对应的账户;</w:t>
      </w:r>
    </w:p>
    <w:p w14:paraId="7CF898F7">
      <w:pPr>
        <w:adjustRightInd w:val="0"/>
        <w:snapToGrid w:val="0"/>
        <w:spacing w:line="560" w:lineRule="exact"/>
        <w:ind w:firstLine="600"/>
        <w:rPr>
          <w:rFonts w:ascii="仿宋_GB2312" w:hAnsi="??" w:eastAsia="仿宋_GB2312"/>
          <w:sz w:val="32"/>
          <w:szCs w:val="32"/>
        </w:rPr>
      </w:pPr>
      <w:r>
        <w:rPr>
          <w:rFonts w:hint="eastAsia" w:ascii="仿宋_GB2312" w:hAnsi="??" w:eastAsia="仿宋_GB2312"/>
          <w:sz w:val="32"/>
          <w:szCs w:val="32"/>
        </w:rPr>
        <w:t>（四）违约处置后，</w:t>
      </w:r>
      <w:r>
        <w:rPr>
          <w:rFonts w:hint="eastAsia" w:ascii="仿宋_GB2312" w:hAnsi="宋体" w:eastAsia="仿宋_GB2312"/>
          <w:sz w:val="32"/>
          <w:szCs w:val="32"/>
        </w:rPr>
        <w:t>证券公司应向上交所提交终止购回申报。质押标的证券及相应孳息如有剩余的，中国结算上海分公司根据终止购回申报解除剩余标的证券及相应孳息的质押登记；</w:t>
      </w:r>
    </w:p>
    <w:p w14:paraId="68112933">
      <w:pPr>
        <w:adjustRightInd w:val="0"/>
        <w:snapToGrid w:val="0"/>
        <w:spacing w:line="560" w:lineRule="exact"/>
        <w:ind w:firstLine="600"/>
        <w:rPr>
          <w:rFonts w:ascii="仿宋_GB2312" w:eastAsia="仿宋_GB2312"/>
          <w:sz w:val="32"/>
          <w:szCs w:val="32"/>
        </w:rPr>
      </w:pPr>
      <w:r>
        <w:rPr>
          <w:rFonts w:hint="eastAsia" w:ascii="仿宋_GB2312" w:hAnsi="??" w:eastAsia="仿宋_GB2312"/>
          <w:sz w:val="32"/>
          <w:szCs w:val="32"/>
        </w:rPr>
        <w:t>（五）</w:t>
      </w:r>
      <w:r>
        <w:rPr>
          <w:rFonts w:hint="eastAsia" w:ascii="仿宋_GB2312" w:eastAsia="仿宋_GB2312"/>
          <w:sz w:val="32"/>
          <w:szCs w:val="32"/>
        </w:rPr>
        <w:t>违约处置完成后，</w:t>
      </w:r>
      <w:r>
        <w:rPr>
          <w:rFonts w:hint="eastAsia" w:ascii="仿宋_GB2312" w:hAnsi="宋体" w:eastAsia="仿宋_GB2312"/>
          <w:sz w:val="32"/>
          <w:szCs w:val="32"/>
        </w:rPr>
        <w:t>证券公司向</w:t>
      </w:r>
      <w:r>
        <w:rPr>
          <w:rFonts w:hint="eastAsia" w:ascii="仿宋_GB2312" w:eastAsia="仿宋_GB2312"/>
          <w:sz w:val="32"/>
          <w:szCs w:val="32"/>
        </w:rPr>
        <w:t>上交所、中国结算上海分公司和中国证券投资者保护基金有限责任公司提交违约</w:t>
      </w:r>
      <w:r>
        <w:rPr>
          <w:rFonts w:hint="eastAsia" w:ascii="仿宋_GB2312" w:hAnsi="宋体" w:eastAsia="仿宋_GB2312"/>
          <w:sz w:val="32"/>
          <w:szCs w:val="32"/>
        </w:rPr>
        <w:t>处置结果报告</w:t>
      </w:r>
      <w:r>
        <w:rPr>
          <w:rFonts w:hint="eastAsia" w:ascii="仿宋_GB2312" w:eastAsia="仿宋_GB2312"/>
          <w:sz w:val="32"/>
          <w:szCs w:val="32"/>
        </w:rPr>
        <w:t>。</w:t>
      </w:r>
    </w:p>
    <w:p w14:paraId="756671E6">
      <w:pPr>
        <w:adjustRightInd w:val="0"/>
        <w:snapToGrid w:val="0"/>
        <w:spacing w:line="560" w:lineRule="exact"/>
        <w:ind w:firstLine="600"/>
        <w:rPr>
          <w:rFonts w:ascii="仿宋_GB2312" w:eastAsia="仿宋_GB2312"/>
          <w:sz w:val="32"/>
          <w:szCs w:val="32"/>
        </w:rPr>
      </w:pPr>
      <w:r>
        <w:rPr>
          <w:rFonts w:hint="eastAsia" w:ascii="仿宋_GB2312" w:hAnsi="宋体" w:eastAsia="仿宋_GB2312"/>
          <w:sz w:val="32"/>
          <w:szCs w:val="32"/>
        </w:rPr>
        <w:t>对于仍处于限售期的</w:t>
      </w:r>
      <w:r>
        <w:rPr>
          <w:rFonts w:hint="eastAsia" w:ascii="仿宋_GB2312" w:eastAsia="仿宋_GB2312"/>
          <w:sz w:val="32"/>
          <w:szCs w:val="32"/>
        </w:rPr>
        <w:t>有限售条件股份，证券公司应当按照《业务协议》的约定处理。</w:t>
      </w:r>
    </w:p>
    <w:p w14:paraId="762C85BA">
      <w:pPr>
        <w:numPr>
          <w:ilvl w:val="0"/>
          <w:numId w:val="0"/>
        </w:numPr>
        <w:tabs>
          <w:tab w:val="left" w:pos="2127"/>
        </w:tabs>
        <w:adjustRightInd w:val="0"/>
        <w:snapToGrid w:val="0"/>
        <w:spacing w:line="560" w:lineRule="exact"/>
        <w:ind w:left="0" w:leftChars="0" w:firstLine="602" w:firstLineChars="200"/>
        <w:rPr>
          <w:rFonts w:hint="eastAsia" w:ascii="仿宋_GB2312" w:hAnsi="宋体" w:eastAsia="仿宋_GB2312"/>
          <w:sz w:val="32"/>
          <w:szCs w:val="32"/>
        </w:rPr>
      </w:pPr>
      <w:r>
        <w:rPr>
          <w:rFonts w:hint="eastAsia" w:ascii="仿宋_GB2312" w:hAnsi="宋体" w:eastAsia="仿宋_GB2312" w:cs="Times New Roman"/>
          <w:b/>
          <w:kern w:val="2"/>
          <w:sz w:val="30"/>
          <w:szCs w:val="30"/>
          <w:lang w:val="en-US" w:eastAsia="zh-CN" w:bidi="ar-SA"/>
        </w:rPr>
        <w:t xml:space="preserve">第七十九条 </w:t>
      </w:r>
      <w:r>
        <w:rPr>
          <w:rFonts w:hint="eastAsia" w:ascii="仿宋_GB2312" w:hAnsi="宋体" w:eastAsia="仿宋_GB2312"/>
          <w:sz w:val="32"/>
          <w:szCs w:val="32"/>
        </w:rPr>
        <w:t>交易各方应当在《业务协议》中约定质押标的证券、相应孳息和补充其他担保物的担保范围，以及处置方式、处置所得的偿还顺序等具体内容。</w:t>
      </w:r>
    </w:p>
    <w:p w14:paraId="25133678">
      <w:pPr>
        <w:numPr>
          <w:ilvl w:val="0"/>
          <w:numId w:val="0"/>
        </w:numPr>
        <w:tabs>
          <w:tab w:val="left" w:pos="2127"/>
        </w:tabs>
        <w:adjustRightInd w:val="0"/>
        <w:snapToGrid w:val="0"/>
        <w:spacing w:line="560" w:lineRule="exact"/>
        <w:ind w:left="0" w:leftChars="0" w:firstLine="602" w:firstLineChars="200"/>
        <w:rPr>
          <w:rFonts w:ascii="仿宋_GB2312" w:eastAsia="仿宋_GB2312"/>
          <w:sz w:val="32"/>
          <w:szCs w:val="32"/>
        </w:rPr>
      </w:pPr>
      <w:r>
        <w:rPr>
          <w:rFonts w:hint="eastAsia" w:ascii="仿宋_GB2312" w:hAnsi="Times New Roman" w:eastAsia="仿宋_GB2312" w:cs="Times New Roman"/>
          <w:b/>
          <w:kern w:val="2"/>
          <w:sz w:val="30"/>
          <w:szCs w:val="30"/>
          <w:lang w:val="en-US" w:eastAsia="zh-CN" w:bidi="ar-SA"/>
        </w:rPr>
        <w:t>第八十</w:t>
      </w:r>
      <w:r>
        <w:rPr>
          <w:rFonts w:hint="eastAsia" w:ascii="仿宋_GB2312" w:eastAsia="仿宋_GB2312" w:cs="Times New Roman"/>
          <w:b/>
          <w:kern w:val="2"/>
          <w:sz w:val="30"/>
          <w:szCs w:val="30"/>
          <w:lang w:val="en-US" w:eastAsia="zh-CN" w:bidi="ar-SA"/>
        </w:rPr>
        <w:t xml:space="preserve">条 </w:t>
      </w:r>
      <w:r>
        <w:rPr>
          <w:rFonts w:hint="eastAsia" w:ascii="仿宋_GB2312" w:hAnsi="宋体" w:eastAsia="仿宋_GB2312"/>
          <w:sz w:val="32"/>
          <w:szCs w:val="32"/>
        </w:rPr>
        <w:t>因司法等机关冻结，影响标的证券处置的，交易各方按《业务协议》的约定处理。影响标的证券处置的情形解除后，证券公司可以按照本办法第七十八条的规定处理，或向上交所提交终止购回申报。</w:t>
      </w:r>
    </w:p>
    <w:p w14:paraId="6D1D63D8">
      <w:pPr>
        <w:adjustRightInd w:val="0"/>
        <w:snapToGrid w:val="0"/>
        <w:spacing w:line="560" w:lineRule="exact"/>
        <w:jc w:val="center"/>
        <w:rPr>
          <w:rFonts w:ascii="黑体" w:hAnsi="黑体" w:eastAsia="黑体"/>
          <w:b/>
          <w:bCs w:val="0"/>
          <w:sz w:val="32"/>
          <w:szCs w:val="32"/>
        </w:rPr>
      </w:pPr>
      <w:r>
        <w:rPr>
          <w:rFonts w:hint="eastAsia" w:ascii="黑体" w:hAnsi="黑体" w:eastAsia="黑体"/>
          <w:b/>
          <w:bCs w:val="0"/>
          <w:sz w:val="32"/>
          <w:szCs w:val="32"/>
        </w:rPr>
        <w:t>第三节</w:t>
      </w:r>
      <w:r>
        <w:rPr>
          <w:rFonts w:ascii="黑体" w:hAnsi="黑体" w:eastAsia="黑体"/>
          <w:b/>
          <w:bCs w:val="0"/>
          <w:sz w:val="32"/>
          <w:szCs w:val="32"/>
        </w:rPr>
        <w:t xml:space="preserve">  </w:t>
      </w:r>
      <w:r>
        <w:rPr>
          <w:rFonts w:hint="eastAsia" w:ascii="黑体" w:hAnsi="黑体" w:eastAsia="黑体"/>
          <w:b/>
          <w:bCs w:val="0"/>
          <w:sz w:val="32"/>
          <w:szCs w:val="32"/>
        </w:rPr>
        <w:t>异常情况处理</w:t>
      </w:r>
    </w:p>
    <w:p w14:paraId="1B8C55E6">
      <w:pPr>
        <w:numPr>
          <w:ilvl w:val="0"/>
          <w:numId w:val="0"/>
        </w:numPr>
        <w:tabs>
          <w:tab w:val="left" w:pos="2127"/>
        </w:tabs>
        <w:adjustRightInd w:val="0"/>
        <w:snapToGrid w:val="0"/>
        <w:spacing w:line="560" w:lineRule="exact"/>
        <w:ind w:left="0" w:leftChars="0" w:firstLine="602" w:firstLineChars="200"/>
        <w:rPr>
          <w:rFonts w:hint="eastAsia" w:ascii="仿宋_GB2312" w:hAnsi="宋体" w:eastAsia="仿宋_GB2312"/>
          <w:sz w:val="32"/>
          <w:szCs w:val="32"/>
        </w:rPr>
      </w:pPr>
      <w:r>
        <w:rPr>
          <w:rFonts w:hint="eastAsia" w:ascii="仿宋_GB2312" w:hAnsi="宋体" w:eastAsia="仿宋_GB2312" w:cs="Times New Roman"/>
          <w:b/>
          <w:kern w:val="2"/>
          <w:sz w:val="30"/>
          <w:szCs w:val="30"/>
          <w:lang w:val="en-US" w:eastAsia="zh-CN" w:bidi="ar-SA"/>
        </w:rPr>
        <w:t xml:space="preserve">第八十一条 </w:t>
      </w:r>
      <w:r>
        <w:rPr>
          <w:rFonts w:hint="eastAsia" w:ascii="仿宋_GB2312" w:hAnsi="宋体" w:eastAsia="仿宋_GB2312"/>
          <w:sz w:val="32"/>
          <w:szCs w:val="32"/>
        </w:rPr>
        <w:t>融入方、融出方、证券公司应当约定待购回期间或购回交易日发生异常情况的处理方式，并在异常情况发生时由证券公司及时向上交所报告。</w:t>
      </w:r>
    </w:p>
    <w:p w14:paraId="71C818EA">
      <w:pPr>
        <w:tabs>
          <w:tab w:val="left" w:pos="2552"/>
        </w:tabs>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前款所述异常情况包括：</w:t>
      </w:r>
    </w:p>
    <w:p w14:paraId="2470CA56">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（一）质押标的证券、证券账户或资金账户被司法等机关冻结或强制执行；</w:t>
      </w:r>
    </w:p>
    <w:p w14:paraId="160F0C80">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（二）质押标的证券被作出终止上市决定；</w:t>
      </w:r>
    </w:p>
    <w:p w14:paraId="5A5F5A5F">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（三）集合资产管理计划提前终止；</w:t>
      </w:r>
    </w:p>
    <w:p w14:paraId="171AE07B">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（四）证券公司被暂停或终止股票质押回购交易权限；</w:t>
      </w:r>
    </w:p>
    <w:p w14:paraId="7D228CB9">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（五）证券公司进入风险处置或破产程序；</w:t>
      </w:r>
    </w:p>
    <w:p w14:paraId="317D7E55">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（六）上交所认定的其他情形。</w:t>
      </w:r>
    </w:p>
    <w:p w14:paraId="366456B9">
      <w:pPr>
        <w:numPr>
          <w:ilvl w:val="0"/>
          <w:numId w:val="0"/>
        </w:numPr>
        <w:tabs>
          <w:tab w:val="left" w:pos="2127"/>
        </w:tabs>
        <w:adjustRightInd w:val="0"/>
        <w:snapToGrid w:val="0"/>
        <w:spacing w:line="560" w:lineRule="exact"/>
        <w:ind w:left="0" w:leftChars="0" w:firstLine="602" w:firstLineChars="200"/>
        <w:rPr>
          <w:rFonts w:hint="eastAsia" w:ascii="仿宋_GB2312" w:hAnsi="宋体" w:eastAsia="仿宋_GB2312"/>
          <w:sz w:val="32"/>
          <w:szCs w:val="32"/>
        </w:rPr>
      </w:pPr>
      <w:r>
        <w:rPr>
          <w:rFonts w:hint="eastAsia" w:ascii="仿宋_GB2312" w:hAnsi="宋体" w:eastAsia="仿宋_GB2312" w:cs="Times New Roman"/>
          <w:b/>
          <w:kern w:val="2"/>
          <w:sz w:val="30"/>
          <w:szCs w:val="30"/>
          <w:lang w:val="en-US" w:eastAsia="zh-CN" w:bidi="ar-SA"/>
        </w:rPr>
        <w:t xml:space="preserve">第八十二条 </w:t>
      </w:r>
      <w:r>
        <w:rPr>
          <w:rFonts w:hint="eastAsia" w:ascii="仿宋_GB2312" w:hAnsi="宋体" w:eastAsia="仿宋_GB2312"/>
          <w:sz w:val="32"/>
          <w:szCs w:val="32"/>
        </w:rPr>
        <w:t>发生异常情况的，交易各方可以按《业务协议》约定的以下方式处理：</w:t>
      </w:r>
    </w:p>
    <w:p w14:paraId="425FDADD">
      <w:pPr>
        <w:tabs>
          <w:tab w:val="left" w:pos="2552"/>
        </w:tabs>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（一）提前购回；</w:t>
      </w:r>
    </w:p>
    <w:p w14:paraId="725C1A16">
      <w:pPr>
        <w:tabs>
          <w:tab w:val="left" w:pos="2552"/>
        </w:tabs>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（二）延期购回；</w:t>
      </w:r>
    </w:p>
    <w:p w14:paraId="5261BAF9">
      <w:pPr>
        <w:tabs>
          <w:tab w:val="left" w:pos="2552"/>
        </w:tabs>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（三）终止购回；</w:t>
      </w:r>
    </w:p>
    <w:p w14:paraId="0A4EBB67">
      <w:pPr>
        <w:autoSpaceDE w:val="0"/>
        <w:autoSpaceDN w:val="0"/>
        <w:adjustRightInd w:val="0"/>
        <w:snapToGrid w:val="0"/>
        <w:spacing w:line="560" w:lineRule="exact"/>
        <w:ind w:firstLine="640" w:firstLineChars="200"/>
        <w:jc w:val="left"/>
        <w:rPr>
          <w:rFonts w:ascii="仿宋_GB2312" w:eastAsia="仿宋_GB2312"/>
          <w:sz w:val="32"/>
          <w:szCs w:val="32"/>
        </w:rPr>
      </w:pPr>
      <w:r>
        <w:rPr>
          <w:rFonts w:hint="eastAsia" w:ascii="仿宋_GB2312" w:eastAsia="仿宋_GB2312"/>
          <w:sz w:val="32"/>
          <w:szCs w:val="32"/>
        </w:rPr>
        <w:t>（四）上交所认可的其他约定方式。</w:t>
      </w:r>
    </w:p>
    <w:p w14:paraId="097802D6">
      <w:pPr>
        <w:numPr>
          <w:ilvl w:val="0"/>
          <w:numId w:val="0"/>
        </w:numPr>
        <w:tabs>
          <w:tab w:val="left" w:pos="2127"/>
        </w:tabs>
        <w:adjustRightInd w:val="0"/>
        <w:snapToGrid w:val="0"/>
        <w:spacing w:line="560" w:lineRule="exact"/>
        <w:ind w:left="0" w:leftChars="0" w:firstLine="602" w:firstLineChars="200"/>
        <w:rPr>
          <w:rFonts w:hint="eastAsia" w:ascii="仿宋_GB2312" w:hAnsi="宋体" w:eastAsia="仿宋_GB2312"/>
          <w:sz w:val="32"/>
          <w:szCs w:val="32"/>
        </w:rPr>
      </w:pPr>
      <w:r>
        <w:rPr>
          <w:rFonts w:hint="eastAsia" w:ascii="仿宋_GB2312" w:hAnsi="宋体" w:eastAsia="仿宋_GB2312" w:cs="Times New Roman"/>
          <w:b/>
          <w:kern w:val="2"/>
          <w:sz w:val="30"/>
          <w:szCs w:val="30"/>
          <w:lang w:val="en-US" w:eastAsia="zh-CN" w:bidi="ar-SA"/>
        </w:rPr>
        <w:t xml:space="preserve">第八十三条 </w:t>
      </w:r>
      <w:r>
        <w:rPr>
          <w:rFonts w:hint="eastAsia" w:ascii="仿宋_GB2312" w:hAnsi="宋体" w:eastAsia="仿宋_GB2312"/>
          <w:sz w:val="32"/>
          <w:szCs w:val="32"/>
        </w:rPr>
        <w:t>发生第八十一条情形的，证券公司应及时通知融入方和融出方。证券公司因自身原因导致发生第八十一条第（三）、（四）、（五）项情形的，还应当按照《业务协议》的有关约定承担违约责任。</w:t>
      </w:r>
    </w:p>
    <w:p w14:paraId="27E286A7">
      <w:pPr>
        <w:numPr>
          <w:ilvl w:val="0"/>
          <w:numId w:val="0"/>
        </w:numPr>
        <w:tabs>
          <w:tab w:val="left" w:pos="2127"/>
        </w:tabs>
        <w:adjustRightInd w:val="0"/>
        <w:snapToGrid w:val="0"/>
        <w:spacing w:line="560" w:lineRule="exact"/>
        <w:ind w:left="0" w:leftChars="0" w:firstLine="602" w:firstLineChars="200"/>
        <w:rPr>
          <w:rFonts w:hint="eastAsia" w:ascii="仿宋_GB2312" w:hAnsi="宋体" w:eastAsia="仿宋_GB2312"/>
          <w:sz w:val="32"/>
          <w:szCs w:val="32"/>
        </w:rPr>
      </w:pPr>
      <w:r>
        <w:rPr>
          <w:rFonts w:hint="eastAsia" w:ascii="仿宋_GB2312" w:hAnsi="宋体" w:eastAsia="仿宋_GB2312" w:cs="Times New Roman"/>
          <w:b/>
          <w:kern w:val="2"/>
          <w:sz w:val="30"/>
          <w:szCs w:val="30"/>
          <w:lang w:val="en-US" w:eastAsia="zh-CN" w:bidi="ar-SA"/>
        </w:rPr>
        <w:t xml:space="preserve">第八十四条 </w:t>
      </w:r>
      <w:r>
        <w:rPr>
          <w:rFonts w:hint="eastAsia" w:ascii="仿宋_GB2312" w:hAnsi="宋体" w:eastAsia="仿宋_GB2312"/>
          <w:sz w:val="32"/>
          <w:szCs w:val="32"/>
        </w:rPr>
        <w:t>交易各方应当在《业务协议》中约定，待购回期间标的证券涉及跨市场吸收合并的，融入方应当提前购回。</w:t>
      </w:r>
    </w:p>
    <w:p w14:paraId="38548451">
      <w:pPr>
        <w:adjustRightInd w:val="0"/>
        <w:snapToGrid w:val="0"/>
        <w:spacing w:line="560" w:lineRule="exact"/>
        <w:jc w:val="center"/>
        <w:rPr>
          <w:rFonts w:ascii="黑体" w:hAnsi="黑体" w:eastAsia="黑体"/>
          <w:bCs/>
          <w:sz w:val="32"/>
          <w:szCs w:val="32"/>
        </w:rPr>
      </w:pPr>
      <w:r>
        <w:rPr>
          <w:rFonts w:hint="eastAsia" w:ascii="黑体" w:hAnsi="黑体" w:eastAsia="黑体"/>
          <w:b/>
          <w:bCs w:val="0"/>
          <w:sz w:val="32"/>
          <w:szCs w:val="32"/>
        </w:rPr>
        <w:t>第八章</w:t>
      </w:r>
      <w:r>
        <w:rPr>
          <w:rFonts w:ascii="黑体" w:hAnsi="黑体" w:eastAsia="黑体"/>
          <w:b/>
          <w:bCs w:val="0"/>
          <w:sz w:val="32"/>
          <w:szCs w:val="32"/>
        </w:rPr>
        <w:t xml:space="preserve">  </w:t>
      </w:r>
      <w:r>
        <w:rPr>
          <w:rFonts w:hint="eastAsia" w:ascii="黑体" w:hAnsi="黑体" w:eastAsia="黑体"/>
          <w:b/>
          <w:bCs w:val="0"/>
          <w:sz w:val="32"/>
          <w:szCs w:val="32"/>
        </w:rPr>
        <w:t>附则</w:t>
      </w:r>
    </w:p>
    <w:p w14:paraId="1D64F47D">
      <w:pPr>
        <w:numPr>
          <w:ilvl w:val="0"/>
          <w:numId w:val="0"/>
        </w:numPr>
        <w:tabs>
          <w:tab w:val="left" w:pos="2127"/>
        </w:tabs>
        <w:adjustRightInd w:val="0"/>
        <w:snapToGrid w:val="0"/>
        <w:spacing w:line="560" w:lineRule="exact"/>
        <w:ind w:left="0" w:leftChars="0" w:firstLine="602" w:firstLineChars="200"/>
        <w:rPr>
          <w:rFonts w:hint="eastAsia" w:ascii="仿宋_GB2312" w:hAnsi="宋体" w:eastAsia="仿宋_GB2312"/>
          <w:sz w:val="32"/>
          <w:szCs w:val="32"/>
        </w:rPr>
      </w:pPr>
      <w:r>
        <w:rPr>
          <w:rFonts w:hint="eastAsia" w:ascii="仿宋_GB2312" w:hAnsi="宋体" w:eastAsia="仿宋_GB2312" w:cs="Times New Roman"/>
          <w:b/>
          <w:kern w:val="2"/>
          <w:sz w:val="30"/>
          <w:szCs w:val="30"/>
          <w:lang w:val="en-US" w:eastAsia="zh-CN" w:bidi="ar-SA"/>
        </w:rPr>
        <w:t xml:space="preserve">第八十五条 </w:t>
      </w:r>
      <w:r>
        <w:rPr>
          <w:rFonts w:hint="eastAsia" w:ascii="仿宋_GB2312" w:hAnsi="宋体" w:eastAsia="仿宋_GB2312"/>
          <w:sz w:val="32"/>
          <w:szCs w:val="32"/>
        </w:rPr>
        <w:t>中国结算按照现有标准在初始交易和补充质押时向融入方收取质押登记费。上交所按照每笔初始交易金额的</w:t>
      </w:r>
      <w:r>
        <w:rPr>
          <w:rFonts w:hint="eastAsia" w:eastAsia="仿宋_GB2312"/>
          <w:sz w:val="32"/>
          <w:szCs w:val="32"/>
        </w:rPr>
        <w:t>0</w:t>
      </w:r>
      <w:r>
        <w:rPr>
          <w:rFonts w:hint="eastAsia" w:ascii="仿宋_GB2312" w:hAnsi="宋体" w:eastAsia="仿宋_GB2312"/>
          <w:sz w:val="32"/>
          <w:szCs w:val="32"/>
        </w:rPr>
        <w:t>.</w:t>
      </w:r>
      <w:r>
        <w:rPr>
          <w:rFonts w:hint="eastAsia" w:eastAsia="仿宋_GB2312"/>
          <w:sz w:val="32"/>
          <w:szCs w:val="32"/>
        </w:rPr>
        <w:t>01</w:t>
      </w:r>
      <w:r>
        <w:rPr>
          <w:rFonts w:hint="eastAsia" w:ascii="仿宋_GB2312" w:hAnsi="宋体" w:eastAsia="仿宋_GB2312"/>
          <w:sz w:val="32"/>
          <w:szCs w:val="32"/>
        </w:rPr>
        <w:t>‰，起点</w:t>
      </w:r>
      <w:r>
        <w:rPr>
          <w:rFonts w:hint="eastAsia" w:eastAsia="仿宋_GB2312"/>
          <w:sz w:val="32"/>
          <w:szCs w:val="32"/>
        </w:rPr>
        <w:t>5</w:t>
      </w:r>
      <w:r>
        <w:rPr>
          <w:rFonts w:hint="eastAsia" w:ascii="仿宋_GB2312" w:hAnsi="宋体" w:eastAsia="仿宋_GB2312"/>
          <w:sz w:val="32"/>
          <w:szCs w:val="32"/>
        </w:rPr>
        <w:t>元，最高不超过</w:t>
      </w:r>
      <w:r>
        <w:rPr>
          <w:rFonts w:hint="eastAsia" w:eastAsia="仿宋_GB2312"/>
          <w:sz w:val="32"/>
          <w:szCs w:val="32"/>
        </w:rPr>
        <w:t>100</w:t>
      </w:r>
      <w:r>
        <w:rPr>
          <w:rFonts w:hint="eastAsia" w:ascii="仿宋_GB2312" w:hAnsi="宋体" w:eastAsia="仿宋_GB2312"/>
          <w:sz w:val="32"/>
          <w:szCs w:val="32"/>
        </w:rPr>
        <w:t>元的标准收取经手费。</w:t>
      </w:r>
    </w:p>
    <w:p w14:paraId="450429D0">
      <w:pPr>
        <w:numPr>
          <w:ilvl w:val="0"/>
          <w:numId w:val="0"/>
        </w:numPr>
        <w:tabs>
          <w:tab w:val="left" w:pos="2127"/>
        </w:tabs>
        <w:adjustRightInd w:val="0"/>
        <w:snapToGrid w:val="0"/>
        <w:spacing w:line="560" w:lineRule="exact"/>
        <w:ind w:left="0" w:leftChars="0" w:firstLine="602" w:firstLineChars="200"/>
        <w:rPr>
          <w:rFonts w:hint="eastAsia" w:ascii="仿宋_GB2312" w:hAnsi="宋体" w:eastAsia="仿宋_GB2312"/>
          <w:sz w:val="32"/>
          <w:szCs w:val="32"/>
        </w:rPr>
      </w:pPr>
      <w:r>
        <w:rPr>
          <w:rFonts w:hint="eastAsia" w:ascii="仿宋_GB2312" w:hAnsi="宋体" w:eastAsia="仿宋_GB2312" w:cs="Times New Roman"/>
          <w:b/>
          <w:kern w:val="2"/>
          <w:sz w:val="30"/>
          <w:szCs w:val="30"/>
          <w:lang w:val="en-US" w:eastAsia="zh-CN" w:bidi="ar-SA"/>
        </w:rPr>
        <w:t xml:space="preserve">第八十六条 </w:t>
      </w:r>
      <w:r>
        <w:rPr>
          <w:rFonts w:hint="eastAsia" w:ascii="仿宋_GB2312" w:hAnsi="宋体" w:eastAsia="仿宋_GB2312"/>
          <w:sz w:val="32"/>
          <w:szCs w:val="32"/>
        </w:rPr>
        <w:t>股票质押回购开展过程中，因不可抗力、意外事件、系统故障等交易异常情况及上交所和中国结算上海分公司采取相应措施造成的损失，上交所和中国结算及其上海分公司不承担任何责任。</w:t>
      </w:r>
    </w:p>
    <w:p w14:paraId="4BC4F890">
      <w:pPr>
        <w:numPr>
          <w:ilvl w:val="0"/>
          <w:numId w:val="0"/>
        </w:numPr>
        <w:tabs>
          <w:tab w:val="left" w:pos="2127"/>
        </w:tabs>
        <w:adjustRightInd w:val="0"/>
        <w:snapToGrid w:val="0"/>
        <w:spacing w:line="560" w:lineRule="exact"/>
        <w:ind w:left="0" w:leftChars="0" w:firstLine="602" w:firstLineChars="200"/>
        <w:rPr>
          <w:rFonts w:hint="eastAsia" w:ascii="仿宋_GB2312" w:hAnsi="宋体" w:eastAsia="仿宋_GB2312"/>
          <w:sz w:val="32"/>
          <w:szCs w:val="32"/>
        </w:rPr>
      </w:pPr>
      <w:r>
        <w:rPr>
          <w:rFonts w:hint="eastAsia" w:ascii="仿宋_GB2312" w:hAnsi="宋体" w:eastAsia="仿宋_GB2312" w:cs="Times New Roman"/>
          <w:b/>
          <w:kern w:val="2"/>
          <w:sz w:val="30"/>
          <w:szCs w:val="30"/>
          <w:lang w:val="en-US" w:eastAsia="zh-CN" w:bidi="ar-SA"/>
        </w:rPr>
        <w:t xml:space="preserve">第八十七条 </w:t>
      </w:r>
      <w:r>
        <w:rPr>
          <w:rFonts w:hint="eastAsia" w:ascii="仿宋_GB2312" w:hAnsi="宋体" w:eastAsia="仿宋_GB2312"/>
          <w:sz w:val="32"/>
          <w:szCs w:val="32"/>
        </w:rPr>
        <w:t>本办法由上交所和中国结算负责解释。</w:t>
      </w:r>
    </w:p>
    <w:p w14:paraId="5E808AA5">
      <w:pPr>
        <w:numPr>
          <w:ilvl w:val="0"/>
          <w:numId w:val="0"/>
        </w:numPr>
        <w:tabs>
          <w:tab w:val="left" w:pos="2127"/>
        </w:tabs>
        <w:adjustRightInd w:val="0"/>
        <w:snapToGrid w:val="0"/>
        <w:spacing w:line="560" w:lineRule="exact"/>
        <w:ind w:left="0" w:leftChars="0" w:firstLine="602" w:firstLineChars="200"/>
        <w:rPr>
          <w:rFonts w:hint="eastAsia" w:ascii="仿宋_GB2312" w:hAnsi="宋体" w:eastAsia="仿宋_GB2312"/>
          <w:sz w:val="32"/>
          <w:szCs w:val="32"/>
        </w:rPr>
      </w:pPr>
      <w:r>
        <w:rPr>
          <w:rFonts w:hint="eastAsia" w:ascii="仿宋_GB2312" w:hAnsi="宋体" w:eastAsia="仿宋_GB2312" w:cs="Times New Roman"/>
          <w:b/>
          <w:kern w:val="2"/>
          <w:sz w:val="30"/>
          <w:szCs w:val="30"/>
          <w:lang w:val="en-US" w:eastAsia="zh-CN" w:bidi="ar-SA"/>
        </w:rPr>
        <w:t xml:space="preserve">第八十八条 </w:t>
      </w:r>
      <w:r>
        <w:rPr>
          <w:rFonts w:hint="eastAsia" w:ascii="仿宋_GB2312" w:hAnsi="宋体" w:eastAsia="仿宋_GB2312"/>
          <w:sz w:val="32"/>
          <w:szCs w:val="32"/>
        </w:rPr>
        <w:t>本办法自</w:t>
      </w:r>
      <w:r>
        <w:rPr>
          <w:rFonts w:hint="eastAsia" w:eastAsia="仿宋_GB2312"/>
          <w:sz w:val="32"/>
          <w:szCs w:val="32"/>
        </w:rPr>
        <w:t>2025</w:t>
      </w:r>
      <w:r>
        <w:rPr>
          <w:rFonts w:hint="eastAsia" w:ascii="仿宋_GB2312" w:hAnsi="宋体" w:eastAsia="仿宋_GB2312"/>
          <w:sz w:val="32"/>
          <w:szCs w:val="32"/>
        </w:rPr>
        <w:t>年</w:t>
      </w:r>
      <w:r>
        <w:rPr>
          <w:rFonts w:hint="eastAsia" w:eastAsia="仿宋_GB2312"/>
          <w:sz w:val="32"/>
          <w:szCs w:val="32"/>
        </w:rPr>
        <w:t>3</w:t>
      </w:r>
      <w:r>
        <w:rPr>
          <w:rFonts w:hint="eastAsia" w:ascii="仿宋_GB2312" w:hAnsi="宋体" w:eastAsia="仿宋_GB2312"/>
          <w:sz w:val="32"/>
          <w:szCs w:val="32"/>
        </w:rPr>
        <w:t>月</w:t>
      </w:r>
      <w:r>
        <w:rPr>
          <w:rFonts w:hint="eastAsia" w:eastAsia="仿宋_GB2312"/>
          <w:sz w:val="32"/>
          <w:szCs w:val="32"/>
        </w:rPr>
        <w:t>28</w:t>
      </w:r>
      <w:r>
        <w:rPr>
          <w:rFonts w:hint="eastAsia" w:ascii="仿宋_GB2312" w:hAnsi="宋体" w:eastAsia="仿宋_GB2312"/>
          <w:sz w:val="32"/>
          <w:szCs w:val="32"/>
        </w:rPr>
        <w:t>日起施行。</w:t>
      </w:r>
      <w:r>
        <w:rPr>
          <w:rFonts w:hint="eastAsia" w:eastAsia="仿宋_GB2312"/>
          <w:sz w:val="32"/>
          <w:szCs w:val="32"/>
        </w:rPr>
        <w:t>2018</w:t>
      </w:r>
      <w:r>
        <w:rPr>
          <w:rFonts w:hint="eastAsia" w:ascii="仿宋_GB2312" w:hAnsi="宋体" w:eastAsia="仿宋_GB2312"/>
          <w:sz w:val="32"/>
          <w:szCs w:val="32"/>
        </w:rPr>
        <w:t>年</w:t>
      </w:r>
      <w:r>
        <w:rPr>
          <w:rFonts w:hint="eastAsia" w:eastAsia="仿宋_GB2312"/>
          <w:sz w:val="32"/>
          <w:szCs w:val="32"/>
        </w:rPr>
        <w:t>1</w:t>
      </w:r>
      <w:r>
        <w:rPr>
          <w:rFonts w:hint="eastAsia" w:ascii="仿宋_GB2312" w:hAnsi="宋体" w:eastAsia="仿宋_GB2312"/>
          <w:sz w:val="32"/>
          <w:szCs w:val="32"/>
        </w:rPr>
        <w:t>月</w:t>
      </w:r>
      <w:r>
        <w:rPr>
          <w:rFonts w:hint="eastAsia" w:eastAsia="仿宋_GB2312"/>
          <w:sz w:val="32"/>
          <w:szCs w:val="32"/>
        </w:rPr>
        <w:t>12</w:t>
      </w:r>
      <w:r>
        <w:rPr>
          <w:rFonts w:hint="eastAsia" w:ascii="仿宋_GB2312" w:hAnsi="宋体" w:eastAsia="仿宋_GB2312"/>
          <w:sz w:val="32"/>
          <w:szCs w:val="32"/>
        </w:rPr>
        <w:t>日发布的《股票质押式回购交易及登记结算业务办法（</w:t>
      </w:r>
      <w:r>
        <w:rPr>
          <w:rFonts w:hint="eastAsia" w:eastAsia="仿宋_GB2312"/>
          <w:sz w:val="32"/>
          <w:szCs w:val="32"/>
        </w:rPr>
        <w:t>2018</w:t>
      </w:r>
      <w:r>
        <w:rPr>
          <w:rFonts w:hint="eastAsia" w:ascii="仿宋_GB2312" w:hAnsi="宋体" w:eastAsia="仿宋_GB2312"/>
          <w:sz w:val="32"/>
          <w:szCs w:val="32"/>
        </w:rPr>
        <w:t>年修订）》（上证发〔</w:t>
      </w:r>
      <w:r>
        <w:rPr>
          <w:rFonts w:hint="eastAsia" w:eastAsia="仿宋_GB2312"/>
          <w:sz w:val="32"/>
          <w:szCs w:val="32"/>
        </w:rPr>
        <w:t>2018</w:t>
      </w:r>
      <w:r>
        <w:rPr>
          <w:rFonts w:hint="eastAsia" w:ascii="仿宋_GB2312" w:hAnsi="宋体" w:eastAsia="仿宋_GB2312"/>
          <w:sz w:val="32"/>
          <w:szCs w:val="32"/>
        </w:rPr>
        <w:t>〕</w:t>
      </w:r>
      <w:r>
        <w:rPr>
          <w:rFonts w:hint="eastAsia" w:eastAsia="仿宋_GB2312"/>
          <w:sz w:val="32"/>
          <w:szCs w:val="32"/>
        </w:rPr>
        <w:t>4</w:t>
      </w:r>
      <w:r>
        <w:rPr>
          <w:rFonts w:hint="eastAsia" w:ascii="仿宋_GB2312" w:hAnsi="宋体" w:eastAsia="仿宋_GB2312"/>
          <w:sz w:val="32"/>
          <w:szCs w:val="32"/>
        </w:rPr>
        <w:t>号）同时废止。</w:t>
      </w:r>
    </w:p>
    <w:p w14:paraId="0453D016">
      <w:pPr>
        <w:tabs>
          <w:tab w:val="left" w:pos="2127"/>
        </w:tabs>
        <w:adjustRightInd w:val="0"/>
        <w:snapToGrid w:val="0"/>
        <w:spacing w:line="560" w:lineRule="exact"/>
        <w:rPr>
          <w:rFonts w:hint="eastAsia" w:ascii="仿宋_GB2312" w:hAnsi="宋体" w:eastAsia="仿宋_GB2312"/>
          <w:sz w:val="32"/>
          <w:szCs w:val="32"/>
        </w:rPr>
      </w:pPr>
    </w:p>
    <w:p w14:paraId="401CE114">
      <w:pPr>
        <w:adjustRightInd w:val="0"/>
        <w:snapToGrid w:val="0"/>
        <w:spacing w:line="560" w:lineRule="exact"/>
        <w:ind w:left="1322" w:leftChars="270" w:hanging="755" w:hangingChars="236"/>
        <w:rPr>
          <w:rFonts w:hint="eastAsia" w:ascii="仿宋_GB2312" w:hAnsi="宋体" w:eastAsia="仿宋_GB2312"/>
          <w:sz w:val="32"/>
          <w:szCs w:val="32"/>
        </w:rPr>
      </w:pPr>
      <w:r>
        <w:rPr>
          <w:rFonts w:hint="eastAsia" w:ascii="仿宋_GB2312" w:hAnsi="宋体" w:eastAsia="仿宋_GB2312"/>
          <w:sz w:val="32"/>
          <w:szCs w:val="32"/>
        </w:rPr>
        <w:t>附件：</w:t>
      </w:r>
    </w:p>
    <w:p w14:paraId="1E627DF0">
      <w:pPr>
        <w:adjustRightInd w:val="0"/>
        <w:snapToGrid w:val="0"/>
        <w:spacing w:line="560" w:lineRule="exact"/>
        <w:ind w:firstLine="640" w:firstLineChars="200"/>
        <w:rPr>
          <w:rFonts w:hint="eastAsia" w:ascii="仿宋_GB2312" w:hAnsi="宋体" w:eastAsia="仿宋_GB2312"/>
          <w:sz w:val="32"/>
          <w:szCs w:val="32"/>
        </w:rPr>
      </w:pPr>
      <w:r>
        <w:rPr>
          <w:rFonts w:hint="eastAsia" w:eastAsia="仿宋_GB2312"/>
          <w:sz w:val="32"/>
          <w:szCs w:val="32"/>
        </w:rPr>
        <w:t>1</w:t>
      </w:r>
      <w:r>
        <w:rPr>
          <w:rFonts w:hint="eastAsia" w:ascii="仿宋_GB2312" w:hAnsi="宋体" w:eastAsia="仿宋_GB2312"/>
          <w:sz w:val="32"/>
          <w:szCs w:val="32"/>
        </w:rPr>
        <w:t>.股票质押式回购交易业务协议必备条款（适用于融出方为证券公司、证券公司管理的集合资产管理计划或定向资产管理客户的模式）</w:t>
      </w:r>
    </w:p>
    <w:p w14:paraId="4A56797F">
      <w:pPr>
        <w:adjustRightInd w:val="0"/>
        <w:snapToGrid w:val="0"/>
        <w:spacing w:line="560" w:lineRule="exact"/>
        <w:ind w:firstLine="640" w:firstLineChars="200"/>
        <w:rPr>
          <w:rFonts w:hint="eastAsia" w:ascii="仿宋_GB2312" w:hAnsi="宋体" w:eastAsia="仿宋_GB2312"/>
          <w:sz w:val="32"/>
          <w:szCs w:val="32"/>
        </w:rPr>
      </w:pPr>
      <w:r>
        <w:rPr>
          <w:rFonts w:hint="eastAsia" w:eastAsia="仿宋_GB2312"/>
          <w:sz w:val="32"/>
          <w:szCs w:val="32"/>
        </w:rPr>
        <w:t>2</w:t>
      </w:r>
      <w:r>
        <w:rPr>
          <w:rFonts w:hint="eastAsia" w:ascii="仿宋_GB2312" w:hAnsi="宋体" w:eastAsia="仿宋_GB2312"/>
          <w:sz w:val="32"/>
          <w:szCs w:val="32"/>
        </w:rPr>
        <w:t>.</w:t>
      </w:r>
      <w:r>
        <w:rPr>
          <w:rFonts w:hint="eastAsia" w:ascii="仿宋_GB2312" w:hAnsi="黑体" w:eastAsia="仿宋_GB2312"/>
          <w:sz w:val="32"/>
          <w:szCs w:val="32"/>
        </w:rPr>
        <w:t>股票质押式回购交易业务协议必备条款</w:t>
      </w:r>
      <w:r>
        <w:rPr>
          <w:rFonts w:hint="eastAsia" w:ascii="仿宋_GB2312" w:hAnsi="宋体" w:eastAsia="仿宋_GB2312"/>
          <w:sz w:val="32"/>
          <w:szCs w:val="32"/>
        </w:rPr>
        <w:t>（适用于融出方为证券公司资产管理子公司管理的集合资产管理计划、定向资产管理客户的</w:t>
      </w:r>
      <w:r>
        <w:rPr>
          <w:rFonts w:hint="eastAsia" w:ascii="仿宋_GB2312" w:hAnsi="宋体" w:eastAsia="仿宋_GB2312" w:cs="Arial"/>
          <w:kern w:val="0"/>
          <w:sz w:val="32"/>
          <w:szCs w:val="32"/>
        </w:rPr>
        <w:t>模式</w:t>
      </w:r>
      <w:r>
        <w:rPr>
          <w:rFonts w:hint="eastAsia" w:ascii="仿宋_GB2312" w:hAnsi="宋体" w:eastAsia="仿宋_GB2312"/>
          <w:sz w:val="32"/>
          <w:szCs w:val="32"/>
        </w:rPr>
        <w:t>）</w:t>
      </w:r>
    </w:p>
    <w:p w14:paraId="2E0DBEFE">
      <w:pPr>
        <w:adjustRightInd w:val="0"/>
        <w:snapToGrid w:val="0"/>
        <w:spacing w:line="560" w:lineRule="exact"/>
        <w:ind w:firstLine="640" w:firstLineChars="200"/>
        <w:rPr>
          <w:rFonts w:hint="eastAsia" w:ascii="仿宋_GB2312" w:hAnsi="宋体" w:eastAsia="仿宋_GB2312"/>
          <w:sz w:val="32"/>
          <w:szCs w:val="32"/>
        </w:rPr>
      </w:pPr>
      <w:r>
        <w:rPr>
          <w:rFonts w:hint="eastAsia" w:eastAsia="仿宋_GB2312"/>
          <w:sz w:val="32"/>
          <w:szCs w:val="32"/>
        </w:rPr>
        <w:t>3</w:t>
      </w:r>
      <w:r>
        <w:rPr>
          <w:rFonts w:hint="eastAsia" w:ascii="仿宋_GB2312" w:hAnsi="宋体" w:eastAsia="仿宋_GB2312"/>
          <w:sz w:val="32"/>
          <w:szCs w:val="32"/>
        </w:rPr>
        <w:t>.股票质押式回购交易风险揭示书必备条款</w:t>
      </w:r>
      <w:bookmarkStart w:id="0" w:name="_GoBack"/>
      <w:bookmarkEnd w:id="0"/>
    </w:p>
    <w:p w14:paraId="6064E6D2">
      <w:pPr>
        <w:adjustRightInd w:val="0"/>
        <w:snapToGrid w:val="0"/>
        <w:spacing w:line="560" w:lineRule="exact"/>
        <w:rPr>
          <w:rFonts w:hint="eastAsia" w:ascii="仿宋_GB2312" w:hAnsi="宋体" w:eastAsia="仿宋_GB2312"/>
          <w:b/>
          <w:sz w:val="32"/>
          <w:szCs w:val="32"/>
        </w:rPr>
      </w:pPr>
      <w:r>
        <w:rPr>
          <w:rFonts w:ascii="仿宋_GB2312" w:hAnsi="宋体" w:eastAsia="仿宋_GB2312"/>
          <w:sz w:val="30"/>
          <w:szCs w:val="30"/>
        </w:rPr>
        <w:br w:type="page"/>
      </w:r>
      <w:r>
        <w:rPr>
          <w:rFonts w:hint="eastAsia" w:ascii="仿宋_GB2312" w:hAnsi="宋体" w:eastAsia="仿宋_GB2312"/>
          <w:b/>
          <w:sz w:val="32"/>
          <w:szCs w:val="32"/>
        </w:rPr>
        <w:t>附件</w:t>
      </w:r>
      <w:r>
        <w:rPr>
          <w:rFonts w:hint="eastAsia" w:eastAsia="仿宋_GB2312"/>
          <w:b/>
          <w:sz w:val="32"/>
          <w:szCs w:val="32"/>
        </w:rPr>
        <w:t>1</w:t>
      </w:r>
    </w:p>
    <w:p w14:paraId="19F7EA3F">
      <w:pPr>
        <w:tabs>
          <w:tab w:val="left" w:pos="2127"/>
        </w:tabs>
        <w:adjustRightInd w:val="0"/>
        <w:snapToGrid w:val="0"/>
        <w:spacing w:line="560" w:lineRule="exact"/>
        <w:rPr>
          <w:rFonts w:hint="eastAsia" w:ascii="仿宋_GB2312" w:hAnsi="宋体" w:eastAsia="仿宋_GB2312"/>
          <w:sz w:val="32"/>
          <w:szCs w:val="32"/>
        </w:rPr>
      </w:pPr>
    </w:p>
    <w:p w14:paraId="56E23233">
      <w:pPr>
        <w:adjustRightInd w:val="0"/>
        <w:snapToGrid w:val="0"/>
        <w:spacing w:line="560" w:lineRule="exact"/>
        <w:jc w:val="center"/>
        <w:rPr>
          <w:rFonts w:hint="eastAsia" w:ascii="方正大标宋简体" w:hAnsi="黑体" w:eastAsia="方正大标宋简体"/>
          <w:sz w:val="44"/>
          <w:szCs w:val="44"/>
        </w:rPr>
      </w:pPr>
      <w:r>
        <w:rPr>
          <w:rFonts w:hint="eastAsia" w:ascii="方正大标宋简体" w:hAnsi="黑体" w:eastAsia="方正大标宋简体"/>
          <w:sz w:val="44"/>
          <w:szCs w:val="44"/>
        </w:rPr>
        <w:t>股票质押式回购交易业务协议必备条款</w:t>
      </w:r>
    </w:p>
    <w:p w14:paraId="3EACBB06">
      <w:pPr>
        <w:adjustRightInd w:val="0"/>
        <w:snapToGrid w:val="0"/>
        <w:spacing w:line="560" w:lineRule="exact"/>
        <w:jc w:val="center"/>
        <w:rPr>
          <w:rFonts w:hint="eastAsia" w:ascii="仿宋_GB2312" w:hAnsi="宋体" w:eastAsia="仿宋_GB2312"/>
          <w:b/>
          <w:sz w:val="32"/>
          <w:szCs w:val="32"/>
        </w:rPr>
      </w:pPr>
      <w:r>
        <w:rPr>
          <w:rFonts w:hint="eastAsia" w:ascii="仿宋_GB2312" w:hAnsi="宋体" w:eastAsia="仿宋_GB2312"/>
          <w:b/>
          <w:sz w:val="32"/>
          <w:szCs w:val="32"/>
        </w:rPr>
        <w:t>（适用于融出方为证券公司、证券公司管理的集合资产管理计划或定向资产管理客户的模式）</w:t>
      </w:r>
    </w:p>
    <w:p w14:paraId="038FAF9F">
      <w:pPr>
        <w:widowControl/>
        <w:adjustRightInd w:val="0"/>
        <w:snapToGrid w:val="0"/>
        <w:spacing w:line="560" w:lineRule="exact"/>
        <w:rPr>
          <w:rFonts w:hint="eastAsia" w:ascii="仿宋_GB2312" w:hAnsi="宋体" w:eastAsia="仿宋_GB2312" w:cs="Arial"/>
          <w:kern w:val="0"/>
          <w:sz w:val="32"/>
          <w:szCs w:val="32"/>
        </w:rPr>
      </w:pPr>
    </w:p>
    <w:p w14:paraId="3A512374">
      <w:pPr>
        <w:widowControl/>
        <w:adjustRightInd w:val="0"/>
        <w:snapToGrid w:val="0"/>
        <w:spacing w:line="560" w:lineRule="exact"/>
        <w:ind w:firstLine="640" w:firstLineChars="200"/>
        <w:rPr>
          <w:rFonts w:ascii="仿宋_GB2312" w:eastAsia="仿宋_GB2312"/>
          <w:sz w:val="32"/>
          <w:szCs w:val="32"/>
        </w:rPr>
      </w:pPr>
      <w:r>
        <w:rPr>
          <w:rFonts w:hint="eastAsia" w:ascii="仿宋_GB2312" w:hAnsi="宋体" w:eastAsia="仿宋_GB2312" w:cs="Arial"/>
          <w:kern w:val="0"/>
          <w:sz w:val="32"/>
          <w:szCs w:val="32"/>
        </w:rPr>
        <w:t>证券公司应当在其与资金融入方（以下简称融入方）签订的</w:t>
      </w:r>
      <w:r>
        <w:rPr>
          <w:rFonts w:hint="eastAsia" w:ascii="仿宋_GB2312" w:eastAsia="仿宋_GB2312"/>
          <w:sz w:val="32"/>
          <w:szCs w:val="32"/>
        </w:rPr>
        <w:t>股票质押式回购交易</w:t>
      </w:r>
      <w:r>
        <w:rPr>
          <w:rFonts w:hint="eastAsia" w:ascii="仿宋_GB2312" w:hAnsi="宋体" w:eastAsia="仿宋_GB2312"/>
          <w:sz w:val="32"/>
          <w:szCs w:val="32"/>
        </w:rPr>
        <w:t>（以下简称股票质押回购）</w:t>
      </w:r>
      <w:r>
        <w:rPr>
          <w:rFonts w:hint="eastAsia" w:ascii="仿宋_GB2312" w:eastAsia="仿宋_GB2312"/>
          <w:sz w:val="32"/>
          <w:szCs w:val="32"/>
        </w:rPr>
        <w:t>业务协议</w:t>
      </w:r>
      <w:r>
        <w:rPr>
          <w:rFonts w:hint="eastAsia" w:ascii="仿宋_GB2312" w:hAnsi="宋体" w:eastAsia="仿宋_GB2312" w:cs="Arial"/>
          <w:kern w:val="0"/>
          <w:sz w:val="32"/>
          <w:szCs w:val="32"/>
        </w:rPr>
        <w:t>中载明必备条款所要求的内容，根据融出方为证券公司、证券公司管理的集合资产管理计划或定向资产管理客户的不同情况，制定具体的合同文本，并不得擅自修改或删除相应必备条款所要求的内容。证券公司可以根据具体情况，在其与融入方签订的</w:t>
      </w:r>
      <w:r>
        <w:rPr>
          <w:rFonts w:hint="eastAsia" w:ascii="仿宋_GB2312" w:eastAsia="仿宋_GB2312"/>
          <w:sz w:val="32"/>
          <w:szCs w:val="32"/>
        </w:rPr>
        <w:t>业务协议</w:t>
      </w:r>
      <w:r>
        <w:rPr>
          <w:rFonts w:hint="eastAsia" w:ascii="仿宋_GB2312" w:hAnsi="宋体" w:eastAsia="仿宋_GB2312" w:cs="Arial"/>
          <w:kern w:val="0"/>
          <w:sz w:val="32"/>
          <w:szCs w:val="32"/>
        </w:rPr>
        <w:t>中约定必备条款要求载明以外的、适合本公司实际需要的其他内容，也可以在不改变必备条款规定含义的前提下，对必备条款作文字和条文顺序的变动。</w:t>
      </w:r>
    </w:p>
    <w:p w14:paraId="55C9F7ED">
      <w:pPr>
        <w:numPr>
          <w:ilvl w:val="1"/>
          <w:numId w:val="0"/>
        </w:numPr>
        <w:tabs>
          <w:tab w:val="left" w:pos="340"/>
        </w:tabs>
        <w:adjustRightInd w:val="0"/>
        <w:snapToGrid w:val="0"/>
        <w:spacing w:line="560" w:lineRule="exact"/>
        <w:ind w:left="0" w:leftChars="0" w:firstLine="643" w:firstLineChars="200"/>
        <w:rPr>
          <w:rFonts w:ascii="仿宋_GB2312" w:eastAsia="仿宋_GB2312"/>
          <w:sz w:val="32"/>
          <w:szCs w:val="32"/>
        </w:rPr>
      </w:pPr>
      <w:r>
        <w:rPr>
          <w:rFonts w:ascii="仿宋_GB2312" w:hAnsi="Times New Roman" w:eastAsia="仿宋_GB2312" w:cs="Times New Roman"/>
          <w:b/>
          <w:kern w:val="2"/>
          <w:sz w:val="32"/>
          <w:szCs w:val="32"/>
          <w:lang w:val="en-US" w:eastAsia="zh-CN" w:bidi="ar-SA"/>
        </w:rPr>
        <w:t>第一</w:t>
      </w:r>
      <w:r>
        <w:rPr>
          <w:rFonts w:hint="eastAsia" w:ascii="仿宋_GB2312" w:eastAsia="仿宋_GB2312" w:cs="Times New Roman"/>
          <w:b/>
          <w:kern w:val="2"/>
          <w:sz w:val="32"/>
          <w:szCs w:val="32"/>
          <w:lang w:val="en-US" w:eastAsia="zh-CN" w:bidi="ar-SA"/>
        </w:rPr>
        <w:t xml:space="preserve">条 </w:t>
      </w:r>
      <w:r>
        <w:rPr>
          <w:rFonts w:hint="eastAsia" w:ascii="仿宋_GB2312" w:eastAsia="仿宋_GB2312"/>
          <w:sz w:val="32"/>
          <w:szCs w:val="32"/>
        </w:rPr>
        <w:t>证券公司开展股票质押回购业务，应当与融入方签订《股票质押式回购交易业务协议》（以下简称业务协议）。业务协议应当载明当事人姓名、住所等相关信息，包括但不限于：</w:t>
      </w:r>
    </w:p>
    <w:p w14:paraId="40391052">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甲方（指融入方，下同）：姓名（或名称）、住所、法定代表人姓名、公司营业执照/个人身份证件号码、联系方式等。</w:t>
      </w:r>
    </w:p>
    <w:p w14:paraId="6833EFBB">
      <w:pPr>
        <w:adjustRightInd w:val="0"/>
        <w:snapToGrid w:val="0"/>
        <w:spacing w:line="560" w:lineRule="exact"/>
        <w:ind w:firstLine="633" w:firstLineChars="198"/>
        <w:rPr>
          <w:rFonts w:ascii="仿宋_GB2312" w:eastAsia="仿宋_GB2312"/>
          <w:sz w:val="32"/>
          <w:szCs w:val="32"/>
        </w:rPr>
      </w:pPr>
      <w:r>
        <w:rPr>
          <w:rFonts w:hint="eastAsia" w:ascii="仿宋_GB2312" w:eastAsia="仿宋_GB2312"/>
          <w:sz w:val="32"/>
          <w:szCs w:val="32"/>
        </w:rPr>
        <w:t>乙方（指证券公司，下同）：名称、住所、法定代表人、联系方式等。</w:t>
      </w:r>
    </w:p>
    <w:p w14:paraId="2B80BFE3">
      <w:pPr>
        <w:adjustRightInd w:val="0"/>
        <w:snapToGrid w:val="0"/>
        <w:spacing w:line="560" w:lineRule="exact"/>
        <w:ind w:firstLine="633" w:firstLineChars="198"/>
        <w:rPr>
          <w:rFonts w:ascii="仿宋_GB2312" w:eastAsia="仿宋_GB2312"/>
          <w:sz w:val="32"/>
          <w:szCs w:val="32"/>
        </w:rPr>
      </w:pPr>
      <w:r>
        <w:rPr>
          <w:rFonts w:hint="eastAsia" w:ascii="仿宋_GB2312" w:eastAsia="仿宋_GB2312"/>
          <w:sz w:val="32"/>
          <w:szCs w:val="32"/>
        </w:rPr>
        <w:t>若乙方管理的集合资产管理计划或定向资产管理客户作为资金融出方（以下简称融出方）的，业务协议应当载明集合资产管理计划或定向资产管理客户的名称及相关信息。乙方根据相关资产管理合同的约定代表融出方签署本协议，相关法律后果均由集合资产管理计划或定向资产管理客户承担。</w:t>
      </w:r>
      <w:r>
        <w:rPr>
          <w:rFonts w:hint="eastAsia" w:ascii="仿宋_GB2312" w:hAnsi="宋体" w:eastAsia="仿宋_GB2312"/>
          <w:sz w:val="32"/>
          <w:szCs w:val="32"/>
        </w:rPr>
        <w:t>专项资产管理计划比照执行。</w:t>
      </w:r>
    </w:p>
    <w:p w14:paraId="054E30F9">
      <w:pPr>
        <w:numPr>
          <w:ilvl w:val="1"/>
          <w:numId w:val="0"/>
        </w:numPr>
        <w:tabs>
          <w:tab w:val="left" w:pos="340"/>
        </w:tabs>
        <w:adjustRightInd w:val="0"/>
        <w:snapToGrid w:val="0"/>
        <w:spacing w:line="560" w:lineRule="exact"/>
        <w:ind w:left="0" w:leftChars="0" w:firstLine="643" w:firstLineChars="200"/>
        <w:rPr>
          <w:rFonts w:ascii="仿宋_GB2312" w:eastAsia="仿宋_GB2312"/>
          <w:sz w:val="32"/>
          <w:szCs w:val="32"/>
        </w:rPr>
      </w:pPr>
      <w:r>
        <w:rPr>
          <w:rFonts w:ascii="仿宋_GB2312" w:hAnsi="Times New Roman" w:eastAsia="仿宋_GB2312" w:cs="Times New Roman"/>
          <w:b/>
          <w:kern w:val="2"/>
          <w:sz w:val="32"/>
          <w:szCs w:val="32"/>
          <w:lang w:val="en-US" w:eastAsia="zh-CN" w:bidi="ar-SA"/>
        </w:rPr>
        <w:t>第二</w:t>
      </w:r>
      <w:r>
        <w:rPr>
          <w:rFonts w:hint="eastAsia" w:ascii="仿宋_GB2312" w:eastAsia="仿宋_GB2312" w:cs="Times New Roman"/>
          <w:b/>
          <w:kern w:val="2"/>
          <w:sz w:val="32"/>
          <w:szCs w:val="32"/>
          <w:lang w:val="en-US" w:eastAsia="zh-CN" w:bidi="ar-SA"/>
        </w:rPr>
        <w:t xml:space="preserve">条 </w:t>
      </w:r>
      <w:r>
        <w:rPr>
          <w:rFonts w:hint="eastAsia" w:ascii="仿宋_GB2312" w:eastAsia="仿宋_GB2312"/>
          <w:sz w:val="32"/>
          <w:szCs w:val="32"/>
        </w:rPr>
        <w:t>业务协议应当载明订立业务协议的目的和依据。</w:t>
      </w:r>
    </w:p>
    <w:p w14:paraId="23B97B34">
      <w:pPr>
        <w:numPr>
          <w:ilvl w:val="1"/>
          <w:numId w:val="0"/>
        </w:numPr>
        <w:tabs>
          <w:tab w:val="left" w:pos="340"/>
        </w:tabs>
        <w:adjustRightInd w:val="0"/>
        <w:snapToGrid w:val="0"/>
        <w:spacing w:line="560" w:lineRule="exact"/>
        <w:ind w:left="0" w:leftChars="0" w:firstLine="643" w:firstLineChars="200"/>
        <w:rPr>
          <w:rFonts w:ascii="仿宋_GB2312" w:eastAsia="仿宋_GB2312"/>
          <w:sz w:val="32"/>
          <w:szCs w:val="32"/>
        </w:rPr>
      </w:pPr>
      <w:r>
        <w:rPr>
          <w:rFonts w:ascii="仿宋_GB2312" w:hAnsi="Times New Roman" w:eastAsia="仿宋_GB2312" w:cs="Times New Roman"/>
          <w:b/>
          <w:kern w:val="2"/>
          <w:sz w:val="32"/>
          <w:szCs w:val="32"/>
          <w:lang w:val="en-US" w:eastAsia="zh-CN" w:bidi="ar-SA"/>
        </w:rPr>
        <w:t>第三</w:t>
      </w:r>
      <w:r>
        <w:rPr>
          <w:rFonts w:hint="eastAsia" w:ascii="仿宋_GB2312" w:eastAsia="仿宋_GB2312" w:cs="Times New Roman"/>
          <w:b/>
          <w:kern w:val="2"/>
          <w:sz w:val="32"/>
          <w:szCs w:val="32"/>
          <w:lang w:val="en-US" w:eastAsia="zh-CN" w:bidi="ar-SA"/>
        </w:rPr>
        <w:t xml:space="preserve">条 </w:t>
      </w:r>
      <w:r>
        <w:rPr>
          <w:rFonts w:hint="eastAsia" w:ascii="仿宋_GB2312" w:eastAsia="仿宋_GB2312"/>
          <w:sz w:val="32"/>
          <w:szCs w:val="32"/>
        </w:rPr>
        <w:t>业务协议应当对股票质押式回购交易、标的证券、初始交易金额、购回交易金额、初始交易日、购回交易日、回购期限、到期购回、提前购回、延期购回、补充质押、部分解除质押、终止购回、违约处置、履约保障比例、预警线、平仓线、融资利率等特定用语进行解释或定义，并符合上海证券交易所（以下简称上交所）和中国证券登记结算有限责任公司（以下简称中国结算）的相关规定。</w:t>
      </w:r>
    </w:p>
    <w:p w14:paraId="1DB83CF4">
      <w:pPr>
        <w:numPr>
          <w:ilvl w:val="1"/>
          <w:numId w:val="0"/>
        </w:numPr>
        <w:tabs>
          <w:tab w:val="left" w:pos="340"/>
        </w:tabs>
        <w:adjustRightInd w:val="0"/>
        <w:snapToGrid w:val="0"/>
        <w:spacing w:line="560" w:lineRule="exact"/>
        <w:ind w:left="0" w:leftChars="0" w:firstLine="643" w:firstLineChars="200"/>
        <w:rPr>
          <w:rFonts w:ascii="仿宋_GB2312" w:eastAsia="仿宋_GB2312"/>
          <w:sz w:val="32"/>
          <w:szCs w:val="32"/>
        </w:rPr>
      </w:pPr>
      <w:r>
        <w:rPr>
          <w:rFonts w:ascii="仿宋_GB2312" w:hAnsi="Times New Roman" w:eastAsia="仿宋_GB2312" w:cs="Times New Roman"/>
          <w:b/>
          <w:kern w:val="2"/>
          <w:sz w:val="32"/>
          <w:szCs w:val="32"/>
          <w:lang w:val="en-US" w:eastAsia="zh-CN" w:bidi="ar-SA"/>
        </w:rPr>
        <w:t>第四</w:t>
      </w:r>
      <w:r>
        <w:rPr>
          <w:rFonts w:hint="eastAsia" w:ascii="仿宋_GB2312" w:eastAsia="仿宋_GB2312" w:cs="Times New Roman"/>
          <w:b/>
          <w:kern w:val="2"/>
          <w:sz w:val="32"/>
          <w:szCs w:val="32"/>
          <w:lang w:val="en-US" w:eastAsia="zh-CN" w:bidi="ar-SA"/>
        </w:rPr>
        <w:t xml:space="preserve">条 </w:t>
      </w:r>
      <w:r>
        <w:rPr>
          <w:rFonts w:hint="eastAsia" w:ascii="仿宋_GB2312" w:eastAsia="仿宋_GB2312"/>
          <w:sz w:val="32"/>
          <w:szCs w:val="32"/>
        </w:rPr>
        <w:t>业务协议应当载明甲乙双方的声明与保证，包括但不限于：</w:t>
      </w:r>
    </w:p>
    <w:p w14:paraId="400725EC">
      <w:pPr>
        <w:numPr>
          <w:ilvl w:val="2"/>
          <w:numId w:val="0"/>
        </w:numPr>
        <w:adjustRightInd w:val="0"/>
        <w:snapToGrid w:val="0"/>
        <w:spacing w:line="560" w:lineRule="exact"/>
        <w:ind w:left="0" w:leftChars="0" w:firstLine="640" w:firstLineChars="200"/>
        <w:rPr>
          <w:rFonts w:hint="eastAsia" w:ascii="仿宋_GB2312" w:hAnsi="ˎ̥" w:eastAsia="仿宋_GB2312" w:cs="宋体"/>
          <w:kern w:val="0"/>
          <w:sz w:val="32"/>
          <w:szCs w:val="32"/>
        </w:rPr>
      </w:pPr>
      <w:r>
        <w:rPr>
          <w:rFonts w:hint="eastAsia" w:ascii="仿宋_GB2312" w:hAnsi="ˎ̥" w:eastAsia="仿宋_GB2312" w:cs="Times New Roman"/>
          <w:b w:val="0"/>
          <w:kern w:val="0"/>
          <w:sz w:val="32"/>
          <w:szCs w:val="32"/>
          <w:lang w:val="en-US" w:eastAsia="zh-CN" w:bidi="ar-SA"/>
        </w:rPr>
        <w:t>（一）</w:t>
      </w:r>
      <w:r>
        <w:rPr>
          <w:rFonts w:hint="eastAsia" w:ascii="仿宋_GB2312" w:hAnsi="ˎ̥" w:eastAsia="仿宋_GB2312" w:cs="宋体"/>
          <w:kern w:val="0"/>
          <w:sz w:val="32"/>
          <w:szCs w:val="32"/>
        </w:rPr>
        <w:t>甲乙双方应当具有合法的股票质押回购交易主体资格。甲方不存在法律、行政法规、部门规章及其他规范性文件等禁止、限制或不适于参与股票质押回购交易的情形；</w:t>
      </w:r>
    </w:p>
    <w:p w14:paraId="6D469AEF">
      <w:pPr>
        <w:numPr>
          <w:ilvl w:val="2"/>
          <w:numId w:val="0"/>
        </w:numPr>
        <w:adjustRightInd w:val="0"/>
        <w:snapToGrid w:val="0"/>
        <w:spacing w:line="560" w:lineRule="exact"/>
        <w:ind w:left="0" w:leftChars="0" w:firstLine="640" w:firstLineChars="200"/>
        <w:rPr>
          <w:rFonts w:hint="eastAsia" w:ascii="仿宋_GB2312" w:hAnsi="ˎ̥" w:eastAsia="仿宋_GB2312" w:cs="宋体"/>
          <w:kern w:val="0"/>
          <w:sz w:val="32"/>
          <w:szCs w:val="32"/>
        </w:rPr>
      </w:pPr>
      <w:r>
        <w:rPr>
          <w:rFonts w:hint="eastAsia" w:ascii="仿宋_GB2312" w:hAnsi="ˎ̥" w:eastAsia="仿宋_GB2312" w:cs="Times New Roman"/>
          <w:b w:val="0"/>
          <w:kern w:val="0"/>
          <w:sz w:val="32"/>
          <w:szCs w:val="32"/>
          <w:lang w:val="en-US" w:eastAsia="zh-CN" w:bidi="ar-SA"/>
        </w:rPr>
        <w:t>（二）</w:t>
      </w:r>
      <w:r>
        <w:rPr>
          <w:rFonts w:hint="eastAsia" w:ascii="仿宋_GB2312" w:hAnsi="ˎ̥" w:eastAsia="仿宋_GB2312" w:cs="宋体"/>
          <w:kern w:val="0"/>
          <w:sz w:val="32"/>
          <w:szCs w:val="32"/>
        </w:rPr>
        <w:t>甲乙双方用于股票质押回购的资产（包括资金和证券，下同）来源合法，</w:t>
      </w:r>
      <w:r>
        <w:rPr>
          <w:rFonts w:hint="eastAsia" w:ascii="仿宋_GB2312" w:hAnsi="宋体" w:eastAsia="仿宋_GB2312" w:cs="宋体"/>
          <w:kern w:val="0"/>
          <w:sz w:val="32"/>
          <w:szCs w:val="32"/>
        </w:rPr>
        <w:t>并保证遵守国家反洗钱的相关规定</w:t>
      </w:r>
      <w:r>
        <w:rPr>
          <w:rFonts w:hint="eastAsia" w:ascii="仿宋_GB2312" w:hAnsi="ˎ̥" w:eastAsia="仿宋_GB2312" w:cs="宋体"/>
          <w:kern w:val="0"/>
          <w:sz w:val="32"/>
          <w:szCs w:val="32"/>
        </w:rPr>
        <w:t>。甲方向乙方质押的标的证券未设定任何形式的担保或其他第三方权利，不存在任何权属争议或权利瑕疵，甲方所持有股票涉及业绩承诺股份补偿协议的，已如实向乙方书面告知相关情况。</w:t>
      </w:r>
    </w:p>
    <w:p w14:paraId="48B2B89C">
      <w:pPr>
        <w:numPr>
          <w:ilvl w:val="2"/>
          <w:numId w:val="0"/>
        </w:numPr>
        <w:adjustRightInd w:val="0"/>
        <w:snapToGrid w:val="0"/>
        <w:spacing w:line="560" w:lineRule="exact"/>
        <w:ind w:left="0" w:leftChars="0" w:firstLine="640" w:firstLineChars="200"/>
        <w:rPr>
          <w:rFonts w:hint="eastAsia" w:ascii="仿宋_GB2312" w:hAnsi="ˎ̥" w:eastAsia="仿宋_GB2312" w:cs="宋体"/>
          <w:kern w:val="0"/>
          <w:sz w:val="32"/>
          <w:szCs w:val="32"/>
        </w:rPr>
      </w:pPr>
      <w:r>
        <w:rPr>
          <w:rFonts w:hint="eastAsia" w:ascii="仿宋_GB2312" w:hAnsi="ˎ̥" w:eastAsia="仿宋_GB2312" w:cs="Times New Roman"/>
          <w:b w:val="0"/>
          <w:kern w:val="0"/>
          <w:sz w:val="32"/>
          <w:szCs w:val="32"/>
          <w:lang w:val="en-US" w:eastAsia="zh-CN" w:bidi="ar-SA"/>
        </w:rPr>
        <w:t>（三）</w:t>
      </w:r>
      <w:r>
        <w:rPr>
          <w:rFonts w:hint="eastAsia" w:ascii="仿宋_GB2312" w:eastAsia="仿宋_GB2312"/>
          <w:sz w:val="32"/>
          <w:szCs w:val="32"/>
        </w:rPr>
        <w:t>甲方承诺按照乙方要求提供身份证明等相关材料，保证提供信息的真实、准确和完整性，信息变更时及时通知乙方。甲方同意乙方对信息进行合法验证，同意乙方应监管部门、上交所、中国结算、中国证券业协会等单位的要求报送甲方相关信息；</w:t>
      </w:r>
    </w:p>
    <w:p w14:paraId="0B612732">
      <w:pPr>
        <w:numPr>
          <w:ilvl w:val="2"/>
          <w:numId w:val="0"/>
        </w:numPr>
        <w:adjustRightInd w:val="0"/>
        <w:snapToGrid w:val="0"/>
        <w:spacing w:line="560" w:lineRule="exact"/>
        <w:ind w:left="0" w:leftChars="0" w:firstLine="640" w:firstLineChars="200"/>
        <w:rPr>
          <w:rFonts w:hint="eastAsia" w:ascii="仿宋_GB2312" w:hAnsi="ˎ̥" w:eastAsia="仿宋_GB2312" w:cs="宋体"/>
          <w:kern w:val="0"/>
          <w:sz w:val="32"/>
          <w:szCs w:val="32"/>
        </w:rPr>
      </w:pPr>
      <w:r>
        <w:rPr>
          <w:rFonts w:hint="eastAsia" w:ascii="仿宋_GB2312" w:hAnsi="ˎ̥" w:eastAsia="仿宋_GB2312" w:cs="Times New Roman"/>
          <w:b w:val="0"/>
          <w:kern w:val="0"/>
          <w:sz w:val="32"/>
          <w:szCs w:val="32"/>
          <w:lang w:val="en-US" w:eastAsia="zh-CN" w:bidi="ar-SA"/>
        </w:rPr>
        <w:t>（四）</w:t>
      </w:r>
      <w:r>
        <w:rPr>
          <w:rFonts w:hint="eastAsia" w:ascii="仿宋_GB2312" w:hAnsi="ˎ̥" w:eastAsia="仿宋_GB2312" w:cs="宋体"/>
          <w:kern w:val="0"/>
          <w:sz w:val="32"/>
          <w:szCs w:val="32"/>
        </w:rPr>
        <w:t>甲方承诺审慎评估自身需求和风险承受能力，自行承担股票质押回购的风险和损失；</w:t>
      </w:r>
    </w:p>
    <w:p w14:paraId="29295992">
      <w:pPr>
        <w:numPr>
          <w:ilvl w:val="2"/>
          <w:numId w:val="0"/>
        </w:numPr>
        <w:adjustRightInd w:val="0"/>
        <w:snapToGrid w:val="0"/>
        <w:spacing w:line="560" w:lineRule="exact"/>
        <w:ind w:left="0" w:leftChars="0" w:firstLine="640" w:firstLineChars="200"/>
        <w:rPr>
          <w:rFonts w:hint="eastAsia" w:ascii="仿宋_GB2312" w:hAnsi="ˎ̥" w:eastAsia="仿宋_GB2312" w:cs="宋体"/>
          <w:kern w:val="0"/>
          <w:sz w:val="32"/>
          <w:szCs w:val="32"/>
        </w:rPr>
      </w:pPr>
      <w:r>
        <w:rPr>
          <w:rFonts w:hint="eastAsia" w:ascii="仿宋_GB2312" w:hAnsi="ˎ̥" w:eastAsia="仿宋_GB2312" w:cs="Times New Roman"/>
          <w:b w:val="0"/>
          <w:kern w:val="0"/>
          <w:sz w:val="32"/>
          <w:szCs w:val="32"/>
          <w:lang w:val="en-US" w:eastAsia="zh-CN" w:bidi="ar-SA"/>
        </w:rPr>
        <w:t>（五）</w:t>
      </w:r>
      <w:r>
        <w:rPr>
          <w:rFonts w:hint="eastAsia" w:ascii="仿宋_GB2312" w:hAnsi="ˎ̥" w:eastAsia="仿宋_GB2312" w:cs="宋体"/>
          <w:kern w:val="0"/>
          <w:sz w:val="32"/>
          <w:szCs w:val="32"/>
        </w:rPr>
        <w:t>甲方承诺遵守股票质押回购有关法律、行政法规、部门规章、交易规则等规定；</w:t>
      </w:r>
    </w:p>
    <w:p w14:paraId="325DF68E">
      <w:pPr>
        <w:numPr>
          <w:ilvl w:val="2"/>
          <w:numId w:val="0"/>
        </w:numPr>
        <w:adjustRightInd w:val="0"/>
        <w:snapToGrid w:val="0"/>
        <w:spacing w:line="560" w:lineRule="exact"/>
        <w:ind w:left="0" w:leftChars="0" w:firstLine="640" w:firstLineChars="200"/>
        <w:rPr>
          <w:rFonts w:hint="eastAsia" w:ascii="仿宋_GB2312" w:hAnsi="ˎ̥" w:eastAsia="仿宋_GB2312" w:cs="宋体"/>
          <w:kern w:val="0"/>
          <w:sz w:val="32"/>
          <w:szCs w:val="32"/>
        </w:rPr>
      </w:pPr>
      <w:r>
        <w:rPr>
          <w:rFonts w:hint="eastAsia" w:ascii="仿宋_GB2312" w:hAnsi="ˎ̥" w:eastAsia="仿宋_GB2312" w:cs="Times New Roman"/>
          <w:b w:val="0"/>
          <w:kern w:val="0"/>
          <w:sz w:val="32"/>
          <w:szCs w:val="32"/>
          <w:lang w:val="en-US" w:eastAsia="zh-CN" w:bidi="ar-SA"/>
        </w:rPr>
        <w:t>（六）</w:t>
      </w:r>
      <w:r>
        <w:rPr>
          <w:rFonts w:hint="eastAsia" w:ascii="仿宋_GB2312" w:hAnsi="ˎ̥" w:eastAsia="仿宋_GB2312" w:cs="宋体"/>
          <w:kern w:val="0"/>
          <w:sz w:val="32"/>
          <w:szCs w:val="32"/>
        </w:rPr>
        <w:t>甲方为上市公司董事、高级管理人员、持有上市公司股份</w:t>
      </w:r>
      <w:r>
        <w:rPr>
          <w:rFonts w:hint="eastAsia" w:eastAsia="仿宋_GB2312" w:cs="宋体"/>
          <w:kern w:val="0"/>
          <w:sz w:val="32"/>
          <w:szCs w:val="32"/>
        </w:rPr>
        <w:t>5</w:t>
      </w:r>
      <w:r>
        <w:rPr>
          <w:rFonts w:hint="eastAsia" w:ascii="仿宋_GB2312" w:hAnsi="ˎ̥" w:eastAsia="仿宋_GB2312" w:cs="宋体"/>
          <w:kern w:val="0"/>
          <w:sz w:val="32"/>
          <w:szCs w:val="32"/>
        </w:rPr>
        <w:t>%以上的股东，且以持有的该上市公司的股票参与股票质押回购的，则承诺遵守法律法规有关短线交易的规定；</w:t>
      </w:r>
    </w:p>
    <w:p w14:paraId="59C8681F">
      <w:pPr>
        <w:numPr>
          <w:ilvl w:val="2"/>
          <w:numId w:val="0"/>
        </w:numPr>
        <w:adjustRightInd w:val="0"/>
        <w:snapToGrid w:val="0"/>
        <w:spacing w:line="560" w:lineRule="exact"/>
        <w:ind w:left="0" w:leftChars="0" w:firstLine="640" w:firstLineChars="200"/>
        <w:rPr>
          <w:rFonts w:hint="eastAsia" w:ascii="仿宋_GB2312" w:hAnsi="ˎ̥" w:eastAsia="仿宋_GB2312" w:cs="宋体"/>
          <w:kern w:val="0"/>
          <w:sz w:val="32"/>
          <w:szCs w:val="32"/>
        </w:rPr>
      </w:pPr>
      <w:r>
        <w:rPr>
          <w:rFonts w:hint="eastAsia" w:ascii="仿宋_GB2312" w:hAnsi="ˎ̥" w:eastAsia="仿宋_GB2312" w:cs="Times New Roman"/>
          <w:b w:val="0"/>
          <w:kern w:val="0"/>
          <w:sz w:val="32"/>
          <w:szCs w:val="32"/>
          <w:lang w:val="en-US" w:eastAsia="zh-CN" w:bidi="ar-SA"/>
        </w:rPr>
        <w:t>（七）</w:t>
      </w:r>
      <w:r>
        <w:rPr>
          <w:rFonts w:hint="eastAsia" w:ascii="仿宋_GB2312" w:hAnsi="ˎ̥" w:eastAsia="仿宋_GB2312" w:cs="宋体"/>
          <w:kern w:val="0"/>
          <w:sz w:val="32"/>
          <w:szCs w:val="32"/>
        </w:rPr>
        <w:t>甲方为持股</w:t>
      </w:r>
      <w:r>
        <w:rPr>
          <w:rFonts w:hint="eastAsia" w:eastAsia="仿宋_GB2312" w:cs="宋体"/>
          <w:kern w:val="0"/>
          <w:sz w:val="32"/>
          <w:szCs w:val="32"/>
        </w:rPr>
        <w:t>5</w:t>
      </w:r>
      <w:r>
        <w:rPr>
          <w:rFonts w:hint="eastAsia" w:ascii="仿宋_GB2312" w:hAnsi="ˎ̥" w:eastAsia="仿宋_GB2312" w:cs="宋体"/>
          <w:kern w:val="0"/>
          <w:sz w:val="32"/>
          <w:szCs w:val="32"/>
        </w:rPr>
        <w:t>%以上的股东，且以其持有的该上市公司的股票参与股票质押回购的，则承诺按照有关规定的要求及时、准确地履行信息披露义务；</w:t>
      </w:r>
    </w:p>
    <w:p w14:paraId="784F527D">
      <w:pPr>
        <w:numPr>
          <w:ilvl w:val="2"/>
          <w:numId w:val="0"/>
        </w:numPr>
        <w:adjustRightInd w:val="0"/>
        <w:snapToGrid w:val="0"/>
        <w:spacing w:line="560" w:lineRule="exact"/>
        <w:ind w:left="0" w:leftChars="0" w:firstLine="640" w:firstLineChars="200"/>
        <w:rPr>
          <w:rFonts w:hint="eastAsia" w:ascii="仿宋_GB2312" w:hAnsi="ˎ̥" w:eastAsia="仿宋_GB2312" w:cs="宋体"/>
          <w:kern w:val="0"/>
          <w:sz w:val="32"/>
          <w:szCs w:val="32"/>
        </w:rPr>
      </w:pPr>
      <w:r>
        <w:rPr>
          <w:rFonts w:hint="eastAsia" w:ascii="仿宋_GB2312" w:hAnsi="ˎ̥" w:eastAsia="仿宋_GB2312" w:cs="Times New Roman"/>
          <w:b w:val="0"/>
          <w:kern w:val="0"/>
          <w:sz w:val="32"/>
          <w:szCs w:val="32"/>
          <w:lang w:val="en-US" w:eastAsia="zh-CN" w:bidi="ar-SA"/>
        </w:rPr>
        <w:t>（八）</w:t>
      </w:r>
      <w:r>
        <w:rPr>
          <w:rFonts w:hint="eastAsia" w:ascii="仿宋_GB2312" w:eastAsia="仿宋_GB2312"/>
          <w:sz w:val="32"/>
          <w:szCs w:val="32"/>
        </w:rPr>
        <w:t>标的证券质押或处置需要获得国家相关主管部门的批准或备案的，</w:t>
      </w:r>
      <w:r>
        <w:rPr>
          <w:rFonts w:hint="eastAsia" w:ascii="仿宋_GB2312" w:hAnsi="ˎ̥" w:eastAsia="仿宋_GB2312" w:cs="宋体"/>
          <w:kern w:val="0"/>
          <w:sz w:val="32"/>
          <w:szCs w:val="32"/>
        </w:rPr>
        <w:t>甲方承诺</w:t>
      </w:r>
      <w:r>
        <w:rPr>
          <w:rFonts w:hint="eastAsia" w:ascii="仿宋_GB2312" w:eastAsia="仿宋_GB2312"/>
          <w:sz w:val="32"/>
          <w:szCs w:val="32"/>
        </w:rPr>
        <w:t>已经遵守相关法律法规的规定，事先办理了相应手续，</w:t>
      </w:r>
      <w:r>
        <w:rPr>
          <w:rFonts w:hint="eastAsia" w:ascii="仿宋_GB2312" w:hAnsi="ˎ̥" w:eastAsia="仿宋_GB2312" w:cs="宋体"/>
          <w:kern w:val="0"/>
          <w:sz w:val="32"/>
          <w:szCs w:val="32"/>
        </w:rPr>
        <w:t>否则将自行承担由此而产生的风险；</w:t>
      </w:r>
    </w:p>
    <w:p w14:paraId="161C6E76">
      <w:pPr>
        <w:numPr>
          <w:ilvl w:val="2"/>
          <w:numId w:val="0"/>
        </w:numPr>
        <w:adjustRightInd w:val="0"/>
        <w:snapToGrid w:val="0"/>
        <w:spacing w:line="560" w:lineRule="exact"/>
        <w:ind w:left="0" w:leftChars="0" w:firstLine="640" w:firstLineChars="200"/>
        <w:rPr>
          <w:rFonts w:hint="eastAsia" w:ascii="仿宋_GB2312" w:hAnsi="ˎ̥" w:eastAsia="仿宋_GB2312" w:cs="宋体"/>
          <w:kern w:val="0"/>
          <w:sz w:val="32"/>
          <w:szCs w:val="32"/>
        </w:rPr>
      </w:pPr>
      <w:r>
        <w:rPr>
          <w:rFonts w:hint="eastAsia" w:ascii="仿宋_GB2312" w:hAnsi="ˎ̥" w:eastAsia="仿宋_GB2312" w:cs="Times New Roman"/>
          <w:b w:val="0"/>
          <w:kern w:val="0"/>
          <w:sz w:val="32"/>
          <w:szCs w:val="32"/>
          <w:lang w:val="en-US" w:eastAsia="zh-CN" w:bidi="ar-SA"/>
        </w:rPr>
        <w:t>（九）</w:t>
      </w:r>
      <w:r>
        <w:rPr>
          <w:rFonts w:hint="eastAsia" w:ascii="仿宋_GB2312" w:hAnsi="宋体" w:eastAsia="仿宋_GB2312"/>
          <w:sz w:val="32"/>
          <w:szCs w:val="32"/>
        </w:rPr>
        <w:t>乙方以其管理的集合资产管理计划参与股票质押回购，承诺已经获得集合资产管理计划客户的合法授权</w:t>
      </w:r>
      <w:r>
        <w:rPr>
          <w:rFonts w:hint="eastAsia" w:ascii="仿宋_GB2312" w:hAnsi="ˎ̥" w:eastAsia="仿宋_GB2312" w:cs="宋体"/>
          <w:kern w:val="0"/>
          <w:sz w:val="32"/>
          <w:szCs w:val="32"/>
        </w:rPr>
        <w:t>；</w:t>
      </w:r>
      <w:r>
        <w:rPr>
          <w:rFonts w:hint="eastAsia" w:ascii="仿宋_GB2312" w:eastAsia="仿宋_GB2312"/>
          <w:sz w:val="32"/>
          <w:szCs w:val="32"/>
        </w:rPr>
        <w:t>相关资产管理合同已约定质权人登记为乙方，并约定由乙方负责交易申报、盯市管理、违约处置等事宜；</w:t>
      </w:r>
    </w:p>
    <w:p w14:paraId="5BC671D1">
      <w:pPr>
        <w:adjustRightInd w:val="0"/>
        <w:snapToGrid w:val="0"/>
        <w:spacing w:line="560" w:lineRule="exact"/>
        <w:ind w:firstLine="640" w:firstLineChars="200"/>
        <w:rPr>
          <w:rFonts w:hint="eastAsia" w:ascii="仿宋_GB2312" w:hAnsi="ˎ̥" w:eastAsia="仿宋_GB2312" w:cs="宋体"/>
          <w:kern w:val="0"/>
          <w:sz w:val="32"/>
          <w:szCs w:val="32"/>
        </w:rPr>
      </w:pPr>
      <w:r>
        <w:rPr>
          <w:rFonts w:hint="eastAsia" w:ascii="仿宋_GB2312" w:hAnsi="宋体" w:eastAsia="仿宋_GB2312"/>
          <w:sz w:val="32"/>
          <w:szCs w:val="32"/>
        </w:rPr>
        <w:t>乙方以其管理的</w:t>
      </w:r>
      <w:r>
        <w:rPr>
          <w:rFonts w:hint="eastAsia" w:ascii="仿宋_GB2312" w:eastAsia="仿宋_GB2312"/>
          <w:sz w:val="32"/>
          <w:szCs w:val="32"/>
        </w:rPr>
        <w:t>定向资产管理客户</w:t>
      </w:r>
      <w:r>
        <w:rPr>
          <w:rFonts w:hint="eastAsia" w:ascii="仿宋_GB2312" w:hAnsi="宋体" w:eastAsia="仿宋_GB2312"/>
          <w:sz w:val="32"/>
          <w:szCs w:val="32"/>
        </w:rPr>
        <w:t>参与股票质押回购，已经获得</w:t>
      </w:r>
      <w:r>
        <w:rPr>
          <w:rFonts w:hint="eastAsia" w:ascii="仿宋_GB2312" w:eastAsia="仿宋_GB2312"/>
          <w:sz w:val="32"/>
          <w:szCs w:val="32"/>
        </w:rPr>
        <w:t>定向资产管理客户的合法授权，相关资产管理合同已约定质权人登记为定向资产管理客户或乙方，并约定由乙方负责交易申报、盯市管理、违约处置等事宜；</w:t>
      </w:r>
    </w:p>
    <w:p w14:paraId="67094DAB">
      <w:pPr>
        <w:numPr>
          <w:ilvl w:val="2"/>
          <w:numId w:val="0"/>
        </w:numPr>
        <w:adjustRightInd w:val="0"/>
        <w:snapToGrid w:val="0"/>
        <w:spacing w:line="560" w:lineRule="exact"/>
        <w:ind w:left="0" w:leftChars="0" w:firstLine="640" w:firstLineChars="200"/>
        <w:rPr>
          <w:rFonts w:hint="eastAsia" w:ascii="仿宋_GB2312" w:hAnsi="ˎ̥" w:eastAsia="仿宋_GB2312" w:cs="宋体"/>
          <w:kern w:val="0"/>
          <w:sz w:val="32"/>
          <w:szCs w:val="32"/>
        </w:rPr>
      </w:pPr>
      <w:r>
        <w:rPr>
          <w:rFonts w:hint="eastAsia" w:ascii="仿宋_GB2312" w:hAnsi="ˎ̥" w:eastAsia="仿宋_GB2312" w:cs="Times New Roman"/>
          <w:b w:val="0"/>
          <w:kern w:val="0"/>
          <w:sz w:val="32"/>
          <w:szCs w:val="32"/>
          <w:lang w:val="en-US" w:eastAsia="zh-CN" w:bidi="ar-SA"/>
        </w:rPr>
        <w:t>（十）</w:t>
      </w:r>
      <w:r>
        <w:rPr>
          <w:rFonts w:hint="eastAsia" w:ascii="仿宋_GB2312" w:hAnsi="ˎ̥" w:eastAsia="仿宋_GB2312" w:cs="宋体"/>
          <w:kern w:val="0"/>
          <w:sz w:val="32"/>
          <w:szCs w:val="32"/>
        </w:rPr>
        <w:t>乙方是依法设立的证券经营机构，已在上交所开通了股票质押回购交易权限，并且该交易权限并未被暂停或终止；</w:t>
      </w:r>
    </w:p>
    <w:p w14:paraId="6AF584CA">
      <w:pPr>
        <w:numPr>
          <w:ilvl w:val="2"/>
          <w:numId w:val="0"/>
        </w:numPr>
        <w:adjustRightInd w:val="0"/>
        <w:snapToGrid w:val="0"/>
        <w:spacing w:line="560" w:lineRule="exact"/>
        <w:ind w:left="0" w:leftChars="0" w:firstLine="640" w:firstLineChars="200"/>
        <w:rPr>
          <w:rFonts w:hint="eastAsia" w:ascii="仿宋_GB2312" w:hAnsi="ˎ̥" w:eastAsia="仿宋_GB2312" w:cs="宋体"/>
          <w:kern w:val="0"/>
          <w:sz w:val="32"/>
          <w:szCs w:val="32"/>
        </w:rPr>
      </w:pPr>
      <w:r>
        <w:rPr>
          <w:rFonts w:hint="eastAsia" w:ascii="仿宋_GB2312" w:hAnsi="ˎ̥" w:eastAsia="仿宋_GB2312" w:cs="Times New Roman"/>
          <w:b w:val="0"/>
          <w:kern w:val="0"/>
          <w:sz w:val="32"/>
          <w:szCs w:val="32"/>
          <w:lang w:val="en-US" w:eastAsia="zh-CN" w:bidi="ar-SA"/>
        </w:rPr>
        <w:t>（十一）</w:t>
      </w:r>
      <w:r>
        <w:rPr>
          <w:rFonts w:hint="eastAsia" w:ascii="仿宋_GB2312" w:hAnsi="ˎ̥" w:eastAsia="仿宋_GB2312" w:cs="宋体"/>
          <w:kern w:val="0"/>
          <w:sz w:val="32"/>
          <w:szCs w:val="32"/>
        </w:rPr>
        <w:t>乙方承诺具备开展股票质押回购的必要条件，能够为甲方进行股票质押回购提供相应的服务；</w:t>
      </w:r>
    </w:p>
    <w:p w14:paraId="67F43A42">
      <w:pPr>
        <w:numPr>
          <w:ilvl w:val="2"/>
          <w:numId w:val="0"/>
        </w:numPr>
        <w:adjustRightInd w:val="0"/>
        <w:snapToGrid w:val="0"/>
        <w:spacing w:line="560" w:lineRule="exact"/>
        <w:ind w:left="0" w:leftChars="0" w:firstLine="640" w:firstLineChars="200"/>
        <w:rPr>
          <w:rFonts w:hint="eastAsia" w:ascii="仿宋_GB2312" w:hAnsi="ˎ̥" w:eastAsia="仿宋_GB2312" w:cs="宋体"/>
          <w:kern w:val="0"/>
          <w:sz w:val="32"/>
          <w:szCs w:val="32"/>
        </w:rPr>
      </w:pPr>
      <w:r>
        <w:rPr>
          <w:rFonts w:hint="eastAsia" w:ascii="仿宋_GB2312" w:hAnsi="ˎ̥" w:eastAsia="仿宋_GB2312" w:cs="Times New Roman"/>
          <w:b w:val="0"/>
          <w:kern w:val="0"/>
          <w:sz w:val="32"/>
          <w:szCs w:val="32"/>
          <w:lang w:val="en-US" w:eastAsia="zh-CN" w:bidi="ar-SA"/>
        </w:rPr>
        <w:t>（十二）</w:t>
      </w:r>
      <w:r>
        <w:rPr>
          <w:rFonts w:hint="eastAsia" w:ascii="仿宋_GB2312" w:hAnsi="ˎ̥" w:eastAsia="仿宋_GB2312" w:cs="宋体"/>
          <w:kern w:val="0"/>
          <w:sz w:val="32"/>
          <w:szCs w:val="32"/>
        </w:rPr>
        <w:t>乙方承诺按照业务协议约定，基于甲方真实委托进行交易申报。乙方未经甲方同意进行虚假交易申报，</w:t>
      </w:r>
      <w:r>
        <w:rPr>
          <w:rFonts w:hint="eastAsia" w:ascii="仿宋_GB2312" w:hAnsi="仿宋" w:eastAsia="仿宋_GB2312"/>
          <w:sz w:val="32"/>
          <w:szCs w:val="32"/>
        </w:rPr>
        <w:t>或者擅自伪造、篡改交易委托进行申报</w:t>
      </w:r>
      <w:r>
        <w:rPr>
          <w:rFonts w:hint="eastAsia" w:ascii="仿宋_GB2312" w:hAnsi="宋体" w:eastAsia="仿宋_GB2312"/>
          <w:sz w:val="32"/>
          <w:szCs w:val="32"/>
        </w:rPr>
        <w:t>的，</w:t>
      </w:r>
      <w:r>
        <w:rPr>
          <w:rFonts w:hint="eastAsia" w:ascii="仿宋_GB2312" w:hAnsi="ˎ̥" w:eastAsia="仿宋_GB2312" w:cs="宋体"/>
          <w:kern w:val="0"/>
          <w:sz w:val="32"/>
          <w:szCs w:val="32"/>
        </w:rPr>
        <w:t>应当承担全部法律责任，并赔偿由此给甲方造成的损失，但已达成的交易结果不得改变；</w:t>
      </w:r>
    </w:p>
    <w:p w14:paraId="1F6BE001">
      <w:pPr>
        <w:numPr>
          <w:ilvl w:val="2"/>
          <w:numId w:val="0"/>
        </w:numPr>
        <w:adjustRightInd w:val="0"/>
        <w:snapToGrid w:val="0"/>
        <w:spacing w:line="560" w:lineRule="exact"/>
        <w:ind w:left="0" w:leftChars="0" w:firstLine="640" w:firstLineChars="200"/>
        <w:rPr>
          <w:rFonts w:hint="eastAsia" w:ascii="仿宋_GB2312" w:hAnsi="ˎ̥" w:eastAsia="仿宋_GB2312" w:cs="宋体"/>
          <w:kern w:val="0"/>
          <w:sz w:val="32"/>
          <w:szCs w:val="32"/>
        </w:rPr>
      </w:pPr>
      <w:r>
        <w:rPr>
          <w:rFonts w:hint="eastAsia" w:ascii="仿宋_GB2312" w:hAnsi="ˎ̥" w:eastAsia="仿宋_GB2312" w:cs="Times New Roman"/>
          <w:b w:val="0"/>
          <w:kern w:val="0"/>
          <w:sz w:val="32"/>
          <w:szCs w:val="32"/>
          <w:lang w:val="en-US" w:eastAsia="zh-CN" w:bidi="ar-SA"/>
        </w:rPr>
        <w:t>（十三）</w:t>
      </w:r>
      <w:r>
        <w:rPr>
          <w:rFonts w:hint="eastAsia" w:ascii="仿宋_GB2312" w:hAnsi="ˎ̥" w:eastAsia="仿宋_GB2312" w:cs="宋体"/>
          <w:kern w:val="0"/>
          <w:sz w:val="32"/>
          <w:szCs w:val="32"/>
        </w:rPr>
        <w:t>甲乙双方均承诺在协议有效期间维持上述签署声明，并保证其真实有效。</w:t>
      </w:r>
    </w:p>
    <w:p w14:paraId="087D3AAB">
      <w:pPr>
        <w:numPr>
          <w:ilvl w:val="1"/>
          <w:numId w:val="0"/>
        </w:numPr>
        <w:tabs>
          <w:tab w:val="left" w:pos="340"/>
        </w:tabs>
        <w:adjustRightInd w:val="0"/>
        <w:snapToGrid w:val="0"/>
        <w:spacing w:line="560" w:lineRule="exact"/>
        <w:ind w:left="0" w:leftChars="0" w:firstLine="643" w:firstLineChars="200"/>
        <w:rPr>
          <w:rFonts w:ascii="仿宋_GB2312" w:eastAsia="仿宋_GB2312"/>
          <w:sz w:val="32"/>
          <w:szCs w:val="32"/>
        </w:rPr>
      </w:pPr>
      <w:r>
        <w:rPr>
          <w:rFonts w:ascii="仿宋_GB2312" w:hAnsi="Times New Roman" w:eastAsia="仿宋_GB2312" w:cs="Times New Roman"/>
          <w:b/>
          <w:kern w:val="2"/>
          <w:sz w:val="32"/>
          <w:szCs w:val="32"/>
          <w:lang w:val="en-US" w:eastAsia="zh-CN" w:bidi="ar-SA"/>
        </w:rPr>
        <w:t>第五</w:t>
      </w:r>
      <w:r>
        <w:rPr>
          <w:rFonts w:hint="eastAsia" w:ascii="仿宋_GB2312" w:eastAsia="仿宋_GB2312" w:cs="Times New Roman"/>
          <w:b/>
          <w:kern w:val="2"/>
          <w:sz w:val="32"/>
          <w:szCs w:val="32"/>
          <w:lang w:val="en-US" w:eastAsia="zh-CN" w:bidi="ar-SA"/>
        </w:rPr>
        <w:t xml:space="preserve">条 </w:t>
      </w:r>
      <w:r>
        <w:rPr>
          <w:rFonts w:hint="eastAsia" w:ascii="仿宋_GB2312" w:eastAsia="仿宋_GB2312"/>
          <w:sz w:val="32"/>
          <w:szCs w:val="32"/>
        </w:rPr>
        <w:t>业务协议应当约定甲方已充分知悉并同意，融出方为乙方时，乙方是甲方股票质押回购的交易对手方，同时乙方又根据甲方委托办理有关申报事宜；融出方为乙方管理的集合资产管理计划或定向资产管理客户时，乙方作为集合资产管理计划或定向资产管理客户的管理人，同时根据资产管理合同的约定与甲方的委托，负责有关交易申报等事宜。</w:t>
      </w:r>
    </w:p>
    <w:p w14:paraId="47405D5B">
      <w:pPr>
        <w:numPr>
          <w:ilvl w:val="1"/>
          <w:numId w:val="0"/>
        </w:numPr>
        <w:tabs>
          <w:tab w:val="left" w:pos="340"/>
        </w:tabs>
        <w:adjustRightInd w:val="0"/>
        <w:snapToGrid w:val="0"/>
        <w:spacing w:line="560" w:lineRule="exact"/>
        <w:ind w:left="0" w:leftChars="0" w:firstLine="643" w:firstLineChars="200"/>
        <w:rPr>
          <w:rFonts w:ascii="仿宋_GB2312" w:eastAsia="仿宋_GB2312"/>
          <w:sz w:val="32"/>
          <w:szCs w:val="32"/>
        </w:rPr>
      </w:pPr>
      <w:r>
        <w:rPr>
          <w:rFonts w:ascii="仿宋_GB2312" w:hAnsi="Times New Roman" w:eastAsia="仿宋_GB2312" w:cs="Times New Roman"/>
          <w:b/>
          <w:kern w:val="2"/>
          <w:sz w:val="32"/>
          <w:szCs w:val="32"/>
          <w:lang w:val="en-US" w:eastAsia="zh-CN" w:bidi="ar-SA"/>
        </w:rPr>
        <w:t>第六</w:t>
      </w:r>
      <w:r>
        <w:rPr>
          <w:rFonts w:hint="eastAsia" w:ascii="仿宋_GB2312" w:eastAsia="仿宋_GB2312" w:cs="Times New Roman"/>
          <w:b/>
          <w:kern w:val="2"/>
          <w:sz w:val="32"/>
          <w:szCs w:val="32"/>
          <w:lang w:val="en-US" w:eastAsia="zh-CN" w:bidi="ar-SA"/>
        </w:rPr>
        <w:t xml:space="preserve">条 </w:t>
      </w:r>
      <w:r>
        <w:rPr>
          <w:rFonts w:hint="eastAsia" w:ascii="仿宋_GB2312" w:eastAsia="仿宋_GB2312"/>
          <w:sz w:val="32"/>
          <w:szCs w:val="32"/>
        </w:rPr>
        <w:t>业务协议应当约定股票质押回购的标的证券为上交所上市的</w:t>
      </w:r>
      <w:r>
        <w:rPr>
          <w:rFonts w:hint="eastAsia" w:eastAsia="仿宋_GB2312"/>
          <w:sz w:val="32"/>
          <w:szCs w:val="32"/>
        </w:rPr>
        <w:t>A</w:t>
      </w:r>
      <w:r>
        <w:rPr>
          <w:rFonts w:hint="eastAsia" w:ascii="仿宋_GB2312" w:eastAsia="仿宋_GB2312"/>
          <w:sz w:val="32"/>
          <w:szCs w:val="32"/>
        </w:rPr>
        <w:t>股股票或其他经上交所和中国结算认可的证券。</w:t>
      </w:r>
    </w:p>
    <w:p w14:paraId="0B4A3E7C">
      <w:pPr>
        <w:numPr>
          <w:ilvl w:val="1"/>
          <w:numId w:val="0"/>
        </w:numPr>
        <w:tabs>
          <w:tab w:val="left" w:pos="340"/>
        </w:tabs>
        <w:adjustRightInd w:val="0"/>
        <w:snapToGrid w:val="0"/>
        <w:spacing w:line="560" w:lineRule="exact"/>
        <w:ind w:left="0" w:leftChars="0" w:firstLine="643" w:firstLineChars="200"/>
        <w:rPr>
          <w:rFonts w:ascii="仿宋_GB2312" w:eastAsia="仿宋_GB2312"/>
          <w:sz w:val="32"/>
          <w:szCs w:val="32"/>
        </w:rPr>
      </w:pPr>
      <w:r>
        <w:rPr>
          <w:rFonts w:ascii="仿宋_GB2312" w:hAnsi="Times New Roman" w:eastAsia="仿宋_GB2312" w:cs="Times New Roman"/>
          <w:b/>
          <w:kern w:val="2"/>
          <w:sz w:val="32"/>
          <w:szCs w:val="32"/>
          <w:lang w:val="en-US" w:eastAsia="zh-CN" w:bidi="ar-SA"/>
        </w:rPr>
        <w:t>第七</w:t>
      </w:r>
      <w:r>
        <w:rPr>
          <w:rFonts w:hint="eastAsia" w:ascii="仿宋_GB2312" w:eastAsia="仿宋_GB2312" w:cs="Times New Roman"/>
          <w:b/>
          <w:kern w:val="2"/>
          <w:sz w:val="32"/>
          <w:szCs w:val="32"/>
          <w:lang w:val="en-US" w:eastAsia="zh-CN" w:bidi="ar-SA"/>
        </w:rPr>
        <w:t xml:space="preserve">条 </w:t>
      </w:r>
      <w:r>
        <w:rPr>
          <w:rFonts w:hint="eastAsia" w:ascii="仿宋_GB2312" w:eastAsia="仿宋_GB2312"/>
          <w:sz w:val="32"/>
          <w:szCs w:val="32"/>
        </w:rPr>
        <w:t>业务协议应当约定甲乙双方进行股票质押回购的证券账户与资金账户的相关内容，包括但不限于：甲方开立的上海</w:t>
      </w:r>
      <w:r>
        <w:rPr>
          <w:rFonts w:hint="eastAsia" w:eastAsia="仿宋_GB2312"/>
          <w:sz w:val="32"/>
          <w:szCs w:val="32"/>
        </w:rPr>
        <w:t>A</w:t>
      </w:r>
      <w:r>
        <w:rPr>
          <w:rFonts w:hint="eastAsia" w:ascii="仿宋_GB2312" w:eastAsia="仿宋_GB2312"/>
          <w:sz w:val="32"/>
          <w:szCs w:val="32"/>
        </w:rPr>
        <w:t>股证券账户应当指定在乙方；待购回期间，甲方不得撤销、变更指定交易关系。</w:t>
      </w:r>
    </w:p>
    <w:p w14:paraId="3A4BC708">
      <w:pPr>
        <w:numPr>
          <w:ilvl w:val="1"/>
          <w:numId w:val="0"/>
        </w:numPr>
        <w:tabs>
          <w:tab w:val="left" w:pos="340"/>
        </w:tabs>
        <w:adjustRightInd w:val="0"/>
        <w:snapToGrid w:val="0"/>
        <w:spacing w:line="560" w:lineRule="exact"/>
        <w:ind w:left="0" w:leftChars="0" w:firstLine="643" w:firstLineChars="200"/>
        <w:rPr>
          <w:rFonts w:ascii="仿宋_GB2312" w:eastAsia="仿宋_GB2312"/>
          <w:sz w:val="32"/>
          <w:szCs w:val="32"/>
        </w:rPr>
      </w:pPr>
      <w:r>
        <w:rPr>
          <w:rFonts w:ascii="仿宋_GB2312" w:hAnsi="Times New Roman" w:eastAsia="仿宋_GB2312" w:cs="Times New Roman"/>
          <w:b/>
          <w:kern w:val="2"/>
          <w:sz w:val="32"/>
          <w:szCs w:val="32"/>
          <w:lang w:val="en-US" w:eastAsia="zh-CN" w:bidi="ar-SA"/>
        </w:rPr>
        <w:t>第八</w:t>
      </w:r>
      <w:r>
        <w:rPr>
          <w:rFonts w:hint="eastAsia" w:ascii="仿宋_GB2312" w:eastAsia="仿宋_GB2312" w:cs="Times New Roman"/>
          <w:b/>
          <w:kern w:val="2"/>
          <w:sz w:val="32"/>
          <w:szCs w:val="32"/>
          <w:lang w:val="en-US" w:eastAsia="zh-CN" w:bidi="ar-SA"/>
        </w:rPr>
        <w:t xml:space="preserve">条 </w:t>
      </w:r>
      <w:r>
        <w:rPr>
          <w:rFonts w:hint="eastAsia" w:ascii="仿宋_GB2312" w:eastAsia="仿宋_GB2312"/>
          <w:sz w:val="32"/>
          <w:szCs w:val="32"/>
        </w:rPr>
        <w:t>业务协议应当约定股票质押回购的要素以及相应的计算公式，包括但不限于：</w:t>
      </w:r>
    </w:p>
    <w:p w14:paraId="081F494A">
      <w:pPr>
        <w:numPr>
          <w:ilvl w:val="2"/>
          <w:numId w:val="0"/>
        </w:numPr>
        <w:adjustRightInd w:val="0"/>
        <w:snapToGrid w:val="0"/>
        <w:spacing w:line="560" w:lineRule="exact"/>
        <w:ind w:left="0" w:leftChars="0" w:firstLine="640" w:firstLineChars="200"/>
        <w:rPr>
          <w:rFonts w:ascii="仿宋_GB2312" w:eastAsia="仿宋_GB2312"/>
          <w:sz w:val="32"/>
          <w:szCs w:val="32"/>
        </w:rPr>
      </w:pPr>
      <w:r>
        <w:rPr>
          <w:rFonts w:ascii="仿宋_GB2312" w:hAnsi="Times New Roman" w:eastAsia="仿宋_GB2312" w:cs="Times New Roman"/>
          <w:b w:val="0"/>
          <w:kern w:val="2"/>
          <w:sz w:val="32"/>
          <w:szCs w:val="32"/>
          <w:lang w:val="en-US" w:eastAsia="zh-CN" w:bidi="ar-SA"/>
        </w:rPr>
        <w:t>（一）</w:t>
      </w:r>
      <w:r>
        <w:rPr>
          <w:rFonts w:hint="eastAsia" w:ascii="仿宋_GB2312" w:hAnsi="ˎ̥" w:eastAsia="仿宋_GB2312" w:cs="宋体"/>
          <w:kern w:val="0"/>
          <w:sz w:val="32"/>
          <w:szCs w:val="32"/>
        </w:rPr>
        <w:t>初始交易日、购回交易日、标的证券、股份类别、标的证券数量、初始交易金额、购回交易金额、融资利率等；</w:t>
      </w:r>
    </w:p>
    <w:p w14:paraId="334B4505">
      <w:pPr>
        <w:numPr>
          <w:ilvl w:val="2"/>
          <w:numId w:val="0"/>
        </w:numPr>
        <w:adjustRightInd w:val="0"/>
        <w:snapToGrid w:val="0"/>
        <w:spacing w:line="560" w:lineRule="exact"/>
        <w:ind w:left="0" w:leftChars="0" w:firstLine="640" w:firstLineChars="200"/>
        <w:rPr>
          <w:rFonts w:ascii="仿宋_GB2312" w:eastAsia="仿宋_GB2312"/>
          <w:sz w:val="32"/>
          <w:szCs w:val="32"/>
        </w:rPr>
      </w:pPr>
      <w:r>
        <w:rPr>
          <w:rFonts w:ascii="仿宋_GB2312" w:hAnsi="Times New Roman" w:eastAsia="仿宋_GB2312" w:cs="Times New Roman"/>
          <w:b w:val="0"/>
          <w:kern w:val="2"/>
          <w:sz w:val="32"/>
          <w:szCs w:val="32"/>
          <w:lang w:val="en-US" w:eastAsia="zh-CN" w:bidi="ar-SA"/>
        </w:rPr>
        <w:t>（二）</w:t>
      </w:r>
      <w:r>
        <w:rPr>
          <w:rFonts w:hint="eastAsia" w:ascii="仿宋_GB2312" w:eastAsia="仿宋_GB2312"/>
          <w:sz w:val="32"/>
          <w:szCs w:val="32"/>
        </w:rPr>
        <w:t>利息计算公式及支付方式；</w:t>
      </w:r>
    </w:p>
    <w:p w14:paraId="69A39FF0">
      <w:pPr>
        <w:numPr>
          <w:ilvl w:val="2"/>
          <w:numId w:val="0"/>
        </w:numPr>
        <w:adjustRightInd w:val="0"/>
        <w:snapToGrid w:val="0"/>
        <w:spacing w:line="560" w:lineRule="exact"/>
        <w:ind w:left="0" w:leftChars="0" w:firstLine="640" w:firstLineChars="200"/>
        <w:rPr>
          <w:rFonts w:ascii="仿宋_GB2312" w:eastAsia="仿宋_GB2312"/>
          <w:sz w:val="32"/>
          <w:szCs w:val="32"/>
        </w:rPr>
      </w:pPr>
      <w:r>
        <w:rPr>
          <w:rFonts w:ascii="仿宋_GB2312" w:hAnsi="Times New Roman" w:eastAsia="仿宋_GB2312" w:cs="Times New Roman"/>
          <w:b w:val="0"/>
          <w:kern w:val="2"/>
          <w:sz w:val="32"/>
          <w:szCs w:val="32"/>
          <w:lang w:val="en-US" w:eastAsia="zh-CN" w:bidi="ar-SA"/>
        </w:rPr>
        <w:t>（三）</w:t>
      </w:r>
      <w:r>
        <w:rPr>
          <w:rFonts w:hint="eastAsia" w:ascii="仿宋_GB2312" w:eastAsia="仿宋_GB2312"/>
          <w:sz w:val="32"/>
          <w:szCs w:val="32"/>
        </w:rPr>
        <w:t>融资投向；</w:t>
      </w:r>
    </w:p>
    <w:p w14:paraId="453BB332">
      <w:pPr>
        <w:numPr>
          <w:ilvl w:val="2"/>
          <w:numId w:val="0"/>
        </w:numPr>
        <w:adjustRightInd w:val="0"/>
        <w:snapToGrid w:val="0"/>
        <w:spacing w:line="560" w:lineRule="exact"/>
        <w:ind w:left="0" w:leftChars="0" w:firstLine="640" w:firstLineChars="200"/>
        <w:rPr>
          <w:rFonts w:ascii="仿宋_GB2312" w:eastAsia="仿宋_GB2312"/>
          <w:sz w:val="32"/>
          <w:szCs w:val="32"/>
        </w:rPr>
      </w:pPr>
      <w:r>
        <w:rPr>
          <w:rFonts w:ascii="仿宋_GB2312" w:hAnsi="Times New Roman" w:eastAsia="仿宋_GB2312" w:cs="Times New Roman"/>
          <w:b w:val="0"/>
          <w:kern w:val="2"/>
          <w:sz w:val="32"/>
          <w:szCs w:val="32"/>
          <w:lang w:val="en-US" w:eastAsia="zh-CN" w:bidi="ar-SA"/>
        </w:rPr>
        <w:t>（四）</w:t>
      </w:r>
      <w:r>
        <w:rPr>
          <w:rFonts w:hint="eastAsia" w:ascii="仿宋_GB2312" w:eastAsia="仿宋_GB2312"/>
          <w:sz w:val="32"/>
          <w:szCs w:val="32"/>
        </w:rPr>
        <w:t>购回交易金额计算公式；</w:t>
      </w:r>
    </w:p>
    <w:p w14:paraId="1E566C6B">
      <w:pPr>
        <w:numPr>
          <w:ilvl w:val="2"/>
          <w:numId w:val="0"/>
        </w:numPr>
        <w:adjustRightInd w:val="0"/>
        <w:snapToGrid w:val="0"/>
        <w:spacing w:line="560" w:lineRule="exact"/>
        <w:ind w:left="0" w:leftChars="0" w:firstLine="640" w:firstLineChars="200"/>
        <w:rPr>
          <w:rFonts w:ascii="仿宋_GB2312" w:eastAsia="仿宋_GB2312"/>
          <w:sz w:val="32"/>
          <w:szCs w:val="32"/>
        </w:rPr>
      </w:pPr>
      <w:r>
        <w:rPr>
          <w:rFonts w:ascii="仿宋_GB2312" w:hAnsi="Times New Roman" w:eastAsia="仿宋_GB2312" w:cs="Times New Roman"/>
          <w:b w:val="0"/>
          <w:kern w:val="2"/>
          <w:sz w:val="32"/>
          <w:szCs w:val="32"/>
          <w:lang w:val="en-US" w:eastAsia="zh-CN" w:bidi="ar-SA"/>
        </w:rPr>
        <w:t>（五）</w:t>
      </w:r>
      <w:r>
        <w:rPr>
          <w:rFonts w:hint="eastAsia" w:ascii="仿宋_GB2312" w:eastAsia="仿宋_GB2312"/>
          <w:sz w:val="32"/>
          <w:szCs w:val="32"/>
        </w:rPr>
        <w:t>履约保障比例的计算公式及预警线、平仓线阈值；</w:t>
      </w:r>
    </w:p>
    <w:p w14:paraId="748A03E2">
      <w:pPr>
        <w:numPr>
          <w:ilvl w:val="2"/>
          <w:numId w:val="0"/>
        </w:numPr>
        <w:adjustRightInd w:val="0"/>
        <w:snapToGrid w:val="0"/>
        <w:spacing w:line="560" w:lineRule="exact"/>
        <w:ind w:left="0" w:leftChars="0" w:firstLine="640" w:firstLineChars="200"/>
        <w:rPr>
          <w:rFonts w:ascii="仿宋_GB2312" w:eastAsia="仿宋_GB2312"/>
          <w:sz w:val="32"/>
          <w:szCs w:val="32"/>
        </w:rPr>
      </w:pPr>
      <w:r>
        <w:rPr>
          <w:rFonts w:ascii="仿宋_GB2312" w:hAnsi="Times New Roman" w:eastAsia="仿宋_GB2312" w:cs="Times New Roman"/>
          <w:b w:val="0"/>
          <w:kern w:val="2"/>
          <w:sz w:val="32"/>
          <w:szCs w:val="32"/>
          <w:lang w:val="en-US" w:eastAsia="zh-CN" w:bidi="ar-SA"/>
        </w:rPr>
        <w:t>（六）</w:t>
      </w:r>
      <w:r>
        <w:rPr>
          <w:rFonts w:hint="eastAsia" w:ascii="仿宋_GB2312" w:eastAsia="仿宋_GB2312"/>
          <w:sz w:val="32"/>
          <w:szCs w:val="32"/>
        </w:rPr>
        <w:t>融入方应付金额的计算方式；</w:t>
      </w:r>
    </w:p>
    <w:p w14:paraId="6DC3EC16">
      <w:pPr>
        <w:numPr>
          <w:ilvl w:val="2"/>
          <w:numId w:val="0"/>
        </w:numPr>
        <w:adjustRightInd w:val="0"/>
        <w:snapToGrid w:val="0"/>
        <w:spacing w:line="560" w:lineRule="exact"/>
        <w:ind w:left="0" w:leftChars="0" w:firstLine="640" w:firstLineChars="200"/>
        <w:rPr>
          <w:rFonts w:ascii="仿宋_GB2312" w:eastAsia="仿宋_GB2312"/>
          <w:sz w:val="32"/>
          <w:szCs w:val="32"/>
        </w:rPr>
      </w:pPr>
      <w:r>
        <w:rPr>
          <w:rFonts w:ascii="仿宋_GB2312" w:hAnsi="Times New Roman" w:eastAsia="仿宋_GB2312" w:cs="Times New Roman"/>
          <w:b w:val="0"/>
          <w:kern w:val="2"/>
          <w:sz w:val="32"/>
          <w:szCs w:val="32"/>
          <w:lang w:val="en-US" w:eastAsia="zh-CN" w:bidi="ar-SA"/>
        </w:rPr>
        <w:t>（七）</w:t>
      </w:r>
      <w:r>
        <w:rPr>
          <w:rFonts w:hint="eastAsia" w:ascii="仿宋_GB2312" w:eastAsia="仿宋_GB2312"/>
          <w:sz w:val="32"/>
          <w:szCs w:val="32"/>
        </w:rPr>
        <w:t>标的证券停牌期间市值计算公式。</w:t>
      </w:r>
    </w:p>
    <w:p w14:paraId="1044F2EB">
      <w:pPr>
        <w:numPr>
          <w:ilvl w:val="1"/>
          <w:numId w:val="0"/>
        </w:numPr>
        <w:tabs>
          <w:tab w:val="left" w:pos="340"/>
        </w:tabs>
        <w:adjustRightInd w:val="0"/>
        <w:snapToGrid w:val="0"/>
        <w:spacing w:line="560" w:lineRule="exact"/>
        <w:ind w:left="0" w:leftChars="0" w:firstLine="643" w:firstLineChars="200"/>
        <w:rPr>
          <w:rFonts w:ascii="仿宋_GB2312" w:eastAsia="仿宋_GB2312"/>
          <w:sz w:val="32"/>
          <w:szCs w:val="32"/>
        </w:rPr>
      </w:pPr>
      <w:r>
        <w:rPr>
          <w:rFonts w:ascii="仿宋_GB2312" w:hAnsi="Times New Roman" w:eastAsia="仿宋_GB2312" w:cs="Times New Roman"/>
          <w:b/>
          <w:kern w:val="2"/>
          <w:sz w:val="32"/>
          <w:szCs w:val="32"/>
          <w:lang w:val="en-US" w:eastAsia="zh-CN" w:bidi="ar-SA"/>
        </w:rPr>
        <w:t>第九</w:t>
      </w:r>
      <w:r>
        <w:rPr>
          <w:rFonts w:hint="eastAsia" w:ascii="仿宋_GB2312" w:eastAsia="仿宋_GB2312" w:cs="Times New Roman"/>
          <w:b/>
          <w:kern w:val="2"/>
          <w:sz w:val="32"/>
          <w:szCs w:val="32"/>
          <w:lang w:val="en-US" w:eastAsia="zh-CN" w:bidi="ar-SA"/>
        </w:rPr>
        <w:t xml:space="preserve">条 </w:t>
      </w:r>
      <w:r>
        <w:rPr>
          <w:rFonts w:hint="eastAsia" w:ascii="仿宋_GB2312" w:eastAsia="仿宋_GB2312"/>
          <w:sz w:val="32"/>
          <w:szCs w:val="32"/>
        </w:rPr>
        <w:t>业务协议应当约定在股票质押回购中的交易委托、申报、成交、结算、盯市、权益处理、违约处置等事宜，约定内容应当符合上交所和中国结算的有关规定。</w:t>
      </w:r>
    </w:p>
    <w:p w14:paraId="4027DCA4">
      <w:pPr>
        <w:numPr>
          <w:ilvl w:val="1"/>
          <w:numId w:val="0"/>
        </w:numPr>
        <w:tabs>
          <w:tab w:val="left" w:pos="340"/>
        </w:tabs>
        <w:adjustRightInd w:val="0"/>
        <w:snapToGrid w:val="0"/>
        <w:spacing w:line="560" w:lineRule="exact"/>
        <w:ind w:left="0" w:leftChars="0" w:firstLine="643" w:firstLineChars="200"/>
        <w:rPr>
          <w:rFonts w:ascii="仿宋_GB2312" w:eastAsia="仿宋_GB2312"/>
          <w:sz w:val="32"/>
          <w:szCs w:val="32"/>
        </w:rPr>
      </w:pPr>
      <w:r>
        <w:rPr>
          <w:rFonts w:ascii="仿宋_GB2312" w:hAnsi="Times New Roman" w:eastAsia="仿宋_GB2312" w:cs="Times New Roman"/>
          <w:b/>
          <w:kern w:val="2"/>
          <w:sz w:val="32"/>
          <w:szCs w:val="32"/>
          <w:lang w:val="en-US" w:eastAsia="zh-CN" w:bidi="ar-SA"/>
        </w:rPr>
        <w:t>第十</w:t>
      </w:r>
      <w:r>
        <w:rPr>
          <w:rFonts w:hint="eastAsia" w:ascii="仿宋_GB2312" w:eastAsia="仿宋_GB2312" w:cs="Times New Roman"/>
          <w:b/>
          <w:kern w:val="2"/>
          <w:sz w:val="32"/>
          <w:szCs w:val="32"/>
          <w:lang w:val="en-US" w:eastAsia="zh-CN" w:bidi="ar-SA"/>
        </w:rPr>
        <w:t xml:space="preserve">条 </w:t>
      </w:r>
      <w:r>
        <w:rPr>
          <w:rFonts w:hint="eastAsia" w:ascii="仿宋_GB2312" w:eastAsia="仿宋_GB2312"/>
          <w:sz w:val="32"/>
          <w:szCs w:val="32"/>
        </w:rPr>
        <w:t>融出方是证券公司的，业务协议应当约定质权人登记为乙方；融出方是集合资产管理计划的，业务协议应当约定质权人登记为乙方；融出方是定向资产管理客户的，业务协议应当约定质权人登记为定向资产管理客户或乙方。</w:t>
      </w:r>
    </w:p>
    <w:p w14:paraId="54484D0E">
      <w:pPr>
        <w:numPr>
          <w:ilvl w:val="1"/>
          <w:numId w:val="0"/>
        </w:numPr>
        <w:tabs>
          <w:tab w:val="left" w:pos="340"/>
        </w:tabs>
        <w:adjustRightInd w:val="0"/>
        <w:snapToGrid w:val="0"/>
        <w:spacing w:line="560" w:lineRule="exact"/>
        <w:ind w:left="0" w:leftChars="0" w:firstLine="643" w:firstLineChars="200"/>
        <w:rPr>
          <w:rFonts w:ascii="仿宋_GB2312" w:eastAsia="仿宋_GB2312"/>
          <w:sz w:val="32"/>
          <w:szCs w:val="32"/>
        </w:rPr>
      </w:pPr>
      <w:r>
        <w:rPr>
          <w:rFonts w:ascii="仿宋_GB2312" w:hAnsi="Times New Roman" w:eastAsia="仿宋_GB2312" w:cs="Times New Roman"/>
          <w:b/>
          <w:kern w:val="2"/>
          <w:sz w:val="32"/>
          <w:szCs w:val="32"/>
          <w:lang w:val="en-US" w:eastAsia="zh-CN" w:bidi="ar-SA"/>
        </w:rPr>
        <w:t>第十一</w:t>
      </w:r>
      <w:r>
        <w:rPr>
          <w:rFonts w:hint="eastAsia" w:ascii="仿宋_GB2312" w:eastAsia="仿宋_GB2312" w:cs="Times New Roman"/>
          <w:b/>
          <w:kern w:val="2"/>
          <w:sz w:val="32"/>
          <w:szCs w:val="32"/>
          <w:lang w:val="en-US" w:eastAsia="zh-CN" w:bidi="ar-SA"/>
        </w:rPr>
        <w:t xml:space="preserve">条 </w:t>
      </w:r>
      <w:r>
        <w:rPr>
          <w:rFonts w:hint="eastAsia" w:ascii="仿宋_GB2312" w:eastAsia="仿宋_GB2312"/>
          <w:sz w:val="32"/>
          <w:szCs w:val="32"/>
        </w:rPr>
        <w:t>业务协议应当约定由乙方负责交易申报、盯市、违约处置等事宜。</w:t>
      </w:r>
    </w:p>
    <w:p w14:paraId="74C0E4E1">
      <w:pPr>
        <w:numPr>
          <w:ilvl w:val="1"/>
          <w:numId w:val="0"/>
        </w:numPr>
        <w:tabs>
          <w:tab w:val="left" w:pos="340"/>
        </w:tabs>
        <w:adjustRightInd w:val="0"/>
        <w:snapToGrid w:val="0"/>
        <w:spacing w:line="560" w:lineRule="exact"/>
        <w:ind w:left="0" w:leftChars="0" w:firstLine="643" w:firstLineChars="200"/>
        <w:rPr>
          <w:rFonts w:ascii="仿宋_GB2312" w:eastAsia="仿宋_GB2312"/>
          <w:sz w:val="32"/>
          <w:szCs w:val="32"/>
        </w:rPr>
      </w:pPr>
      <w:r>
        <w:rPr>
          <w:rFonts w:ascii="仿宋_GB2312" w:hAnsi="Times New Roman" w:eastAsia="仿宋_GB2312" w:cs="Times New Roman"/>
          <w:b/>
          <w:kern w:val="2"/>
          <w:sz w:val="32"/>
          <w:szCs w:val="32"/>
          <w:lang w:val="en-US" w:eastAsia="zh-CN" w:bidi="ar-SA"/>
        </w:rPr>
        <w:t>第十二</w:t>
      </w:r>
      <w:r>
        <w:rPr>
          <w:rFonts w:hint="eastAsia" w:ascii="仿宋_GB2312" w:eastAsia="仿宋_GB2312" w:cs="Times New Roman"/>
          <w:b/>
          <w:kern w:val="2"/>
          <w:sz w:val="32"/>
          <w:szCs w:val="32"/>
          <w:lang w:val="en-US" w:eastAsia="zh-CN" w:bidi="ar-SA"/>
        </w:rPr>
        <w:t xml:space="preserve">条 </w:t>
      </w:r>
      <w:r>
        <w:rPr>
          <w:rFonts w:hint="eastAsia" w:ascii="仿宋_GB2312" w:eastAsia="仿宋_GB2312"/>
          <w:sz w:val="32"/>
          <w:szCs w:val="32"/>
        </w:rPr>
        <w:t>业务协议应当约定乙方对股票质押回购初始交易及相应的补充质押、部分解除质押进行合并管理。</w:t>
      </w:r>
    </w:p>
    <w:p w14:paraId="271980EE">
      <w:pPr>
        <w:numPr>
          <w:ilvl w:val="1"/>
          <w:numId w:val="0"/>
        </w:numPr>
        <w:tabs>
          <w:tab w:val="left" w:pos="340"/>
        </w:tabs>
        <w:adjustRightInd w:val="0"/>
        <w:snapToGrid w:val="0"/>
        <w:spacing w:line="560" w:lineRule="exact"/>
        <w:ind w:left="0" w:leftChars="0" w:firstLine="643" w:firstLineChars="200"/>
        <w:rPr>
          <w:rFonts w:ascii="仿宋_GB2312" w:eastAsia="仿宋_GB2312"/>
          <w:sz w:val="32"/>
          <w:szCs w:val="32"/>
        </w:rPr>
      </w:pPr>
      <w:r>
        <w:rPr>
          <w:rFonts w:ascii="仿宋_GB2312" w:hAnsi="Times New Roman" w:eastAsia="仿宋_GB2312" w:cs="Times New Roman"/>
          <w:b/>
          <w:kern w:val="2"/>
          <w:sz w:val="32"/>
          <w:szCs w:val="32"/>
          <w:lang w:val="en-US" w:eastAsia="zh-CN" w:bidi="ar-SA"/>
        </w:rPr>
        <w:t>第十三</w:t>
      </w:r>
      <w:r>
        <w:rPr>
          <w:rFonts w:hint="eastAsia" w:ascii="仿宋_GB2312" w:eastAsia="仿宋_GB2312" w:cs="Times New Roman"/>
          <w:b/>
          <w:kern w:val="2"/>
          <w:sz w:val="32"/>
          <w:szCs w:val="32"/>
          <w:lang w:val="en-US" w:eastAsia="zh-CN" w:bidi="ar-SA"/>
        </w:rPr>
        <w:t xml:space="preserve">条 </w:t>
      </w:r>
      <w:r>
        <w:rPr>
          <w:rFonts w:hint="eastAsia" w:ascii="仿宋_GB2312" w:eastAsia="仿宋_GB2312"/>
          <w:sz w:val="32"/>
          <w:szCs w:val="32"/>
        </w:rPr>
        <w:t>业务协议应当约定甲方的权利义务。</w:t>
      </w:r>
    </w:p>
    <w:p w14:paraId="1873E13C">
      <w:pPr>
        <w:numPr>
          <w:ilvl w:val="2"/>
          <w:numId w:val="0"/>
        </w:numPr>
        <w:adjustRightInd w:val="0"/>
        <w:snapToGrid w:val="0"/>
        <w:spacing w:line="560" w:lineRule="exact"/>
        <w:ind w:left="0" w:leftChars="0" w:firstLine="640" w:firstLineChars="200"/>
        <w:rPr>
          <w:rFonts w:ascii="仿宋_GB2312" w:eastAsia="仿宋_GB2312"/>
          <w:sz w:val="32"/>
          <w:szCs w:val="32"/>
        </w:rPr>
      </w:pPr>
      <w:r>
        <w:rPr>
          <w:rFonts w:ascii="仿宋_GB2312" w:hAnsi="Times New Roman" w:eastAsia="仿宋_GB2312" w:cs="Times New Roman"/>
          <w:b w:val="0"/>
          <w:kern w:val="2"/>
          <w:sz w:val="32"/>
          <w:szCs w:val="32"/>
          <w:lang w:val="en-US" w:eastAsia="zh-CN" w:bidi="ar-SA"/>
        </w:rPr>
        <w:t>（一）</w:t>
      </w:r>
      <w:r>
        <w:rPr>
          <w:rFonts w:hint="eastAsia" w:ascii="仿宋_GB2312" w:eastAsia="仿宋_GB2312"/>
          <w:sz w:val="32"/>
          <w:szCs w:val="32"/>
        </w:rPr>
        <w:t>甲方权利包括：</w:t>
      </w:r>
    </w:p>
    <w:p w14:paraId="30948C2C">
      <w:pPr>
        <w:adjustRightInd w:val="0"/>
        <w:snapToGrid w:val="0"/>
        <w:spacing w:line="560" w:lineRule="exact"/>
        <w:ind w:firstLine="640" w:firstLineChars="200"/>
        <w:rPr>
          <w:rFonts w:hint="eastAsia" w:ascii="仿宋_GB2312" w:hAnsi="宋体" w:eastAsia="仿宋_GB2312"/>
          <w:sz w:val="32"/>
          <w:szCs w:val="32"/>
        </w:rPr>
      </w:pPr>
      <w:r>
        <w:rPr>
          <w:rFonts w:hint="eastAsia" w:eastAsia="仿宋_GB2312"/>
          <w:sz w:val="32"/>
          <w:szCs w:val="32"/>
        </w:rPr>
        <w:t>1</w:t>
      </w:r>
      <w:r>
        <w:rPr>
          <w:rFonts w:hint="eastAsia" w:ascii="仿宋_GB2312" w:hAnsi="宋体" w:eastAsia="仿宋_GB2312"/>
          <w:sz w:val="32"/>
          <w:szCs w:val="32"/>
        </w:rPr>
        <w:t>.初始交易交收完成后获得相应资金；</w:t>
      </w:r>
    </w:p>
    <w:p w14:paraId="4DD23180">
      <w:pPr>
        <w:adjustRightInd w:val="0"/>
        <w:snapToGrid w:val="0"/>
        <w:spacing w:line="560" w:lineRule="exact"/>
        <w:ind w:firstLine="640" w:firstLineChars="200"/>
        <w:rPr>
          <w:rFonts w:hint="eastAsia" w:ascii="仿宋_GB2312" w:hAnsi="宋体" w:eastAsia="仿宋_GB2312"/>
          <w:sz w:val="32"/>
          <w:szCs w:val="32"/>
        </w:rPr>
      </w:pPr>
      <w:r>
        <w:rPr>
          <w:rFonts w:hint="eastAsia" w:eastAsia="仿宋_GB2312"/>
          <w:sz w:val="32"/>
          <w:szCs w:val="32"/>
        </w:rPr>
        <w:t>2</w:t>
      </w:r>
      <w:r>
        <w:rPr>
          <w:rFonts w:hint="eastAsia" w:ascii="仿宋_GB2312" w:hAnsi="宋体" w:eastAsia="仿宋_GB2312"/>
          <w:sz w:val="32"/>
          <w:szCs w:val="32"/>
        </w:rPr>
        <w:t>.向乙方查询股票质押回购交易情况；</w:t>
      </w:r>
    </w:p>
    <w:p w14:paraId="13C1DA36">
      <w:pPr>
        <w:adjustRightInd w:val="0"/>
        <w:snapToGrid w:val="0"/>
        <w:spacing w:line="560" w:lineRule="exact"/>
        <w:ind w:firstLine="640" w:firstLineChars="200"/>
        <w:rPr>
          <w:rFonts w:hint="eastAsia" w:ascii="仿宋_GB2312" w:hAnsi="宋体" w:eastAsia="仿宋_GB2312"/>
          <w:sz w:val="32"/>
          <w:szCs w:val="32"/>
        </w:rPr>
      </w:pPr>
      <w:r>
        <w:rPr>
          <w:rFonts w:hint="eastAsia" w:eastAsia="仿宋_GB2312"/>
          <w:sz w:val="32"/>
          <w:szCs w:val="32"/>
        </w:rPr>
        <w:t>3</w:t>
      </w:r>
      <w:r>
        <w:rPr>
          <w:rFonts w:hint="eastAsia" w:ascii="仿宋_GB2312" w:hAnsi="宋体" w:eastAsia="仿宋_GB2312"/>
          <w:sz w:val="32"/>
          <w:szCs w:val="32"/>
        </w:rPr>
        <w:t>.购回交易交收完成后，已质押的相应证券及孳息解除质押。</w:t>
      </w:r>
    </w:p>
    <w:p w14:paraId="0EDD13E0">
      <w:pPr>
        <w:numPr>
          <w:ilvl w:val="2"/>
          <w:numId w:val="0"/>
        </w:numPr>
        <w:adjustRightInd w:val="0"/>
        <w:snapToGrid w:val="0"/>
        <w:spacing w:line="560" w:lineRule="exact"/>
        <w:ind w:left="0" w:leftChars="0" w:firstLine="640" w:firstLineChars="200"/>
        <w:rPr>
          <w:rFonts w:ascii="仿宋_GB2312" w:eastAsia="仿宋_GB2312"/>
          <w:sz w:val="32"/>
          <w:szCs w:val="32"/>
        </w:rPr>
      </w:pPr>
      <w:r>
        <w:rPr>
          <w:rFonts w:ascii="仿宋_GB2312" w:hAnsi="Times New Roman" w:eastAsia="仿宋_GB2312" w:cs="Times New Roman"/>
          <w:b w:val="0"/>
          <w:kern w:val="2"/>
          <w:sz w:val="32"/>
          <w:szCs w:val="32"/>
          <w:lang w:val="en-US" w:eastAsia="zh-CN" w:bidi="ar-SA"/>
        </w:rPr>
        <w:t>（二）</w:t>
      </w:r>
      <w:r>
        <w:rPr>
          <w:rFonts w:hint="eastAsia" w:ascii="仿宋_GB2312" w:eastAsia="仿宋_GB2312"/>
          <w:sz w:val="32"/>
          <w:szCs w:val="32"/>
        </w:rPr>
        <w:t>甲方义务包括：</w:t>
      </w:r>
    </w:p>
    <w:p w14:paraId="52502C13">
      <w:pPr>
        <w:adjustRightInd w:val="0"/>
        <w:snapToGrid w:val="0"/>
        <w:spacing w:line="560" w:lineRule="exact"/>
        <w:ind w:firstLine="640" w:firstLineChars="200"/>
        <w:rPr>
          <w:rFonts w:hint="eastAsia" w:ascii="仿宋_GB2312" w:hAnsi="宋体" w:eastAsia="仿宋_GB2312"/>
          <w:sz w:val="32"/>
          <w:szCs w:val="32"/>
        </w:rPr>
      </w:pPr>
      <w:r>
        <w:rPr>
          <w:rFonts w:hint="eastAsia" w:eastAsia="仿宋_GB2312"/>
          <w:sz w:val="32"/>
          <w:szCs w:val="32"/>
        </w:rPr>
        <w:t>1</w:t>
      </w:r>
      <w:r>
        <w:rPr>
          <w:rFonts w:hint="eastAsia" w:ascii="仿宋_GB2312" w:hAnsi="宋体" w:eastAsia="仿宋_GB2312"/>
          <w:sz w:val="32"/>
          <w:szCs w:val="32"/>
        </w:rPr>
        <w:t>.初始交易时，保证其证券账户内有足够的标的证券，交易指令申报成功后接受相应的清算与质押结果。因其证券账户标的证券余额不足或账户状态不正常导致交易无法申报、申报失败或质押失败的，由甲方自行承担责任；</w:t>
      </w:r>
    </w:p>
    <w:p w14:paraId="68B7BB7A">
      <w:pPr>
        <w:adjustRightInd w:val="0"/>
        <w:snapToGrid w:val="0"/>
        <w:spacing w:line="560" w:lineRule="exact"/>
        <w:ind w:firstLine="640" w:firstLineChars="200"/>
        <w:rPr>
          <w:rFonts w:hint="eastAsia" w:ascii="仿宋_GB2312" w:hAnsi="宋体" w:eastAsia="仿宋_GB2312"/>
          <w:sz w:val="32"/>
          <w:szCs w:val="32"/>
        </w:rPr>
      </w:pPr>
      <w:r>
        <w:rPr>
          <w:rFonts w:hint="eastAsia" w:eastAsia="仿宋_GB2312"/>
          <w:sz w:val="32"/>
          <w:szCs w:val="32"/>
        </w:rPr>
        <w:t>2</w:t>
      </w:r>
      <w:r>
        <w:rPr>
          <w:rFonts w:hint="eastAsia" w:ascii="仿宋_GB2312" w:hAnsi="宋体" w:eastAsia="仿宋_GB2312"/>
          <w:sz w:val="32"/>
          <w:szCs w:val="32"/>
        </w:rPr>
        <w:t>.保证将融入的资金用于实体经济生产经营，不直接或者间接用于下列用途：（</w:t>
      </w:r>
      <w:r>
        <w:rPr>
          <w:rFonts w:hint="eastAsia" w:eastAsia="仿宋_GB2312"/>
          <w:sz w:val="32"/>
          <w:szCs w:val="32"/>
        </w:rPr>
        <w:t>1</w:t>
      </w:r>
      <w:r>
        <w:rPr>
          <w:rFonts w:hint="eastAsia" w:ascii="仿宋_GB2312" w:hAnsi="宋体" w:eastAsia="仿宋_GB2312"/>
          <w:sz w:val="32"/>
          <w:szCs w:val="32"/>
        </w:rPr>
        <w:t>）投资于被列入国家相关部委发布的淘汰类产业目录，或者违反国家宏观调控政策、环境保护政策的项目；（</w:t>
      </w:r>
      <w:r>
        <w:rPr>
          <w:rFonts w:hint="eastAsia" w:eastAsia="仿宋_GB2312"/>
          <w:sz w:val="32"/>
          <w:szCs w:val="32"/>
        </w:rPr>
        <w:t>2</w:t>
      </w:r>
      <w:r>
        <w:rPr>
          <w:rFonts w:hint="eastAsia" w:ascii="仿宋_GB2312" w:hAnsi="宋体" w:eastAsia="仿宋_GB2312"/>
          <w:sz w:val="32"/>
          <w:szCs w:val="32"/>
        </w:rPr>
        <w:t>）进行新股申购；（</w:t>
      </w:r>
      <w:r>
        <w:rPr>
          <w:rFonts w:hint="eastAsia" w:eastAsia="仿宋_GB2312"/>
          <w:sz w:val="32"/>
          <w:szCs w:val="32"/>
        </w:rPr>
        <w:t>3</w:t>
      </w:r>
      <w:r>
        <w:rPr>
          <w:rFonts w:hint="eastAsia" w:ascii="仿宋_GB2312" w:hAnsi="宋体" w:eastAsia="仿宋_GB2312"/>
          <w:sz w:val="32"/>
          <w:szCs w:val="32"/>
        </w:rPr>
        <w:t>）通过竞价交易或者大宗交易方式买入上市交易的股票；（</w:t>
      </w:r>
      <w:r>
        <w:rPr>
          <w:rFonts w:hint="eastAsia" w:eastAsia="仿宋_GB2312"/>
          <w:sz w:val="32"/>
          <w:szCs w:val="32"/>
        </w:rPr>
        <w:t>4</w:t>
      </w:r>
      <w:r>
        <w:rPr>
          <w:rFonts w:hint="eastAsia" w:ascii="仿宋_GB2312" w:hAnsi="宋体" w:eastAsia="仿宋_GB2312"/>
          <w:sz w:val="32"/>
          <w:szCs w:val="32"/>
        </w:rPr>
        <w:t>）法律法规、中国证券监督管理委员会</w:t>
      </w:r>
      <w:r>
        <w:rPr>
          <w:rFonts w:hint="eastAsia" w:ascii="仿宋_GB2312" w:eastAsia="仿宋_GB2312"/>
          <w:sz w:val="32"/>
          <w:szCs w:val="32"/>
        </w:rPr>
        <w:t>相关部门规章和规范性文件</w:t>
      </w:r>
      <w:r>
        <w:rPr>
          <w:rFonts w:hint="eastAsia" w:ascii="仿宋_GB2312" w:hAnsi="宋体" w:eastAsia="仿宋_GB2312"/>
          <w:sz w:val="32"/>
          <w:szCs w:val="32"/>
        </w:rPr>
        <w:t>禁止的其他用途；</w:t>
      </w:r>
    </w:p>
    <w:p w14:paraId="6BA02AB5">
      <w:pPr>
        <w:adjustRightInd w:val="0"/>
        <w:snapToGrid w:val="0"/>
        <w:spacing w:line="560" w:lineRule="exact"/>
        <w:ind w:firstLine="640" w:firstLineChars="200"/>
        <w:rPr>
          <w:rFonts w:hint="eastAsia" w:ascii="仿宋_GB2312" w:hAnsi="宋体" w:eastAsia="仿宋_GB2312"/>
          <w:sz w:val="32"/>
          <w:szCs w:val="32"/>
        </w:rPr>
      </w:pPr>
      <w:r>
        <w:rPr>
          <w:rFonts w:hint="eastAsia" w:eastAsia="仿宋_GB2312"/>
          <w:sz w:val="32"/>
          <w:szCs w:val="32"/>
        </w:rPr>
        <w:t>3</w:t>
      </w:r>
      <w:r>
        <w:rPr>
          <w:rFonts w:hint="eastAsia" w:ascii="仿宋_GB2312" w:hAnsi="宋体" w:eastAsia="仿宋_GB2312"/>
          <w:sz w:val="32"/>
          <w:szCs w:val="32"/>
        </w:rPr>
        <w:t>.待购回期间，依据业务协议的约定支付利息；</w:t>
      </w:r>
    </w:p>
    <w:p w14:paraId="7A935777">
      <w:pPr>
        <w:adjustRightInd w:val="0"/>
        <w:snapToGrid w:val="0"/>
        <w:spacing w:line="560" w:lineRule="exact"/>
        <w:ind w:firstLine="640" w:firstLineChars="200"/>
        <w:rPr>
          <w:rFonts w:hint="eastAsia" w:ascii="仿宋_GB2312" w:hAnsi="宋体" w:eastAsia="仿宋_GB2312"/>
          <w:sz w:val="32"/>
          <w:szCs w:val="32"/>
        </w:rPr>
      </w:pPr>
      <w:r>
        <w:rPr>
          <w:rFonts w:hint="eastAsia" w:eastAsia="仿宋_GB2312"/>
          <w:sz w:val="32"/>
          <w:szCs w:val="32"/>
        </w:rPr>
        <w:t>4</w:t>
      </w:r>
      <w:r>
        <w:rPr>
          <w:rFonts w:hint="eastAsia" w:ascii="仿宋_GB2312" w:hAnsi="宋体" w:eastAsia="仿宋_GB2312"/>
          <w:sz w:val="32"/>
          <w:szCs w:val="32"/>
        </w:rPr>
        <w:t>.购回交易时，保证其资金账户内有足够的资金，交易指令申报成功后接受相应的清算与资金交收结果。因其资金账户资金余额不足或账户状态不正常导致交易无法申报、申报失败或资金交收失败的，由甲方自行承担责任；</w:t>
      </w:r>
    </w:p>
    <w:p w14:paraId="018F57DC">
      <w:pPr>
        <w:adjustRightInd w:val="0"/>
        <w:snapToGrid w:val="0"/>
        <w:spacing w:line="560" w:lineRule="exact"/>
        <w:ind w:firstLine="640" w:firstLineChars="200"/>
        <w:rPr>
          <w:rFonts w:hint="eastAsia" w:ascii="仿宋_GB2312" w:hAnsi="宋体" w:eastAsia="仿宋_GB2312" w:cs="宋体"/>
          <w:kern w:val="0"/>
          <w:sz w:val="32"/>
          <w:szCs w:val="32"/>
        </w:rPr>
      </w:pPr>
      <w:r>
        <w:rPr>
          <w:rFonts w:hint="eastAsia" w:eastAsia="仿宋_GB2312"/>
          <w:sz w:val="32"/>
          <w:szCs w:val="32"/>
        </w:rPr>
        <w:t>5</w:t>
      </w:r>
      <w:r>
        <w:rPr>
          <w:rFonts w:hint="eastAsia" w:ascii="仿宋_GB2312" w:hAnsi="宋体" w:eastAsia="仿宋_GB2312" w:cs="宋体"/>
          <w:kern w:val="0"/>
          <w:sz w:val="32"/>
          <w:szCs w:val="32"/>
        </w:rPr>
        <w:t>.甲方开立的上海证券账户应当指定在乙方，待购回期间，甲方不得撤销、变更指定交易关系；</w:t>
      </w:r>
    </w:p>
    <w:p w14:paraId="732A4E7D">
      <w:pPr>
        <w:adjustRightInd w:val="0"/>
        <w:snapToGrid w:val="0"/>
        <w:spacing w:line="560" w:lineRule="exact"/>
        <w:ind w:firstLine="640" w:firstLineChars="200"/>
        <w:rPr>
          <w:rFonts w:hint="eastAsia" w:ascii="仿宋_GB2312" w:hAnsi="宋体" w:eastAsia="仿宋_GB2312" w:cs="宋体"/>
          <w:kern w:val="0"/>
          <w:sz w:val="32"/>
          <w:szCs w:val="32"/>
        </w:rPr>
      </w:pPr>
      <w:r>
        <w:rPr>
          <w:rFonts w:hint="eastAsia" w:eastAsia="仿宋_GB2312" w:cs="宋体"/>
          <w:kern w:val="0"/>
          <w:sz w:val="32"/>
          <w:szCs w:val="32"/>
        </w:rPr>
        <w:t>6</w:t>
      </w:r>
      <w:r>
        <w:rPr>
          <w:rFonts w:hint="eastAsia" w:ascii="仿宋_GB2312" w:hAnsi="宋体" w:eastAsia="仿宋_GB2312" w:cs="宋体"/>
          <w:kern w:val="0"/>
          <w:sz w:val="32"/>
          <w:szCs w:val="32"/>
        </w:rPr>
        <w:t>.按照上交所、中国结算的有关规定支付有关费用。</w:t>
      </w:r>
    </w:p>
    <w:p w14:paraId="3911FAC3">
      <w:pPr>
        <w:numPr>
          <w:ilvl w:val="1"/>
          <w:numId w:val="0"/>
        </w:numPr>
        <w:tabs>
          <w:tab w:val="left" w:pos="340"/>
        </w:tabs>
        <w:adjustRightInd w:val="0"/>
        <w:snapToGrid w:val="0"/>
        <w:spacing w:line="560" w:lineRule="exact"/>
        <w:ind w:left="0" w:leftChars="0" w:firstLine="643" w:firstLineChars="200"/>
        <w:rPr>
          <w:rFonts w:hint="eastAsia" w:ascii="仿宋_GB2312" w:eastAsia="仿宋_GB2312"/>
          <w:sz w:val="32"/>
          <w:szCs w:val="32"/>
        </w:rPr>
      </w:pPr>
      <w:r>
        <w:rPr>
          <w:rFonts w:hint="eastAsia" w:ascii="仿宋_GB2312" w:hAnsi="Times New Roman" w:eastAsia="仿宋_GB2312" w:cs="Times New Roman"/>
          <w:b/>
          <w:kern w:val="2"/>
          <w:sz w:val="32"/>
          <w:szCs w:val="32"/>
          <w:lang w:val="en-US" w:eastAsia="zh-CN" w:bidi="ar-SA"/>
        </w:rPr>
        <w:t>第十四</w:t>
      </w:r>
      <w:r>
        <w:rPr>
          <w:rFonts w:hint="eastAsia" w:ascii="仿宋_GB2312" w:eastAsia="仿宋_GB2312" w:cs="Times New Roman"/>
          <w:b/>
          <w:kern w:val="2"/>
          <w:sz w:val="32"/>
          <w:szCs w:val="32"/>
          <w:lang w:val="en-US" w:eastAsia="zh-CN" w:bidi="ar-SA"/>
        </w:rPr>
        <w:t xml:space="preserve">条 </w:t>
      </w:r>
      <w:r>
        <w:rPr>
          <w:rFonts w:hint="eastAsia" w:ascii="仿宋_GB2312" w:eastAsia="仿宋_GB2312"/>
          <w:sz w:val="32"/>
          <w:szCs w:val="32"/>
        </w:rPr>
        <w:t>业务协议应当约定乙方的权利义务。</w:t>
      </w:r>
    </w:p>
    <w:p w14:paraId="01CDD8B2">
      <w:pPr>
        <w:numPr>
          <w:ilvl w:val="2"/>
          <w:numId w:val="0"/>
        </w:numPr>
        <w:adjustRightInd w:val="0"/>
        <w:snapToGrid w:val="0"/>
        <w:spacing w:line="560" w:lineRule="exact"/>
        <w:ind w:left="0" w:leftChars="0" w:firstLine="640" w:firstLineChars="200"/>
        <w:rPr>
          <w:rFonts w:ascii="仿宋_GB2312" w:eastAsia="仿宋_GB2312"/>
          <w:sz w:val="32"/>
          <w:szCs w:val="32"/>
        </w:rPr>
      </w:pPr>
      <w:r>
        <w:rPr>
          <w:rFonts w:ascii="仿宋_GB2312" w:hAnsi="Times New Roman" w:eastAsia="仿宋_GB2312" w:cs="Times New Roman"/>
          <w:b w:val="0"/>
          <w:kern w:val="2"/>
          <w:sz w:val="32"/>
          <w:szCs w:val="32"/>
          <w:lang w:val="en-US" w:eastAsia="zh-CN" w:bidi="ar-SA"/>
        </w:rPr>
        <w:t>（一）</w:t>
      </w:r>
      <w:r>
        <w:rPr>
          <w:rFonts w:hint="eastAsia" w:ascii="仿宋_GB2312" w:eastAsia="仿宋_GB2312"/>
          <w:sz w:val="32"/>
          <w:szCs w:val="32"/>
        </w:rPr>
        <w:t>乙方权利包括：</w:t>
      </w:r>
    </w:p>
    <w:p w14:paraId="50FECD93">
      <w:pPr>
        <w:adjustRightInd w:val="0"/>
        <w:snapToGrid w:val="0"/>
        <w:spacing w:line="560" w:lineRule="exact"/>
        <w:ind w:firstLine="640" w:firstLineChars="200"/>
        <w:rPr>
          <w:rFonts w:hint="eastAsia" w:ascii="仿宋_GB2312" w:hAnsi="宋体" w:eastAsia="仿宋_GB2312"/>
          <w:sz w:val="32"/>
          <w:szCs w:val="32"/>
        </w:rPr>
      </w:pPr>
      <w:r>
        <w:rPr>
          <w:rFonts w:hint="eastAsia" w:eastAsia="仿宋_GB2312"/>
          <w:sz w:val="32"/>
          <w:szCs w:val="32"/>
        </w:rPr>
        <w:t>1</w:t>
      </w:r>
      <w:r>
        <w:rPr>
          <w:rFonts w:hint="eastAsia" w:ascii="仿宋_GB2312" w:hAnsi="宋体" w:eastAsia="仿宋_GB2312"/>
          <w:sz w:val="32"/>
          <w:szCs w:val="32"/>
        </w:rPr>
        <w:t>.乙方或乙方管理的集合资产管理计划为融出方的，初始交易交收完成后取得相应标的证券及孳息的质权；</w:t>
      </w:r>
    </w:p>
    <w:p w14:paraId="5A2160FC">
      <w:pPr>
        <w:adjustRightInd w:val="0"/>
        <w:snapToGrid w:val="0"/>
        <w:spacing w:line="560" w:lineRule="exact"/>
        <w:ind w:firstLine="640" w:firstLineChars="200"/>
        <w:rPr>
          <w:rFonts w:hint="eastAsia" w:ascii="仿宋_GB2312" w:hAnsi="宋体" w:eastAsia="仿宋_GB2312"/>
          <w:sz w:val="32"/>
          <w:szCs w:val="32"/>
        </w:rPr>
      </w:pPr>
      <w:r>
        <w:rPr>
          <w:rFonts w:hint="eastAsia" w:eastAsia="仿宋_GB2312"/>
          <w:sz w:val="32"/>
          <w:szCs w:val="32"/>
        </w:rPr>
        <w:t>2</w:t>
      </w:r>
      <w:r>
        <w:rPr>
          <w:rFonts w:hint="eastAsia" w:ascii="仿宋_GB2312" w:hAnsi="宋体" w:eastAsia="仿宋_GB2312"/>
          <w:sz w:val="32"/>
          <w:szCs w:val="32"/>
        </w:rPr>
        <w:t>.乙方有权采取措施对甲方资金的使用情况进行跟踪，甲方违反本协议约定使用融入资金的，乙方有权督促甲方按照协议约定采取改正措施；未按照协议约定采取改正措施的，乙方有权要求甲方提前购回；</w:t>
      </w:r>
    </w:p>
    <w:p w14:paraId="4D92998F">
      <w:pPr>
        <w:adjustRightInd w:val="0"/>
        <w:snapToGrid w:val="0"/>
        <w:spacing w:line="560" w:lineRule="exact"/>
        <w:ind w:firstLine="640" w:firstLineChars="200"/>
        <w:rPr>
          <w:rFonts w:hint="eastAsia" w:ascii="仿宋_GB2312" w:hAnsi="宋体" w:eastAsia="仿宋_GB2312"/>
          <w:sz w:val="32"/>
          <w:szCs w:val="32"/>
        </w:rPr>
      </w:pPr>
      <w:r>
        <w:rPr>
          <w:rFonts w:hint="eastAsia" w:eastAsia="仿宋_GB2312"/>
          <w:sz w:val="32"/>
          <w:szCs w:val="32"/>
        </w:rPr>
        <w:t>3</w:t>
      </w:r>
      <w:r>
        <w:rPr>
          <w:rFonts w:hint="eastAsia" w:ascii="仿宋_GB2312" w:hAnsi="宋体" w:eastAsia="仿宋_GB2312"/>
          <w:sz w:val="32"/>
          <w:szCs w:val="32"/>
        </w:rPr>
        <w:t>.待购回期间，依据业务协议的约定收取利息；</w:t>
      </w:r>
    </w:p>
    <w:p w14:paraId="0C19E003">
      <w:pPr>
        <w:adjustRightInd w:val="0"/>
        <w:snapToGrid w:val="0"/>
        <w:spacing w:line="560" w:lineRule="exact"/>
        <w:ind w:firstLine="640" w:firstLineChars="200"/>
        <w:rPr>
          <w:rFonts w:hint="eastAsia" w:ascii="仿宋_GB2312" w:hAnsi="宋体" w:eastAsia="仿宋_GB2312"/>
          <w:sz w:val="32"/>
          <w:szCs w:val="32"/>
        </w:rPr>
      </w:pPr>
      <w:r>
        <w:rPr>
          <w:rFonts w:hint="eastAsia" w:eastAsia="仿宋_GB2312"/>
          <w:sz w:val="32"/>
          <w:szCs w:val="32"/>
        </w:rPr>
        <w:t>4</w:t>
      </w:r>
      <w:r>
        <w:rPr>
          <w:rFonts w:hint="eastAsia" w:ascii="仿宋_GB2312" w:hAnsi="宋体" w:eastAsia="仿宋_GB2312"/>
          <w:sz w:val="32"/>
          <w:szCs w:val="32"/>
        </w:rPr>
        <w:t>.购回交易交收完成后按照约定取得返还资金；</w:t>
      </w:r>
    </w:p>
    <w:p w14:paraId="57B39D7E">
      <w:pPr>
        <w:adjustRightInd w:val="0"/>
        <w:snapToGrid w:val="0"/>
        <w:spacing w:line="560" w:lineRule="exact"/>
        <w:ind w:firstLine="640" w:firstLineChars="200"/>
        <w:rPr>
          <w:rFonts w:hint="eastAsia" w:ascii="仿宋_GB2312" w:hAnsi="宋体" w:eastAsia="仿宋_GB2312"/>
          <w:sz w:val="32"/>
          <w:szCs w:val="32"/>
        </w:rPr>
      </w:pPr>
      <w:r>
        <w:rPr>
          <w:rFonts w:hint="eastAsia" w:eastAsia="仿宋_GB2312"/>
          <w:sz w:val="32"/>
          <w:szCs w:val="32"/>
        </w:rPr>
        <w:t>5</w:t>
      </w:r>
      <w:r>
        <w:rPr>
          <w:rFonts w:hint="eastAsia" w:ascii="仿宋_GB2312" w:hAnsi="宋体" w:eastAsia="仿宋_GB2312"/>
          <w:sz w:val="32"/>
          <w:szCs w:val="32"/>
        </w:rPr>
        <w:t>.甲方违约时，有权按照协议约定处置相应质押标的证券并优先受偿。处置所得价款不足以清偿甲方欠款时，有权继续向甲方追偿；</w:t>
      </w:r>
    </w:p>
    <w:p w14:paraId="20ADD2C7">
      <w:pPr>
        <w:adjustRightInd w:val="0"/>
        <w:snapToGrid w:val="0"/>
        <w:spacing w:line="560" w:lineRule="exact"/>
        <w:ind w:firstLine="640" w:firstLineChars="200"/>
        <w:rPr>
          <w:rFonts w:hint="eastAsia" w:ascii="仿宋_GB2312" w:hAnsi="宋体" w:eastAsia="仿宋_GB2312"/>
          <w:sz w:val="32"/>
          <w:szCs w:val="32"/>
        </w:rPr>
      </w:pPr>
      <w:r>
        <w:rPr>
          <w:rFonts w:hint="eastAsia" w:eastAsia="仿宋_GB2312"/>
          <w:sz w:val="32"/>
          <w:szCs w:val="32"/>
        </w:rPr>
        <w:t>6</w:t>
      </w:r>
      <w:r>
        <w:rPr>
          <w:rFonts w:hint="eastAsia" w:ascii="仿宋_GB2312" w:hAnsi="宋体" w:eastAsia="仿宋_GB2312"/>
          <w:sz w:val="32"/>
          <w:szCs w:val="32"/>
        </w:rPr>
        <w:t>.甲方违约时，对于处置相应质押证券所得价款，按照协议约定进行资金扣划。</w:t>
      </w:r>
    </w:p>
    <w:p w14:paraId="477BD444">
      <w:pPr>
        <w:numPr>
          <w:ilvl w:val="2"/>
          <w:numId w:val="0"/>
        </w:numPr>
        <w:adjustRightInd w:val="0"/>
        <w:snapToGrid w:val="0"/>
        <w:spacing w:line="560" w:lineRule="exact"/>
        <w:ind w:left="0" w:leftChars="0" w:firstLine="640" w:firstLineChars="200"/>
        <w:rPr>
          <w:rFonts w:ascii="仿宋_GB2312" w:eastAsia="仿宋_GB2312"/>
          <w:sz w:val="32"/>
          <w:szCs w:val="32"/>
        </w:rPr>
      </w:pPr>
      <w:r>
        <w:rPr>
          <w:rFonts w:ascii="仿宋_GB2312" w:hAnsi="Times New Roman" w:eastAsia="仿宋_GB2312" w:cs="Times New Roman"/>
          <w:b w:val="0"/>
          <w:kern w:val="2"/>
          <w:sz w:val="32"/>
          <w:szCs w:val="32"/>
          <w:lang w:val="en-US" w:eastAsia="zh-CN" w:bidi="ar-SA"/>
        </w:rPr>
        <w:t>（二）</w:t>
      </w:r>
      <w:r>
        <w:rPr>
          <w:rFonts w:hint="eastAsia" w:ascii="仿宋_GB2312" w:eastAsia="仿宋_GB2312"/>
          <w:sz w:val="32"/>
          <w:szCs w:val="32"/>
        </w:rPr>
        <w:t>乙方义务包括：</w:t>
      </w:r>
    </w:p>
    <w:p w14:paraId="748B027A">
      <w:pPr>
        <w:adjustRightInd w:val="0"/>
        <w:snapToGrid w:val="0"/>
        <w:spacing w:line="560" w:lineRule="exact"/>
        <w:ind w:firstLine="640" w:firstLineChars="200"/>
        <w:rPr>
          <w:rFonts w:hint="eastAsia" w:ascii="仿宋_GB2312" w:hAnsi="宋体" w:eastAsia="仿宋_GB2312"/>
          <w:sz w:val="32"/>
          <w:szCs w:val="32"/>
        </w:rPr>
      </w:pPr>
      <w:r>
        <w:rPr>
          <w:rFonts w:hint="eastAsia" w:eastAsia="仿宋_GB2312"/>
          <w:sz w:val="32"/>
          <w:szCs w:val="32"/>
        </w:rPr>
        <w:t>1</w:t>
      </w:r>
      <w:r>
        <w:rPr>
          <w:rFonts w:hint="eastAsia" w:ascii="仿宋_GB2312" w:hAnsi="宋体" w:eastAsia="仿宋_GB2312"/>
          <w:sz w:val="32"/>
          <w:szCs w:val="32"/>
        </w:rPr>
        <w:t>.融出方为集合资产管理计划或向定向资产管理客户时，在资产管理合同等相关文件中向集合计划客户或定向客户充分揭示可能产生的风险；</w:t>
      </w:r>
    </w:p>
    <w:p w14:paraId="13EAF0FE">
      <w:pPr>
        <w:adjustRightInd w:val="0"/>
        <w:snapToGrid w:val="0"/>
        <w:spacing w:line="560" w:lineRule="exact"/>
        <w:ind w:firstLine="640" w:firstLineChars="200"/>
        <w:rPr>
          <w:rFonts w:hint="eastAsia" w:ascii="仿宋_GB2312" w:hAnsi="宋体" w:eastAsia="仿宋_GB2312"/>
          <w:sz w:val="32"/>
          <w:szCs w:val="32"/>
        </w:rPr>
      </w:pPr>
      <w:r>
        <w:rPr>
          <w:rFonts w:hint="eastAsia" w:eastAsia="仿宋_GB2312"/>
          <w:sz w:val="32"/>
          <w:szCs w:val="32"/>
        </w:rPr>
        <w:t>2</w:t>
      </w:r>
      <w:r>
        <w:rPr>
          <w:rFonts w:hint="eastAsia" w:ascii="仿宋_GB2312" w:hAnsi="宋体" w:eastAsia="仿宋_GB2312"/>
          <w:sz w:val="32"/>
          <w:szCs w:val="32"/>
        </w:rPr>
        <w:t>.进行初始交易委托时，保证其相关资金账户内有足够的资金余额，交易指令申报成功后接受相应的清算与资金交收结果。因资金账户内资金余额不足或账户状态不正常导致交易无法申报、申报失败或资金交收失败的，由乙方自行承担责任；</w:t>
      </w:r>
    </w:p>
    <w:p w14:paraId="372BFEB1">
      <w:pPr>
        <w:adjustRightInd w:val="0"/>
        <w:snapToGrid w:val="0"/>
        <w:spacing w:line="560" w:lineRule="exact"/>
        <w:ind w:firstLine="640" w:firstLineChars="200"/>
        <w:rPr>
          <w:rFonts w:hint="eastAsia" w:ascii="仿宋_GB2312" w:hAnsi="宋体" w:eastAsia="仿宋_GB2312"/>
          <w:sz w:val="32"/>
          <w:szCs w:val="32"/>
        </w:rPr>
      </w:pPr>
      <w:r>
        <w:rPr>
          <w:rFonts w:hint="eastAsia" w:eastAsia="仿宋_GB2312"/>
          <w:sz w:val="32"/>
          <w:szCs w:val="32"/>
        </w:rPr>
        <w:t>3</w:t>
      </w:r>
      <w:r>
        <w:rPr>
          <w:rFonts w:hint="eastAsia" w:ascii="仿宋_GB2312" w:hAnsi="宋体" w:eastAsia="仿宋_GB2312"/>
          <w:sz w:val="32"/>
          <w:szCs w:val="32"/>
        </w:rPr>
        <w:t>.根据甲方委托申报交易指令；</w:t>
      </w:r>
    </w:p>
    <w:p w14:paraId="2DD68B8B">
      <w:pPr>
        <w:adjustRightInd w:val="0"/>
        <w:snapToGrid w:val="0"/>
        <w:spacing w:line="560" w:lineRule="exact"/>
        <w:ind w:firstLine="640" w:firstLineChars="200"/>
        <w:rPr>
          <w:rFonts w:hint="eastAsia" w:ascii="仿宋_GB2312" w:hAnsi="宋体" w:eastAsia="仿宋_GB2312"/>
          <w:sz w:val="32"/>
          <w:szCs w:val="32"/>
        </w:rPr>
      </w:pPr>
      <w:r>
        <w:rPr>
          <w:rFonts w:hint="eastAsia" w:eastAsia="仿宋_GB2312"/>
          <w:sz w:val="32"/>
          <w:szCs w:val="32"/>
        </w:rPr>
        <w:t>4</w:t>
      </w:r>
      <w:r>
        <w:rPr>
          <w:rFonts w:hint="eastAsia" w:ascii="仿宋_GB2312" w:hAnsi="宋体" w:eastAsia="仿宋_GB2312"/>
          <w:sz w:val="32"/>
          <w:szCs w:val="32"/>
        </w:rPr>
        <w:t>.负责盯市管理，在履约保障比例达到或低于约定数值时，按照协议约定通知甲方。</w:t>
      </w:r>
    </w:p>
    <w:p w14:paraId="1AB412AA">
      <w:pPr>
        <w:numPr>
          <w:ilvl w:val="1"/>
          <w:numId w:val="0"/>
        </w:numPr>
        <w:tabs>
          <w:tab w:val="left" w:pos="340"/>
        </w:tabs>
        <w:adjustRightInd w:val="0"/>
        <w:snapToGrid w:val="0"/>
        <w:spacing w:line="560" w:lineRule="exact"/>
        <w:ind w:left="0" w:leftChars="0" w:firstLine="643" w:firstLineChars="200"/>
        <w:rPr>
          <w:rFonts w:ascii="仿宋_GB2312" w:eastAsia="仿宋_GB2312"/>
          <w:sz w:val="32"/>
          <w:szCs w:val="32"/>
        </w:rPr>
      </w:pPr>
      <w:r>
        <w:rPr>
          <w:rFonts w:ascii="仿宋_GB2312" w:hAnsi="Times New Roman" w:eastAsia="仿宋_GB2312" w:cs="Times New Roman"/>
          <w:b/>
          <w:kern w:val="2"/>
          <w:sz w:val="32"/>
          <w:szCs w:val="32"/>
          <w:lang w:val="en-US" w:eastAsia="zh-CN" w:bidi="ar-SA"/>
        </w:rPr>
        <w:t>第十五</w:t>
      </w:r>
      <w:r>
        <w:rPr>
          <w:rFonts w:hint="eastAsia" w:ascii="仿宋_GB2312" w:eastAsia="仿宋_GB2312" w:cs="Times New Roman"/>
          <w:b/>
          <w:kern w:val="2"/>
          <w:sz w:val="32"/>
          <w:szCs w:val="32"/>
          <w:lang w:val="en-US" w:eastAsia="zh-CN" w:bidi="ar-SA"/>
        </w:rPr>
        <w:t xml:space="preserve">条 </w:t>
      </w:r>
      <w:r>
        <w:rPr>
          <w:rFonts w:hint="eastAsia" w:ascii="仿宋_GB2312" w:eastAsia="仿宋_GB2312"/>
          <w:sz w:val="32"/>
          <w:szCs w:val="32"/>
        </w:rPr>
        <w:t>业务协议应当约定提前购回和延期购回的适用条件以及上述情形下购回交易金额的调整方式等内容。</w:t>
      </w:r>
    </w:p>
    <w:p w14:paraId="093CBBF5">
      <w:pPr>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业务协议应当约定，待购回期间标的证券涉及跨市场吸收合并的，甲方应当提前购回。</w:t>
      </w:r>
    </w:p>
    <w:p w14:paraId="7A036251">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延期后累计的回购期限应当符合上交所和中国结算的相关规定。</w:t>
      </w:r>
    </w:p>
    <w:p w14:paraId="6EDFC618">
      <w:pPr>
        <w:numPr>
          <w:ilvl w:val="1"/>
          <w:numId w:val="0"/>
        </w:numPr>
        <w:tabs>
          <w:tab w:val="left" w:pos="340"/>
        </w:tabs>
        <w:adjustRightInd w:val="0"/>
        <w:snapToGrid w:val="0"/>
        <w:spacing w:line="560" w:lineRule="exact"/>
        <w:ind w:left="0" w:leftChars="0" w:firstLine="643" w:firstLineChars="200"/>
        <w:rPr>
          <w:rFonts w:ascii="仿宋_GB2312" w:eastAsia="仿宋_GB2312"/>
          <w:sz w:val="32"/>
          <w:szCs w:val="32"/>
        </w:rPr>
      </w:pPr>
      <w:r>
        <w:rPr>
          <w:rFonts w:ascii="仿宋_GB2312" w:hAnsi="Times New Roman" w:eastAsia="仿宋_GB2312" w:cs="Times New Roman"/>
          <w:b/>
          <w:kern w:val="2"/>
          <w:sz w:val="32"/>
          <w:szCs w:val="32"/>
          <w:lang w:val="en-US" w:eastAsia="zh-CN" w:bidi="ar-SA"/>
        </w:rPr>
        <w:t>第十六</w:t>
      </w:r>
      <w:r>
        <w:rPr>
          <w:rFonts w:hint="eastAsia" w:ascii="仿宋_GB2312" w:eastAsia="仿宋_GB2312" w:cs="Times New Roman"/>
          <w:b/>
          <w:kern w:val="2"/>
          <w:sz w:val="32"/>
          <w:szCs w:val="32"/>
          <w:lang w:val="en-US" w:eastAsia="zh-CN" w:bidi="ar-SA"/>
        </w:rPr>
        <w:t xml:space="preserve">条 </w:t>
      </w:r>
      <w:r>
        <w:rPr>
          <w:rFonts w:hint="eastAsia" w:ascii="仿宋_GB2312" w:eastAsia="仿宋_GB2312"/>
          <w:sz w:val="32"/>
          <w:szCs w:val="32"/>
        </w:rPr>
        <w:t>业务协议应当约定当履约保障比例达到或低于约定数值时，乙方应当通知甲方采取相应的措施。上述措施包括提前购回、补充质押标的证券、补充其他担保物以及其他方式。</w:t>
      </w:r>
    </w:p>
    <w:p w14:paraId="19BF6C8D">
      <w:pPr>
        <w:numPr>
          <w:ilvl w:val="1"/>
          <w:numId w:val="0"/>
        </w:numPr>
        <w:tabs>
          <w:tab w:val="left" w:pos="340"/>
        </w:tabs>
        <w:adjustRightInd w:val="0"/>
        <w:snapToGrid w:val="0"/>
        <w:spacing w:line="560" w:lineRule="exact"/>
        <w:ind w:left="0" w:leftChars="0" w:firstLine="643" w:firstLineChars="200"/>
        <w:rPr>
          <w:rFonts w:ascii="仿宋_GB2312" w:eastAsia="仿宋_GB2312"/>
          <w:sz w:val="32"/>
          <w:szCs w:val="32"/>
        </w:rPr>
      </w:pPr>
      <w:r>
        <w:rPr>
          <w:rFonts w:ascii="仿宋_GB2312" w:hAnsi="Times New Roman" w:eastAsia="仿宋_GB2312" w:cs="Times New Roman"/>
          <w:b/>
          <w:kern w:val="2"/>
          <w:sz w:val="32"/>
          <w:szCs w:val="32"/>
          <w:lang w:val="en-US" w:eastAsia="zh-CN" w:bidi="ar-SA"/>
        </w:rPr>
        <w:t>第十七</w:t>
      </w:r>
      <w:r>
        <w:rPr>
          <w:rFonts w:hint="eastAsia" w:ascii="仿宋_GB2312" w:eastAsia="仿宋_GB2312" w:cs="Times New Roman"/>
          <w:b/>
          <w:kern w:val="2"/>
          <w:sz w:val="32"/>
          <w:szCs w:val="32"/>
          <w:lang w:val="en-US" w:eastAsia="zh-CN" w:bidi="ar-SA"/>
        </w:rPr>
        <w:t xml:space="preserve">条 </w:t>
      </w:r>
      <w:r>
        <w:rPr>
          <w:rFonts w:hint="eastAsia" w:ascii="仿宋_GB2312" w:eastAsia="仿宋_GB2312"/>
          <w:sz w:val="32"/>
          <w:szCs w:val="32"/>
        </w:rPr>
        <w:t>业务协议应当对待购回期间标的证券相关权益处理事项加以约定，包括但不限于：</w:t>
      </w:r>
    </w:p>
    <w:p w14:paraId="5FB40B01">
      <w:pPr>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（一）待购回期间，标的证券产生的无需支付对价的股东权益，如送股、转增股份、现金红利等，一并予以质押；</w:t>
      </w:r>
    </w:p>
    <w:p w14:paraId="1916FE88">
      <w:pPr>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（二）待购回期间，标的证券产生的需支付对价的股东权益，如老股东配售方式的增发、配股等，由融入方自行行使，所取得的证券不随标的证券一并质押；</w:t>
      </w:r>
    </w:p>
    <w:p w14:paraId="222F60BB">
      <w:pPr>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（三）待购回期间，甲方基于股东身份享有出席股东会、提案、表决等权利。</w:t>
      </w:r>
    </w:p>
    <w:p w14:paraId="0E9E97B0">
      <w:pPr>
        <w:numPr>
          <w:ilvl w:val="1"/>
          <w:numId w:val="0"/>
        </w:numPr>
        <w:tabs>
          <w:tab w:val="left" w:pos="340"/>
        </w:tabs>
        <w:adjustRightInd w:val="0"/>
        <w:snapToGrid w:val="0"/>
        <w:spacing w:line="560" w:lineRule="exact"/>
        <w:ind w:left="0" w:leftChars="0" w:firstLine="643" w:firstLineChars="200"/>
        <w:rPr>
          <w:rFonts w:hint="eastAsia" w:ascii="仿宋_GB2312" w:eastAsia="仿宋_GB2312"/>
          <w:sz w:val="32"/>
          <w:szCs w:val="32"/>
        </w:rPr>
      </w:pPr>
      <w:r>
        <w:rPr>
          <w:rFonts w:hint="eastAsia" w:ascii="仿宋_GB2312" w:hAnsi="Times New Roman" w:eastAsia="仿宋_GB2312" w:cs="Times New Roman"/>
          <w:b/>
          <w:kern w:val="2"/>
          <w:sz w:val="32"/>
          <w:szCs w:val="32"/>
          <w:lang w:val="en-US" w:eastAsia="zh-CN" w:bidi="ar-SA"/>
        </w:rPr>
        <w:t>第十八</w:t>
      </w:r>
      <w:r>
        <w:rPr>
          <w:rFonts w:hint="eastAsia" w:ascii="仿宋_GB2312" w:eastAsia="仿宋_GB2312" w:cs="Times New Roman"/>
          <w:b/>
          <w:kern w:val="2"/>
          <w:sz w:val="32"/>
          <w:szCs w:val="32"/>
          <w:lang w:val="en-US" w:eastAsia="zh-CN" w:bidi="ar-SA"/>
        </w:rPr>
        <w:t xml:space="preserve">条 </w:t>
      </w:r>
      <w:r>
        <w:rPr>
          <w:rFonts w:hint="eastAsia" w:ascii="仿宋_GB2312" w:eastAsia="仿宋_GB2312"/>
          <w:sz w:val="32"/>
          <w:szCs w:val="32"/>
        </w:rPr>
        <w:t>业务协议应当约定，甲方将有限售条件股份用于股票质押回购的，解除限售日应当早于回购到期日。</w:t>
      </w:r>
    </w:p>
    <w:p w14:paraId="752E05CA">
      <w:pPr>
        <w:adjustRightInd w:val="0"/>
        <w:snapToGrid w:val="0"/>
        <w:spacing w:line="560" w:lineRule="exact"/>
        <w:ind w:firstLine="640" w:firstLineChars="200"/>
        <w:rPr>
          <w:rFonts w:hint="eastAsia" w:ascii="仿宋_GB2312" w:hAnsi="ˎ̥" w:eastAsia="仿宋_GB2312" w:cs="宋体"/>
          <w:kern w:val="0"/>
          <w:sz w:val="32"/>
          <w:szCs w:val="32"/>
        </w:rPr>
      </w:pPr>
      <w:r>
        <w:rPr>
          <w:rFonts w:hint="eastAsia" w:ascii="仿宋_GB2312" w:eastAsia="仿宋_GB2312"/>
          <w:sz w:val="32"/>
          <w:szCs w:val="32"/>
        </w:rPr>
        <w:t>业务协议应当约定，在解除限售条件满足时，甲方应当及时要求上市公司申请办理解除限售手续。</w:t>
      </w:r>
    </w:p>
    <w:p w14:paraId="01A101D6">
      <w:pPr>
        <w:numPr>
          <w:ilvl w:val="1"/>
          <w:numId w:val="0"/>
        </w:numPr>
        <w:tabs>
          <w:tab w:val="left" w:pos="340"/>
        </w:tabs>
        <w:adjustRightInd w:val="0"/>
        <w:snapToGrid w:val="0"/>
        <w:spacing w:line="560" w:lineRule="exact"/>
        <w:ind w:left="0" w:leftChars="0" w:firstLine="643" w:firstLineChars="200"/>
        <w:rPr>
          <w:rFonts w:hint="eastAsia" w:ascii="仿宋_GB2312" w:eastAsia="仿宋_GB2312"/>
          <w:sz w:val="32"/>
          <w:szCs w:val="32"/>
        </w:rPr>
      </w:pPr>
      <w:r>
        <w:rPr>
          <w:rFonts w:hint="eastAsia" w:ascii="仿宋_GB2312" w:hAnsi="Times New Roman" w:eastAsia="仿宋_GB2312" w:cs="Times New Roman"/>
          <w:b/>
          <w:kern w:val="2"/>
          <w:sz w:val="32"/>
          <w:szCs w:val="32"/>
          <w:lang w:val="en-US" w:eastAsia="zh-CN" w:bidi="ar-SA"/>
        </w:rPr>
        <w:t>第十九</w:t>
      </w:r>
      <w:r>
        <w:rPr>
          <w:rFonts w:hint="eastAsia" w:ascii="仿宋_GB2312" w:eastAsia="仿宋_GB2312" w:cs="Times New Roman"/>
          <w:b/>
          <w:kern w:val="2"/>
          <w:sz w:val="32"/>
          <w:szCs w:val="32"/>
          <w:lang w:val="en-US" w:eastAsia="zh-CN" w:bidi="ar-SA"/>
        </w:rPr>
        <w:t xml:space="preserve">条 </w:t>
      </w:r>
      <w:r>
        <w:rPr>
          <w:rFonts w:hint="eastAsia" w:ascii="仿宋_GB2312" w:eastAsia="仿宋_GB2312"/>
          <w:sz w:val="32"/>
          <w:szCs w:val="32"/>
        </w:rPr>
        <w:t>业务协议应当约定违约事件的情形及其处理方式等，包括但不限于：</w:t>
      </w:r>
    </w:p>
    <w:p w14:paraId="18D00E24">
      <w:pPr>
        <w:numPr>
          <w:ilvl w:val="2"/>
          <w:numId w:val="0"/>
        </w:numPr>
        <w:adjustRightInd w:val="0"/>
        <w:snapToGrid w:val="0"/>
        <w:spacing w:line="560" w:lineRule="exact"/>
        <w:ind w:left="0" w:leftChars="0" w:firstLine="640" w:firstLineChars="200"/>
        <w:rPr>
          <w:rFonts w:ascii="仿宋_GB2312" w:eastAsia="仿宋_GB2312"/>
          <w:sz w:val="32"/>
          <w:szCs w:val="32"/>
        </w:rPr>
      </w:pPr>
      <w:r>
        <w:rPr>
          <w:rFonts w:ascii="仿宋_GB2312" w:hAnsi="Times New Roman" w:eastAsia="仿宋_GB2312" w:cs="Times New Roman"/>
          <w:b w:val="0"/>
          <w:kern w:val="2"/>
          <w:sz w:val="32"/>
          <w:szCs w:val="32"/>
          <w:lang w:val="en-US" w:eastAsia="zh-CN" w:bidi="ar-SA"/>
        </w:rPr>
        <w:t>（一）</w:t>
      </w:r>
      <w:r>
        <w:rPr>
          <w:rFonts w:hint="eastAsia" w:ascii="仿宋_GB2312" w:eastAsia="仿宋_GB2312"/>
          <w:sz w:val="32"/>
          <w:szCs w:val="32"/>
        </w:rPr>
        <w:t>甲方的各种违约事件，以及甲方相应的违约责任及处理方式；</w:t>
      </w:r>
    </w:p>
    <w:p w14:paraId="00BB32AE">
      <w:pPr>
        <w:numPr>
          <w:ilvl w:val="2"/>
          <w:numId w:val="0"/>
        </w:numPr>
        <w:adjustRightInd w:val="0"/>
        <w:snapToGrid w:val="0"/>
        <w:spacing w:line="560" w:lineRule="exact"/>
        <w:ind w:left="0" w:leftChars="0" w:firstLine="640" w:firstLineChars="200"/>
        <w:rPr>
          <w:rFonts w:ascii="仿宋_GB2312" w:eastAsia="仿宋_GB2312"/>
          <w:sz w:val="32"/>
          <w:szCs w:val="32"/>
        </w:rPr>
      </w:pPr>
      <w:r>
        <w:rPr>
          <w:rFonts w:ascii="仿宋_GB2312" w:hAnsi="Times New Roman" w:eastAsia="仿宋_GB2312" w:cs="Times New Roman"/>
          <w:b w:val="0"/>
          <w:kern w:val="2"/>
          <w:sz w:val="32"/>
          <w:szCs w:val="32"/>
          <w:lang w:val="en-US" w:eastAsia="zh-CN" w:bidi="ar-SA"/>
        </w:rPr>
        <w:t>（二）</w:t>
      </w:r>
      <w:r>
        <w:rPr>
          <w:rFonts w:hint="eastAsia" w:ascii="仿宋_GB2312" w:eastAsia="仿宋_GB2312"/>
          <w:sz w:val="32"/>
          <w:szCs w:val="32"/>
        </w:rPr>
        <w:t>乙方的各种违约事件，以及乙方相应的违约责任及处理方式。</w:t>
      </w:r>
    </w:p>
    <w:p w14:paraId="2893F3A6">
      <w:pPr>
        <w:adjustRightInd w:val="0"/>
        <w:snapToGrid w:val="0"/>
        <w:spacing w:line="560" w:lineRule="exact"/>
        <w:ind w:firstLine="726" w:firstLineChars="227"/>
        <w:rPr>
          <w:rFonts w:hint="eastAsia" w:ascii="仿宋_GB2312" w:hAnsi="宋体" w:eastAsia="仿宋_GB2312"/>
          <w:sz w:val="32"/>
          <w:szCs w:val="32"/>
        </w:rPr>
      </w:pPr>
      <w:r>
        <w:rPr>
          <w:rFonts w:hint="eastAsia" w:ascii="仿宋_GB2312" w:hAnsi="宋体" w:eastAsia="仿宋_GB2312"/>
          <w:sz w:val="32"/>
          <w:szCs w:val="32"/>
        </w:rPr>
        <w:t>业务协议应当约定，甲方同意乙方向监管部门、上交所、中国结算、中国证券业协会、征信机构等报送甲方相关违约信息，并同意通过上述单位披露相关违约信息。</w:t>
      </w:r>
    </w:p>
    <w:p w14:paraId="4EF6EC80">
      <w:pPr>
        <w:adjustRightInd w:val="0"/>
        <w:snapToGrid w:val="0"/>
        <w:spacing w:line="560" w:lineRule="exact"/>
        <w:ind w:firstLine="726" w:firstLineChars="227"/>
        <w:rPr>
          <w:rFonts w:ascii="仿宋_GB2312" w:eastAsia="仿宋_GB2312"/>
          <w:sz w:val="32"/>
          <w:szCs w:val="32"/>
        </w:rPr>
      </w:pPr>
      <w:r>
        <w:rPr>
          <w:rFonts w:hint="eastAsia" w:ascii="仿宋_GB2312" w:hAnsi="宋体" w:eastAsia="仿宋_GB2312"/>
          <w:sz w:val="32"/>
          <w:szCs w:val="32"/>
        </w:rPr>
        <w:t>质押标的证券为仍处于限售期的有限售条件股份的，业务协议应当约定具体的处理方式；</w:t>
      </w:r>
      <w:r>
        <w:rPr>
          <w:rFonts w:hint="eastAsia" w:ascii="仿宋_GB2312" w:hAnsi="ˎ̥" w:eastAsia="仿宋_GB2312" w:cs="宋体"/>
          <w:kern w:val="0"/>
          <w:sz w:val="32"/>
          <w:szCs w:val="32"/>
        </w:rPr>
        <w:t>质押标的证券为个人持有的有限售条件股份的，业务协议应当根据相关法律法规的规定，明确处置时税费的处理</w:t>
      </w:r>
      <w:r>
        <w:rPr>
          <w:rFonts w:hint="eastAsia" w:ascii="仿宋_GB2312" w:hAnsi="宋体" w:eastAsia="仿宋_GB2312"/>
          <w:sz w:val="32"/>
          <w:szCs w:val="32"/>
        </w:rPr>
        <w:t>。</w:t>
      </w:r>
    </w:p>
    <w:p w14:paraId="71DBD93E">
      <w:pPr>
        <w:numPr>
          <w:ilvl w:val="1"/>
          <w:numId w:val="0"/>
        </w:numPr>
        <w:tabs>
          <w:tab w:val="left" w:pos="340"/>
        </w:tabs>
        <w:adjustRightInd w:val="0"/>
        <w:snapToGrid w:val="0"/>
        <w:spacing w:line="560" w:lineRule="exact"/>
        <w:ind w:left="0" w:leftChars="0" w:firstLine="643" w:firstLineChars="200"/>
        <w:rPr>
          <w:rFonts w:hint="eastAsia" w:ascii="仿宋_GB2312" w:eastAsia="仿宋_GB2312"/>
          <w:sz w:val="32"/>
          <w:szCs w:val="32"/>
        </w:rPr>
      </w:pPr>
      <w:r>
        <w:rPr>
          <w:rFonts w:hint="eastAsia" w:ascii="仿宋_GB2312" w:hAnsi="Times New Roman" w:eastAsia="仿宋_GB2312" w:cs="Times New Roman"/>
          <w:b/>
          <w:kern w:val="2"/>
          <w:sz w:val="32"/>
          <w:szCs w:val="32"/>
          <w:lang w:val="en-US" w:eastAsia="zh-CN" w:bidi="ar-SA"/>
        </w:rPr>
        <w:t>第二十</w:t>
      </w:r>
      <w:r>
        <w:rPr>
          <w:rFonts w:hint="eastAsia" w:ascii="仿宋_GB2312" w:eastAsia="仿宋_GB2312" w:cs="Times New Roman"/>
          <w:b/>
          <w:kern w:val="2"/>
          <w:sz w:val="32"/>
          <w:szCs w:val="32"/>
          <w:lang w:val="en-US" w:eastAsia="zh-CN" w:bidi="ar-SA"/>
        </w:rPr>
        <w:t xml:space="preserve">条 </w:t>
      </w:r>
      <w:r>
        <w:rPr>
          <w:rFonts w:hint="eastAsia" w:ascii="仿宋_GB2312" w:eastAsia="仿宋_GB2312"/>
          <w:sz w:val="32"/>
          <w:szCs w:val="32"/>
        </w:rPr>
        <w:t>业务协议应当约定质押标的证券、相应孳息和补充其他担保物的担保范围，以及处置流程及方式、处置所得的偿还顺序等具体内容。</w:t>
      </w:r>
    </w:p>
    <w:p w14:paraId="1A2A0B33">
      <w:pPr>
        <w:numPr>
          <w:ilvl w:val="1"/>
          <w:numId w:val="0"/>
        </w:numPr>
        <w:tabs>
          <w:tab w:val="left" w:pos="340"/>
        </w:tabs>
        <w:adjustRightInd w:val="0"/>
        <w:snapToGrid w:val="0"/>
        <w:spacing w:line="560" w:lineRule="exact"/>
        <w:ind w:left="0" w:leftChars="0" w:firstLine="643" w:firstLineChars="200"/>
        <w:rPr>
          <w:rFonts w:hint="eastAsia" w:ascii="仿宋_GB2312" w:eastAsia="仿宋_GB2312"/>
          <w:sz w:val="32"/>
          <w:szCs w:val="32"/>
        </w:rPr>
      </w:pPr>
      <w:r>
        <w:rPr>
          <w:rFonts w:hint="eastAsia" w:ascii="仿宋_GB2312" w:hAnsi="Times New Roman" w:eastAsia="仿宋_GB2312" w:cs="Times New Roman"/>
          <w:b/>
          <w:kern w:val="2"/>
          <w:sz w:val="32"/>
          <w:szCs w:val="32"/>
          <w:lang w:val="en-US" w:eastAsia="zh-CN" w:bidi="ar-SA"/>
        </w:rPr>
        <w:t>第二十一</w:t>
      </w:r>
      <w:r>
        <w:rPr>
          <w:rFonts w:hint="eastAsia" w:ascii="仿宋_GB2312" w:eastAsia="仿宋_GB2312" w:cs="Times New Roman"/>
          <w:b/>
          <w:kern w:val="2"/>
          <w:sz w:val="32"/>
          <w:szCs w:val="32"/>
          <w:lang w:val="en-US" w:eastAsia="zh-CN" w:bidi="ar-SA"/>
        </w:rPr>
        <w:t xml:space="preserve">条 </w:t>
      </w:r>
      <w:r>
        <w:rPr>
          <w:rFonts w:hint="eastAsia" w:ascii="仿宋_GB2312" w:eastAsia="仿宋_GB2312"/>
          <w:sz w:val="32"/>
          <w:szCs w:val="32"/>
        </w:rPr>
        <w:t>业务协议应当约定终止购回的适用情形、处理方式及法律后果。</w:t>
      </w:r>
    </w:p>
    <w:p w14:paraId="59FC57C0">
      <w:pPr>
        <w:numPr>
          <w:ilvl w:val="1"/>
          <w:numId w:val="0"/>
        </w:numPr>
        <w:tabs>
          <w:tab w:val="left" w:pos="340"/>
        </w:tabs>
        <w:adjustRightInd w:val="0"/>
        <w:snapToGrid w:val="0"/>
        <w:spacing w:line="560" w:lineRule="exact"/>
        <w:ind w:left="0" w:leftChars="0" w:firstLine="643" w:firstLineChars="200"/>
        <w:rPr>
          <w:rFonts w:ascii="仿宋_GB2312" w:eastAsia="仿宋_GB2312"/>
          <w:sz w:val="32"/>
          <w:szCs w:val="32"/>
        </w:rPr>
      </w:pPr>
      <w:r>
        <w:rPr>
          <w:rFonts w:ascii="仿宋_GB2312" w:hAnsi="Times New Roman" w:eastAsia="仿宋_GB2312" w:cs="Times New Roman"/>
          <w:b/>
          <w:kern w:val="2"/>
          <w:sz w:val="32"/>
          <w:szCs w:val="32"/>
          <w:lang w:val="en-US" w:eastAsia="zh-CN" w:bidi="ar-SA"/>
        </w:rPr>
        <w:t>第二十二</w:t>
      </w:r>
      <w:r>
        <w:rPr>
          <w:rFonts w:hint="eastAsia" w:ascii="仿宋_GB2312" w:eastAsia="仿宋_GB2312" w:cs="Times New Roman"/>
          <w:b/>
          <w:kern w:val="2"/>
          <w:sz w:val="32"/>
          <w:szCs w:val="32"/>
          <w:lang w:val="en-US" w:eastAsia="zh-CN" w:bidi="ar-SA"/>
        </w:rPr>
        <w:t xml:space="preserve">条 </w:t>
      </w:r>
      <w:r>
        <w:rPr>
          <w:rFonts w:hint="eastAsia" w:ascii="仿宋_GB2312" w:eastAsia="仿宋_GB2312"/>
          <w:sz w:val="32"/>
          <w:szCs w:val="32"/>
        </w:rPr>
        <w:t>业务协议应当约定异常情况的情形及其处理方式、法律后果。异常情况包括：</w:t>
      </w:r>
    </w:p>
    <w:p w14:paraId="40BF51BE">
      <w:pPr>
        <w:numPr>
          <w:ilvl w:val="2"/>
          <w:numId w:val="0"/>
        </w:numPr>
        <w:adjustRightInd w:val="0"/>
        <w:snapToGrid w:val="0"/>
        <w:spacing w:line="560" w:lineRule="exact"/>
        <w:ind w:left="0" w:leftChars="0" w:firstLine="640" w:firstLineChars="200"/>
        <w:rPr>
          <w:rFonts w:ascii="仿宋_GB2312" w:eastAsia="仿宋_GB2312"/>
          <w:sz w:val="32"/>
          <w:szCs w:val="32"/>
        </w:rPr>
      </w:pPr>
      <w:r>
        <w:rPr>
          <w:rFonts w:ascii="仿宋_GB2312" w:hAnsi="Times New Roman" w:eastAsia="仿宋_GB2312" w:cs="Times New Roman"/>
          <w:b w:val="0"/>
          <w:kern w:val="2"/>
          <w:sz w:val="32"/>
          <w:szCs w:val="32"/>
          <w:lang w:val="en-US" w:eastAsia="zh-CN" w:bidi="ar-SA"/>
        </w:rPr>
        <w:t>（一）</w:t>
      </w:r>
      <w:r>
        <w:rPr>
          <w:rFonts w:hint="eastAsia" w:ascii="仿宋_GB2312" w:eastAsia="仿宋_GB2312"/>
          <w:sz w:val="32"/>
          <w:szCs w:val="32"/>
        </w:rPr>
        <w:t>质押标的证券或证券账户、资金账户被司法等机关冻结或强制执行；</w:t>
      </w:r>
    </w:p>
    <w:p w14:paraId="06AFBC92">
      <w:pPr>
        <w:numPr>
          <w:ilvl w:val="2"/>
          <w:numId w:val="0"/>
        </w:numPr>
        <w:adjustRightInd w:val="0"/>
        <w:snapToGrid w:val="0"/>
        <w:spacing w:line="560" w:lineRule="exact"/>
        <w:ind w:left="0" w:leftChars="0" w:firstLine="640" w:firstLineChars="200"/>
        <w:rPr>
          <w:rFonts w:ascii="仿宋_GB2312" w:eastAsia="仿宋_GB2312"/>
          <w:sz w:val="32"/>
          <w:szCs w:val="32"/>
        </w:rPr>
      </w:pPr>
      <w:r>
        <w:rPr>
          <w:rFonts w:ascii="仿宋_GB2312" w:hAnsi="Times New Roman" w:eastAsia="仿宋_GB2312" w:cs="Times New Roman"/>
          <w:b w:val="0"/>
          <w:kern w:val="2"/>
          <w:sz w:val="32"/>
          <w:szCs w:val="32"/>
          <w:lang w:val="en-US" w:eastAsia="zh-CN" w:bidi="ar-SA"/>
        </w:rPr>
        <w:t>（二）</w:t>
      </w:r>
      <w:r>
        <w:rPr>
          <w:rFonts w:hint="eastAsia" w:ascii="仿宋_GB2312" w:eastAsia="仿宋_GB2312"/>
          <w:sz w:val="32"/>
          <w:szCs w:val="32"/>
        </w:rPr>
        <w:t>质押标的证券被作出终止上市决定；</w:t>
      </w:r>
    </w:p>
    <w:p w14:paraId="1EE1D8A6">
      <w:pPr>
        <w:numPr>
          <w:ilvl w:val="2"/>
          <w:numId w:val="0"/>
        </w:numPr>
        <w:adjustRightInd w:val="0"/>
        <w:snapToGrid w:val="0"/>
        <w:spacing w:line="560" w:lineRule="exact"/>
        <w:ind w:left="0" w:leftChars="0" w:firstLine="640" w:firstLineChars="200"/>
        <w:rPr>
          <w:rFonts w:ascii="仿宋_GB2312" w:eastAsia="仿宋_GB2312"/>
          <w:sz w:val="32"/>
          <w:szCs w:val="32"/>
        </w:rPr>
      </w:pPr>
      <w:r>
        <w:rPr>
          <w:rFonts w:ascii="仿宋_GB2312" w:hAnsi="Times New Roman" w:eastAsia="仿宋_GB2312" w:cs="Times New Roman"/>
          <w:b w:val="0"/>
          <w:kern w:val="2"/>
          <w:sz w:val="32"/>
          <w:szCs w:val="32"/>
          <w:lang w:val="en-US" w:eastAsia="zh-CN" w:bidi="ar-SA"/>
        </w:rPr>
        <w:t>（三）</w:t>
      </w:r>
      <w:r>
        <w:rPr>
          <w:rFonts w:hint="eastAsia" w:ascii="仿宋_GB2312" w:eastAsia="仿宋_GB2312"/>
          <w:sz w:val="32"/>
          <w:szCs w:val="32"/>
        </w:rPr>
        <w:t>集合资产管理计划提前终止；</w:t>
      </w:r>
    </w:p>
    <w:p w14:paraId="59412734">
      <w:pPr>
        <w:numPr>
          <w:ilvl w:val="2"/>
          <w:numId w:val="0"/>
        </w:numPr>
        <w:adjustRightInd w:val="0"/>
        <w:snapToGrid w:val="0"/>
        <w:spacing w:line="560" w:lineRule="exact"/>
        <w:ind w:left="0" w:leftChars="0" w:firstLine="640" w:firstLineChars="200"/>
        <w:rPr>
          <w:rFonts w:ascii="仿宋_GB2312" w:eastAsia="仿宋_GB2312"/>
          <w:sz w:val="32"/>
          <w:szCs w:val="32"/>
        </w:rPr>
      </w:pPr>
      <w:r>
        <w:rPr>
          <w:rFonts w:ascii="仿宋_GB2312" w:hAnsi="Times New Roman" w:eastAsia="仿宋_GB2312" w:cs="Times New Roman"/>
          <w:b w:val="0"/>
          <w:kern w:val="2"/>
          <w:sz w:val="32"/>
          <w:szCs w:val="32"/>
          <w:lang w:val="en-US" w:eastAsia="zh-CN" w:bidi="ar-SA"/>
        </w:rPr>
        <w:t>（四）</w:t>
      </w:r>
      <w:r>
        <w:rPr>
          <w:rFonts w:hint="eastAsia" w:ascii="仿宋_GB2312" w:eastAsia="仿宋_GB2312"/>
          <w:sz w:val="32"/>
          <w:szCs w:val="32"/>
        </w:rPr>
        <w:t>乙方被暂停或终止股票质押回购交易权限；</w:t>
      </w:r>
    </w:p>
    <w:p w14:paraId="3389D9FF">
      <w:pPr>
        <w:numPr>
          <w:ilvl w:val="2"/>
          <w:numId w:val="0"/>
        </w:numPr>
        <w:adjustRightInd w:val="0"/>
        <w:snapToGrid w:val="0"/>
        <w:spacing w:line="560" w:lineRule="exact"/>
        <w:ind w:left="0" w:leftChars="0" w:firstLine="640" w:firstLineChars="200"/>
        <w:rPr>
          <w:rFonts w:ascii="仿宋_GB2312" w:eastAsia="仿宋_GB2312"/>
          <w:sz w:val="32"/>
          <w:szCs w:val="32"/>
        </w:rPr>
      </w:pPr>
      <w:r>
        <w:rPr>
          <w:rFonts w:ascii="仿宋_GB2312" w:hAnsi="Times New Roman" w:eastAsia="仿宋_GB2312" w:cs="Times New Roman"/>
          <w:b w:val="0"/>
          <w:kern w:val="2"/>
          <w:sz w:val="32"/>
          <w:szCs w:val="32"/>
          <w:lang w:val="en-US" w:eastAsia="zh-CN" w:bidi="ar-SA"/>
        </w:rPr>
        <w:t>（五）</w:t>
      </w:r>
      <w:r>
        <w:rPr>
          <w:rFonts w:hint="eastAsia" w:ascii="仿宋_GB2312" w:eastAsia="仿宋_GB2312"/>
          <w:sz w:val="32"/>
          <w:szCs w:val="32"/>
        </w:rPr>
        <w:t>乙方进入风险处置或破产程序；</w:t>
      </w:r>
    </w:p>
    <w:p w14:paraId="4A7CD8E3">
      <w:pPr>
        <w:numPr>
          <w:ilvl w:val="2"/>
          <w:numId w:val="0"/>
        </w:numPr>
        <w:adjustRightInd w:val="0"/>
        <w:snapToGrid w:val="0"/>
        <w:spacing w:line="560" w:lineRule="exact"/>
        <w:ind w:left="0" w:leftChars="0" w:firstLine="640" w:firstLineChars="200"/>
        <w:rPr>
          <w:rFonts w:ascii="仿宋_GB2312" w:eastAsia="仿宋_GB2312"/>
          <w:sz w:val="32"/>
          <w:szCs w:val="32"/>
        </w:rPr>
      </w:pPr>
      <w:r>
        <w:rPr>
          <w:rFonts w:ascii="仿宋_GB2312" w:hAnsi="Times New Roman" w:eastAsia="仿宋_GB2312" w:cs="Times New Roman"/>
          <w:b w:val="0"/>
          <w:kern w:val="2"/>
          <w:sz w:val="32"/>
          <w:szCs w:val="32"/>
          <w:lang w:val="en-US" w:eastAsia="zh-CN" w:bidi="ar-SA"/>
        </w:rPr>
        <w:t>（六）</w:t>
      </w:r>
      <w:r>
        <w:rPr>
          <w:rFonts w:hint="eastAsia" w:ascii="仿宋_GB2312" w:eastAsia="仿宋_GB2312"/>
          <w:sz w:val="32"/>
          <w:szCs w:val="32"/>
        </w:rPr>
        <w:t>上交所认定的其他情形。</w:t>
      </w:r>
    </w:p>
    <w:p w14:paraId="329960B8">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业务协议还应当约定，因甲方或乙方自身的过错导致异常情况发生的，其应当承担的违约责任。</w:t>
      </w:r>
    </w:p>
    <w:p w14:paraId="41204E08">
      <w:pPr>
        <w:numPr>
          <w:ilvl w:val="1"/>
          <w:numId w:val="0"/>
        </w:numPr>
        <w:tabs>
          <w:tab w:val="left" w:pos="340"/>
        </w:tabs>
        <w:adjustRightInd w:val="0"/>
        <w:snapToGrid w:val="0"/>
        <w:spacing w:line="560" w:lineRule="exact"/>
        <w:ind w:left="0" w:leftChars="0" w:firstLine="643" w:firstLineChars="200"/>
        <w:rPr>
          <w:rFonts w:ascii="仿宋_GB2312" w:eastAsia="仿宋_GB2312"/>
          <w:sz w:val="32"/>
          <w:szCs w:val="32"/>
        </w:rPr>
      </w:pPr>
      <w:r>
        <w:rPr>
          <w:rFonts w:ascii="仿宋_GB2312" w:hAnsi="Times New Roman" w:eastAsia="仿宋_GB2312" w:cs="Times New Roman"/>
          <w:b/>
          <w:kern w:val="2"/>
          <w:sz w:val="32"/>
          <w:szCs w:val="32"/>
          <w:lang w:val="en-US" w:eastAsia="zh-CN" w:bidi="ar-SA"/>
        </w:rPr>
        <w:t>第二十三</w:t>
      </w:r>
      <w:r>
        <w:rPr>
          <w:rFonts w:hint="eastAsia" w:ascii="仿宋_GB2312" w:eastAsia="仿宋_GB2312" w:cs="Times New Roman"/>
          <w:b/>
          <w:kern w:val="2"/>
          <w:sz w:val="32"/>
          <w:szCs w:val="32"/>
          <w:lang w:val="en-US" w:eastAsia="zh-CN" w:bidi="ar-SA"/>
        </w:rPr>
        <w:t xml:space="preserve">条 </w:t>
      </w:r>
      <w:r>
        <w:rPr>
          <w:rFonts w:hint="eastAsia" w:ascii="仿宋_GB2312" w:eastAsia="仿宋_GB2312"/>
          <w:sz w:val="32"/>
          <w:szCs w:val="32"/>
        </w:rPr>
        <w:t>业务协议应当载明通知与送达的有关事项，包括但不限于:</w:t>
      </w:r>
    </w:p>
    <w:p w14:paraId="0F5E64EC">
      <w:pPr>
        <w:numPr>
          <w:ilvl w:val="2"/>
          <w:numId w:val="0"/>
        </w:numPr>
        <w:adjustRightInd w:val="0"/>
        <w:snapToGrid w:val="0"/>
        <w:spacing w:line="560" w:lineRule="exact"/>
        <w:ind w:left="0" w:leftChars="0" w:firstLine="640" w:firstLineChars="200"/>
        <w:rPr>
          <w:rFonts w:ascii="仿宋_GB2312" w:eastAsia="仿宋_GB2312"/>
          <w:sz w:val="32"/>
          <w:szCs w:val="32"/>
        </w:rPr>
      </w:pPr>
      <w:r>
        <w:rPr>
          <w:rFonts w:ascii="仿宋_GB2312" w:hAnsi="Times New Roman" w:eastAsia="仿宋_GB2312" w:cs="Times New Roman"/>
          <w:b w:val="0"/>
          <w:kern w:val="2"/>
          <w:sz w:val="32"/>
          <w:szCs w:val="32"/>
          <w:lang w:val="en-US" w:eastAsia="zh-CN" w:bidi="ar-SA"/>
        </w:rPr>
        <w:t>（一）</w:t>
      </w:r>
      <w:r>
        <w:rPr>
          <w:rFonts w:hint="eastAsia" w:ascii="仿宋_GB2312" w:eastAsia="仿宋_GB2312"/>
          <w:sz w:val="32"/>
          <w:szCs w:val="32"/>
        </w:rPr>
        <w:t>甲乙双方的详细联络方式，例如通信地址、邮政编码、指定联络人、固定电话号码、传真号码、移动电话号码、电子信箱等。业务协议还应当约定一方联络方式变更时，通知另一方的方式和时间；</w:t>
      </w:r>
    </w:p>
    <w:p w14:paraId="3352674F">
      <w:pPr>
        <w:numPr>
          <w:ilvl w:val="2"/>
          <w:numId w:val="0"/>
        </w:numPr>
        <w:adjustRightInd w:val="0"/>
        <w:snapToGrid w:val="0"/>
        <w:spacing w:line="560" w:lineRule="exact"/>
        <w:ind w:left="0" w:leftChars="0" w:firstLine="640" w:firstLineChars="200"/>
        <w:rPr>
          <w:rFonts w:ascii="仿宋_GB2312" w:eastAsia="仿宋_GB2312"/>
          <w:sz w:val="32"/>
          <w:szCs w:val="32"/>
        </w:rPr>
      </w:pPr>
      <w:r>
        <w:rPr>
          <w:rFonts w:ascii="仿宋_GB2312" w:hAnsi="Times New Roman" w:eastAsia="仿宋_GB2312" w:cs="Times New Roman"/>
          <w:b w:val="0"/>
          <w:kern w:val="2"/>
          <w:sz w:val="32"/>
          <w:szCs w:val="32"/>
          <w:lang w:val="en-US" w:eastAsia="zh-CN" w:bidi="ar-SA"/>
        </w:rPr>
        <w:t>（二）</w:t>
      </w:r>
      <w:r>
        <w:rPr>
          <w:rFonts w:hint="eastAsia" w:ascii="仿宋_GB2312" w:eastAsia="仿宋_GB2312"/>
          <w:sz w:val="32"/>
          <w:szCs w:val="32"/>
        </w:rPr>
        <w:t>乙方履行各项通知义务的方式，如自行签领书面通知、电子邮件通知、短信通知、邮寄书面通知、电话通知、公告通知等，并应当约定乙方发出上述通知后视为送达的期限。</w:t>
      </w:r>
    </w:p>
    <w:p w14:paraId="7B5216AA">
      <w:pPr>
        <w:numPr>
          <w:ilvl w:val="1"/>
          <w:numId w:val="0"/>
        </w:numPr>
        <w:tabs>
          <w:tab w:val="left" w:pos="340"/>
        </w:tabs>
        <w:adjustRightInd w:val="0"/>
        <w:snapToGrid w:val="0"/>
        <w:spacing w:line="560" w:lineRule="exact"/>
        <w:ind w:left="0" w:leftChars="0" w:firstLine="643" w:firstLineChars="200"/>
        <w:rPr>
          <w:rFonts w:ascii="仿宋_GB2312" w:eastAsia="仿宋_GB2312"/>
          <w:sz w:val="32"/>
          <w:szCs w:val="32"/>
        </w:rPr>
      </w:pPr>
      <w:r>
        <w:rPr>
          <w:rFonts w:ascii="仿宋_GB2312" w:hAnsi="Times New Roman" w:eastAsia="仿宋_GB2312" w:cs="Times New Roman"/>
          <w:b/>
          <w:kern w:val="2"/>
          <w:sz w:val="32"/>
          <w:szCs w:val="32"/>
          <w:lang w:val="en-US" w:eastAsia="zh-CN" w:bidi="ar-SA"/>
        </w:rPr>
        <w:t>第二十四</w:t>
      </w:r>
      <w:r>
        <w:rPr>
          <w:rFonts w:hint="eastAsia" w:ascii="仿宋_GB2312" w:eastAsia="仿宋_GB2312" w:cs="Times New Roman"/>
          <w:b/>
          <w:kern w:val="2"/>
          <w:sz w:val="32"/>
          <w:szCs w:val="32"/>
          <w:lang w:val="en-US" w:eastAsia="zh-CN" w:bidi="ar-SA"/>
        </w:rPr>
        <w:t xml:space="preserve">条 </w:t>
      </w:r>
      <w:r>
        <w:rPr>
          <w:rFonts w:hint="eastAsia" w:ascii="仿宋_GB2312" w:eastAsia="仿宋_GB2312"/>
          <w:sz w:val="32"/>
          <w:szCs w:val="32"/>
        </w:rPr>
        <w:t>业务协议应当载明因火灾、地震等不可抗力，非因乙方自身原因导致的技术系统异常事故，法律、法规、政策修改，法律法规规定的其他免责情形等因素，导致协议任何一方不能及时或完全履行协议，免除其相应责任的条款。</w:t>
      </w:r>
    </w:p>
    <w:p w14:paraId="173C7737">
      <w:pPr>
        <w:numPr>
          <w:ilvl w:val="1"/>
          <w:numId w:val="0"/>
        </w:numPr>
        <w:tabs>
          <w:tab w:val="left" w:pos="340"/>
        </w:tabs>
        <w:adjustRightInd w:val="0"/>
        <w:snapToGrid w:val="0"/>
        <w:spacing w:line="560" w:lineRule="exact"/>
        <w:ind w:left="0" w:leftChars="0" w:firstLine="643" w:firstLineChars="200"/>
        <w:rPr>
          <w:rFonts w:ascii="仿宋_GB2312" w:eastAsia="仿宋_GB2312"/>
          <w:sz w:val="32"/>
          <w:szCs w:val="32"/>
        </w:rPr>
      </w:pPr>
      <w:r>
        <w:rPr>
          <w:rFonts w:ascii="仿宋_GB2312" w:hAnsi="Times New Roman" w:eastAsia="仿宋_GB2312" w:cs="Times New Roman"/>
          <w:b/>
          <w:kern w:val="2"/>
          <w:sz w:val="32"/>
          <w:szCs w:val="32"/>
          <w:lang w:val="en-US" w:eastAsia="zh-CN" w:bidi="ar-SA"/>
        </w:rPr>
        <w:t>第二十五</w:t>
      </w:r>
      <w:r>
        <w:rPr>
          <w:rFonts w:hint="eastAsia" w:ascii="仿宋_GB2312" w:eastAsia="仿宋_GB2312" w:cs="Times New Roman"/>
          <w:b/>
          <w:kern w:val="2"/>
          <w:sz w:val="32"/>
          <w:szCs w:val="32"/>
          <w:lang w:val="en-US" w:eastAsia="zh-CN" w:bidi="ar-SA"/>
        </w:rPr>
        <w:t xml:space="preserve">条 </w:t>
      </w:r>
      <w:r>
        <w:rPr>
          <w:rFonts w:hint="eastAsia" w:ascii="仿宋_GB2312" w:eastAsia="仿宋_GB2312"/>
          <w:sz w:val="32"/>
          <w:szCs w:val="32"/>
        </w:rPr>
        <w:t>业务协议应当约定适用的法律和争议处理方式，并明确约定因股票质押回购产生的任何争议、纠纷，由协议各方协商或通过约定的争议处理方式解决。</w:t>
      </w:r>
    </w:p>
    <w:p w14:paraId="05B62B69">
      <w:pPr>
        <w:adjustRightInd w:val="0"/>
        <w:snapToGrid w:val="0"/>
        <w:spacing w:line="56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甲乙双方之间的纠纷，不影响中国结算上海分公司依据上交所确认结果已经办理或正在办理的证券质押登记和资金交收等业务。</w:t>
      </w:r>
    </w:p>
    <w:p w14:paraId="38AC17FD">
      <w:pPr>
        <w:numPr>
          <w:ilvl w:val="1"/>
          <w:numId w:val="0"/>
        </w:numPr>
        <w:tabs>
          <w:tab w:val="left" w:pos="340"/>
        </w:tabs>
        <w:adjustRightInd w:val="0"/>
        <w:snapToGrid w:val="0"/>
        <w:spacing w:line="560" w:lineRule="exact"/>
        <w:ind w:left="0" w:leftChars="0" w:firstLine="643" w:firstLineChars="200"/>
        <w:rPr>
          <w:rFonts w:ascii="仿宋_GB2312" w:eastAsia="仿宋_GB2312"/>
          <w:sz w:val="32"/>
          <w:szCs w:val="32"/>
        </w:rPr>
      </w:pPr>
      <w:r>
        <w:rPr>
          <w:rFonts w:ascii="仿宋_GB2312" w:hAnsi="Times New Roman" w:eastAsia="仿宋_GB2312" w:cs="Times New Roman"/>
          <w:b/>
          <w:kern w:val="2"/>
          <w:sz w:val="32"/>
          <w:szCs w:val="32"/>
          <w:lang w:val="en-US" w:eastAsia="zh-CN" w:bidi="ar-SA"/>
        </w:rPr>
        <w:t>第二十六</w:t>
      </w:r>
      <w:r>
        <w:rPr>
          <w:rFonts w:hint="eastAsia" w:ascii="仿宋_GB2312" w:eastAsia="仿宋_GB2312" w:cs="Times New Roman"/>
          <w:b/>
          <w:kern w:val="2"/>
          <w:sz w:val="32"/>
          <w:szCs w:val="32"/>
          <w:lang w:val="en-US" w:eastAsia="zh-CN" w:bidi="ar-SA"/>
        </w:rPr>
        <w:t xml:space="preserve">条 </w:t>
      </w:r>
      <w:r>
        <w:rPr>
          <w:rFonts w:hint="eastAsia" w:ascii="仿宋_GB2312" w:eastAsia="仿宋_GB2312"/>
          <w:sz w:val="32"/>
          <w:szCs w:val="32"/>
        </w:rPr>
        <w:t>业务协议应当载明甲方为个人的，业务协议由甲方本人签字；甲方为机构的，业务协议由甲方法定代表人或授权代表签字，并加盖公章。</w:t>
      </w:r>
    </w:p>
    <w:p w14:paraId="3D210B45">
      <w:pPr>
        <w:numPr>
          <w:ilvl w:val="1"/>
          <w:numId w:val="0"/>
        </w:numPr>
        <w:tabs>
          <w:tab w:val="left" w:pos="340"/>
        </w:tabs>
        <w:adjustRightInd w:val="0"/>
        <w:snapToGrid w:val="0"/>
        <w:spacing w:line="560" w:lineRule="exact"/>
        <w:ind w:left="0" w:leftChars="0" w:firstLine="643" w:firstLineChars="200"/>
        <w:rPr>
          <w:rFonts w:ascii="仿宋_GB2312" w:eastAsia="仿宋_GB2312"/>
          <w:sz w:val="32"/>
          <w:szCs w:val="32"/>
        </w:rPr>
      </w:pPr>
      <w:r>
        <w:rPr>
          <w:rFonts w:ascii="仿宋_GB2312" w:hAnsi="Times New Roman" w:eastAsia="仿宋_GB2312" w:cs="Times New Roman"/>
          <w:b/>
          <w:kern w:val="2"/>
          <w:sz w:val="32"/>
          <w:szCs w:val="32"/>
          <w:lang w:val="en-US" w:eastAsia="zh-CN" w:bidi="ar-SA"/>
        </w:rPr>
        <w:t>第二十七</w:t>
      </w:r>
      <w:r>
        <w:rPr>
          <w:rFonts w:hint="eastAsia" w:ascii="仿宋_GB2312" w:eastAsia="仿宋_GB2312" w:cs="Times New Roman"/>
          <w:b/>
          <w:kern w:val="2"/>
          <w:sz w:val="32"/>
          <w:szCs w:val="32"/>
          <w:lang w:val="en-US" w:eastAsia="zh-CN" w:bidi="ar-SA"/>
        </w:rPr>
        <w:t xml:space="preserve">条 </w:t>
      </w:r>
      <w:r>
        <w:rPr>
          <w:rFonts w:hint="eastAsia" w:ascii="仿宋_GB2312" w:eastAsia="仿宋_GB2312"/>
          <w:sz w:val="32"/>
          <w:szCs w:val="32"/>
        </w:rPr>
        <w:t>业务协议应当约定协议成立与生效条件、协议期限、协议终止条件、协议份数等事项。</w:t>
      </w:r>
    </w:p>
    <w:p w14:paraId="7A45E60C">
      <w:pPr>
        <w:numPr>
          <w:ilvl w:val="1"/>
          <w:numId w:val="0"/>
        </w:numPr>
        <w:tabs>
          <w:tab w:val="left" w:pos="340"/>
        </w:tabs>
        <w:adjustRightInd w:val="0"/>
        <w:snapToGrid w:val="0"/>
        <w:spacing w:line="560" w:lineRule="exact"/>
        <w:ind w:left="0" w:leftChars="0" w:firstLine="602" w:firstLineChars="200"/>
        <w:rPr>
          <w:rFonts w:hint="eastAsia" w:ascii="仿宋_GB2312" w:hAnsi="宋体" w:eastAsia="仿宋_GB2312"/>
          <w:sz w:val="30"/>
          <w:szCs w:val="30"/>
        </w:rPr>
      </w:pPr>
      <w:r>
        <w:rPr>
          <w:rFonts w:hint="eastAsia" w:ascii="仿宋_GB2312" w:hAnsi="宋体" w:eastAsia="仿宋_GB2312" w:cs="Times New Roman"/>
          <w:b/>
          <w:kern w:val="2"/>
          <w:sz w:val="30"/>
          <w:szCs w:val="30"/>
          <w:lang w:val="en-US" w:eastAsia="zh-CN" w:bidi="ar-SA"/>
        </w:rPr>
        <w:t xml:space="preserve">第二十八条 </w:t>
      </w:r>
      <w:r>
        <w:rPr>
          <w:rFonts w:hint="eastAsia" w:ascii="仿宋_GB2312" w:eastAsia="仿宋_GB2312"/>
          <w:sz w:val="32"/>
          <w:szCs w:val="32"/>
        </w:rPr>
        <w:t>业务协议应当在签章前明确载明“甲方已经认真阅读并全面接受业务协议全部条款，已充分知悉、理解业务协议项下的权利、义务和责任，自愿参与股票质押回购，并承担由此产生的风险和法律后果。”</w:t>
      </w:r>
    </w:p>
    <w:p w14:paraId="669760A1">
      <w:pPr>
        <w:tabs>
          <w:tab w:val="left" w:pos="340"/>
          <w:tab w:val="left" w:pos="1191"/>
          <w:tab w:val="left" w:pos="1260"/>
        </w:tabs>
        <w:adjustRightInd w:val="0"/>
        <w:snapToGrid w:val="0"/>
        <w:spacing w:line="560" w:lineRule="exact"/>
        <w:rPr>
          <w:rFonts w:hint="eastAsia" w:ascii="仿宋_GB2312" w:hAnsi="黑体" w:eastAsia="仿宋_GB2312"/>
          <w:b/>
          <w:sz w:val="32"/>
          <w:szCs w:val="32"/>
        </w:rPr>
      </w:pPr>
      <w:r>
        <w:rPr>
          <w:rFonts w:ascii="仿宋_GB2312" w:eastAsia="仿宋_GB2312"/>
          <w:sz w:val="30"/>
          <w:szCs w:val="30"/>
        </w:rPr>
        <w:br w:type="page"/>
      </w:r>
      <w:r>
        <w:rPr>
          <w:rFonts w:hint="eastAsia" w:ascii="仿宋_GB2312" w:hAnsi="黑体" w:eastAsia="仿宋_GB2312"/>
          <w:b/>
          <w:sz w:val="32"/>
          <w:szCs w:val="32"/>
        </w:rPr>
        <w:t>附件</w:t>
      </w:r>
      <w:r>
        <w:rPr>
          <w:rFonts w:hint="eastAsia" w:eastAsia="仿宋_GB2312"/>
          <w:b/>
          <w:sz w:val="32"/>
          <w:szCs w:val="32"/>
        </w:rPr>
        <w:t>2</w:t>
      </w:r>
    </w:p>
    <w:p w14:paraId="5862ED82">
      <w:pPr>
        <w:adjustRightInd w:val="0"/>
        <w:snapToGrid w:val="0"/>
        <w:spacing w:line="560" w:lineRule="exact"/>
        <w:rPr>
          <w:rFonts w:hint="eastAsia" w:ascii="黑体" w:hAnsi="黑体" w:eastAsia="黑体"/>
          <w:b/>
          <w:sz w:val="32"/>
          <w:szCs w:val="32"/>
        </w:rPr>
      </w:pPr>
    </w:p>
    <w:p w14:paraId="663E7914">
      <w:pPr>
        <w:adjustRightInd w:val="0"/>
        <w:snapToGrid w:val="0"/>
        <w:spacing w:line="560" w:lineRule="exact"/>
        <w:jc w:val="center"/>
        <w:rPr>
          <w:rFonts w:hint="eastAsia" w:ascii="方正大标宋简体" w:hAnsi="黑体" w:eastAsia="方正大标宋简体"/>
          <w:sz w:val="44"/>
          <w:szCs w:val="44"/>
        </w:rPr>
      </w:pPr>
      <w:r>
        <w:rPr>
          <w:rFonts w:hint="eastAsia" w:ascii="方正大标宋简体" w:hAnsi="黑体" w:eastAsia="方正大标宋简体"/>
          <w:sz w:val="44"/>
          <w:szCs w:val="44"/>
        </w:rPr>
        <w:t>股票质押式回购交易业务协议必备条款</w:t>
      </w:r>
    </w:p>
    <w:p w14:paraId="05B7E0D7">
      <w:pPr>
        <w:adjustRightInd w:val="0"/>
        <w:snapToGrid w:val="0"/>
        <w:spacing w:line="560" w:lineRule="exact"/>
        <w:jc w:val="center"/>
        <w:rPr>
          <w:rFonts w:hint="eastAsia" w:ascii="仿宋_GB2312" w:hAnsi="宋体" w:eastAsia="仿宋_GB2312"/>
          <w:b/>
          <w:sz w:val="32"/>
          <w:szCs w:val="32"/>
        </w:rPr>
      </w:pPr>
      <w:r>
        <w:rPr>
          <w:rFonts w:hint="eastAsia" w:ascii="仿宋_GB2312" w:hAnsi="宋体" w:eastAsia="仿宋_GB2312"/>
          <w:b/>
          <w:sz w:val="32"/>
          <w:szCs w:val="32"/>
        </w:rPr>
        <w:t>（适用于融出方为证券公司资产管理子公司管理的集合资产管理计划、定向资产管理客户的</w:t>
      </w:r>
      <w:r>
        <w:rPr>
          <w:rFonts w:hint="eastAsia" w:ascii="仿宋_GB2312" w:hAnsi="宋体" w:eastAsia="仿宋_GB2312" w:cs="Arial"/>
          <w:b/>
          <w:kern w:val="0"/>
          <w:sz w:val="32"/>
          <w:szCs w:val="32"/>
        </w:rPr>
        <w:t>模式</w:t>
      </w:r>
      <w:r>
        <w:rPr>
          <w:rFonts w:hint="eastAsia" w:ascii="仿宋_GB2312" w:hAnsi="宋体" w:eastAsia="仿宋_GB2312"/>
          <w:b/>
          <w:sz w:val="32"/>
          <w:szCs w:val="32"/>
        </w:rPr>
        <w:t>）</w:t>
      </w:r>
    </w:p>
    <w:p w14:paraId="7A395325">
      <w:pPr>
        <w:adjustRightInd w:val="0"/>
        <w:snapToGrid w:val="0"/>
        <w:spacing w:line="560" w:lineRule="exact"/>
        <w:rPr>
          <w:rFonts w:hint="eastAsia" w:ascii="仿宋_GB2312" w:hAnsi="宋体" w:eastAsia="仿宋_GB2312"/>
          <w:b/>
          <w:sz w:val="32"/>
          <w:szCs w:val="32"/>
        </w:rPr>
      </w:pPr>
    </w:p>
    <w:p w14:paraId="0437B7BE">
      <w:pPr>
        <w:widowControl/>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cs="Arial"/>
          <w:kern w:val="0"/>
          <w:sz w:val="32"/>
          <w:szCs w:val="32"/>
        </w:rPr>
        <w:t>证券公司应当在其与资金融出方（以下简称融出方）、资金融入方（以下简称融入方）签订的</w:t>
      </w:r>
      <w:r>
        <w:rPr>
          <w:rFonts w:hint="eastAsia" w:ascii="仿宋_GB2312" w:hAnsi="宋体" w:eastAsia="仿宋_GB2312"/>
          <w:sz w:val="32"/>
          <w:szCs w:val="32"/>
        </w:rPr>
        <w:t>股票质押式回购交易（以下简称股票质押回购）业务协议</w:t>
      </w:r>
      <w:r>
        <w:rPr>
          <w:rFonts w:hint="eastAsia" w:ascii="仿宋_GB2312" w:hAnsi="宋体" w:eastAsia="仿宋_GB2312" w:cs="Arial"/>
          <w:kern w:val="0"/>
          <w:sz w:val="32"/>
          <w:szCs w:val="32"/>
        </w:rPr>
        <w:t>中载明必备条款所要求的内容，并不得擅自修改或删除必备条款所要求的内容。证券公司可以根据具体情况，在其与融出方、融入方签订的</w:t>
      </w:r>
      <w:r>
        <w:rPr>
          <w:rFonts w:hint="eastAsia" w:ascii="仿宋_GB2312" w:hAnsi="宋体" w:eastAsia="仿宋_GB2312"/>
          <w:sz w:val="32"/>
          <w:szCs w:val="32"/>
        </w:rPr>
        <w:t>业务协议</w:t>
      </w:r>
      <w:r>
        <w:rPr>
          <w:rFonts w:hint="eastAsia" w:ascii="仿宋_GB2312" w:hAnsi="宋体" w:eastAsia="仿宋_GB2312" w:cs="Arial"/>
          <w:kern w:val="0"/>
          <w:sz w:val="32"/>
          <w:szCs w:val="32"/>
        </w:rPr>
        <w:t>中约定必备条款要求载明以外的、适合本公司实际需要的其他内容，也可以在不改变必备条款规定含义的前提下，对必备条款作文字和条文顺序的变动。</w:t>
      </w:r>
    </w:p>
    <w:p w14:paraId="6890ACE4">
      <w:pPr>
        <w:numPr>
          <w:ilvl w:val="0"/>
          <w:numId w:val="0"/>
        </w:numPr>
        <w:adjustRightInd w:val="0"/>
        <w:snapToGrid w:val="0"/>
        <w:spacing w:line="560" w:lineRule="exact"/>
        <w:ind w:left="0" w:leftChars="0" w:firstLine="550" w:firstLineChars="0"/>
        <w:rPr>
          <w:rFonts w:hint="eastAsia" w:ascii="仿宋_GB2312" w:hAnsi="宋体" w:eastAsia="仿宋_GB2312"/>
          <w:sz w:val="32"/>
          <w:szCs w:val="32"/>
        </w:rPr>
      </w:pPr>
      <w:r>
        <w:rPr>
          <w:rFonts w:hint="eastAsia" w:ascii="仿宋_GB2312" w:hAnsi="宋体" w:eastAsia="仿宋_GB2312" w:cs="Times New Roman"/>
          <w:b/>
          <w:kern w:val="2"/>
          <w:sz w:val="32"/>
          <w:szCs w:val="32"/>
          <w:lang w:val="en-US" w:eastAsia="zh-CN" w:bidi="ar-SA"/>
        </w:rPr>
        <w:t xml:space="preserve">第一条 </w:t>
      </w:r>
      <w:r>
        <w:rPr>
          <w:rFonts w:hint="eastAsia" w:ascii="仿宋_GB2312" w:hAnsi="宋体" w:eastAsia="仿宋_GB2312"/>
          <w:sz w:val="32"/>
          <w:szCs w:val="32"/>
        </w:rPr>
        <w:t>证券公司开展股票质押回购业务，应当与融出方、融入方签订《股票质押式回购交易业务协议》（以下简称业务协议）。业务协议应当载明当事人姓名、住所等相关信息，包括但不限于：</w:t>
      </w:r>
    </w:p>
    <w:p w14:paraId="1145A1DD">
      <w:pPr>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甲方（指融入方，下同）：姓名（或名称）、住所、法定代表人姓名、</w:t>
      </w:r>
      <w:r>
        <w:rPr>
          <w:rFonts w:hint="eastAsia" w:ascii="仿宋_GB2312" w:eastAsia="仿宋_GB2312"/>
          <w:sz w:val="32"/>
          <w:szCs w:val="32"/>
        </w:rPr>
        <w:t>公司营业执照/个人身份证件号码、</w:t>
      </w:r>
      <w:r>
        <w:rPr>
          <w:rFonts w:hint="eastAsia" w:ascii="仿宋_GB2312" w:hAnsi="宋体" w:eastAsia="仿宋_GB2312"/>
          <w:sz w:val="32"/>
          <w:szCs w:val="32"/>
        </w:rPr>
        <w:t>联系方式等。</w:t>
      </w:r>
    </w:p>
    <w:p w14:paraId="375F5881">
      <w:pPr>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乙方（指资产管理子公司，下同）：名称、住所、法定代表人、联系方式等。</w:t>
      </w:r>
    </w:p>
    <w:p w14:paraId="5FD30FB3">
      <w:pPr>
        <w:adjustRightInd w:val="0"/>
        <w:snapToGrid w:val="0"/>
        <w:spacing w:line="560" w:lineRule="exact"/>
        <w:ind w:firstLine="633" w:firstLineChars="198"/>
        <w:rPr>
          <w:rFonts w:ascii="仿宋_GB2312" w:eastAsia="仿宋_GB2312"/>
          <w:sz w:val="32"/>
          <w:szCs w:val="32"/>
        </w:rPr>
      </w:pPr>
      <w:r>
        <w:rPr>
          <w:rFonts w:hint="eastAsia" w:ascii="仿宋_GB2312" w:eastAsia="仿宋_GB2312"/>
          <w:sz w:val="32"/>
          <w:szCs w:val="32"/>
        </w:rPr>
        <w:t>业务协议应当载明乙方管理的集合资产管理计划或定向资产管理客户作为融出方，并载明集合资产管理计划或定向资产管理客户的名称及相关信息。乙方根据相关资产管理合同的约定代表融出方签署本协议，相关法律后果均由集合资产管理计划或定向资产管理客户承担。</w:t>
      </w:r>
      <w:r>
        <w:rPr>
          <w:rFonts w:hint="eastAsia" w:ascii="仿宋_GB2312" w:hAnsi="宋体" w:eastAsia="仿宋_GB2312"/>
          <w:sz w:val="32"/>
          <w:szCs w:val="32"/>
        </w:rPr>
        <w:t>专项资产管理计划比照执行。</w:t>
      </w:r>
    </w:p>
    <w:p w14:paraId="3F0E20C4">
      <w:pPr>
        <w:adjustRightInd w:val="0"/>
        <w:snapToGrid w:val="0"/>
        <w:spacing w:line="560" w:lineRule="exact"/>
        <w:ind w:firstLine="633" w:firstLineChars="198"/>
        <w:rPr>
          <w:rFonts w:hint="eastAsia" w:ascii="仿宋_GB2312" w:hAnsi="宋体" w:eastAsia="仿宋_GB2312"/>
          <w:sz w:val="32"/>
          <w:szCs w:val="32"/>
        </w:rPr>
      </w:pPr>
      <w:r>
        <w:rPr>
          <w:rFonts w:hint="eastAsia" w:ascii="仿宋_GB2312" w:hAnsi="宋体" w:eastAsia="仿宋_GB2312"/>
          <w:sz w:val="32"/>
          <w:szCs w:val="32"/>
        </w:rPr>
        <w:t>丙方（指证券公司，下同）：名称、住所、法定代表人、联系方式等。</w:t>
      </w:r>
    </w:p>
    <w:p w14:paraId="1C0BD7C5">
      <w:pPr>
        <w:numPr>
          <w:ilvl w:val="0"/>
          <w:numId w:val="0"/>
        </w:numPr>
        <w:adjustRightInd w:val="0"/>
        <w:snapToGrid w:val="0"/>
        <w:spacing w:line="560" w:lineRule="exact"/>
        <w:ind w:left="0" w:leftChars="0" w:firstLine="550" w:firstLineChars="0"/>
        <w:rPr>
          <w:rFonts w:hint="eastAsia" w:ascii="仿宋_GB2312" w:hAnsi="宋体" w:eastAsia="仿宋_GB2312"/>
          <w:sz w:val="32"/>
          <w:szCs w:val="32"/>
        </w:rPr>
      </w:pPr>
      <w:r>
        <w:rPr>
          <w:rFonts w:hint="eastAsia" w:ascii="仿宋_GB2312" w:hAnsi="宋体" w:eastAsia="仿宋_GB2312" w:cs="Times New Roman"/>
          <w:b/>
          <w:kern w:val="2"/>
          <w:sz w:val="32"/>
          <w:szCs w:val="32"/>
          <w:lang w:val="en-US" w:eastAsia="zh-CN" w:bidi="ar-SA"/>
        </w:rPr>
        <w:t xml:space="preserve">第二条 </w:t>
      </w:r>
      <w:r>
        <w:rPr>
          <w:rFonts w:hint="eastAsia" w:ascii="仿宋_GB2312" w:hAnsi="宋体" w:eastAsia="仿宋_GB2312"/>
          <w:sz w:val="32"/>
          <w:szCs w:val="32"/>
        </w:rPr>
        <w:t>业务协议应当载明订立业务协议的目的和依据。</w:t>
      </w:r>
    </w:p>
    <w:p w14:paraId="0D616EDF">
      <w:pPr>
        <w:numPr>
          <w:ilvl w:val="0"/>
          <w:numId w:val="0"/>
        </w:numPr>
        <w:adjustRightInd w:val="0"/>
        <w:snapToGrid w:val="0"/>
        <w:spacing w:line="560" w:lineRule="exact"/>
        <w:ind w:left="0" w:leftChars="0" w:firstLine="550" w:firstLineChars="0"/>
        <w:rPr>
          <w:rFonts w:hint="eastAsia" w:ascii="仿宋_GB2312" w:hAnsi="宋体" w:eastAsia="仿宋_GB2312"/>
          <w:sz w:val="32"/>
          <w:szCs w:val="32"/>
        </w:rPr>
      </w:pPr>
      <w:r>
        <w:rPr>
          <w:rFonts w:hint="eastAsia" w:ascii="仿宋_GB2312" w:hAnsi="宋体" w:eastAsia="仿宋_GB2312" w:cs="Times New Roman"/>
          <w:b/>
          <w:kern w:val="2"/>
          <w:sz w:val="32"/>
          <w:szCs w:val="32"/>
          <w:lang w:val="en-US" w:eastAsia="zh-CN" w:bidi="ar-SA"/>
        </w:rPr>
        <w:t xml:space="preserve">第三条 </w:t>
      </w:r>
      <w:r>
        <w:rPr>
          <w:rFonts w:hint="eastAsia" w:ascii="仿宋_GB2312" w:hAnsi="宋体" w:eastAsia="仿宋_GB2312"/>
          <w:sz w:val="32"/>
          <w:szCs w:val="32"/>
        </w:rPr>
        <w:t>业务协议应当对股票质押式回购交易、标的证券、初始交易金额、购回交易金额、初始交易日、购回交易日、回购期限、到期购回、提前购回、延期购回、补充质押、部分解除质押、终止购回、违约处置、履约保障比例、预警线、平仓线、融资利率等特定用语进行解释或定义，并符合上海证券交易所（以下简称上交所）和中国证券登记结算有限责任公司（以下简称中国结算）的相关规定。</w:t>
      </w:r>
    </w:p>
    <w:p w14:paraId="6DE70D5E">
      <w:pPr>
        <w:numPr>
          <w:ilvl w:val="0"/>
          <w:numId w:val="0"/>
        </w:numPr>
        <w:adjustRightInd w:val="0"/>
        <w:snapToGrid w:val="0"/>
        <w:spacing w:line="560" w:lineRule="exact"/>
        <w:ind w:left="0" w:leftChars="0" w:firstLine="550" w:firstLineChars="0"/>
        <w:rPr>
          <w:rFonts w:hint="eastAsia" w:ascii="仿宋_GB2312" w:hAnsi="宋体" w:eastAsia="仿宋_GB2312"/>
          <w:sz w:val="32"/>
          <w:szCs w:val="32"/>
        </w:rPr>
      </w:pPr>
      <w:r>
        <w:rPr>
          <w:rFonts w:hint="eastAsia" w:ascii="仿宋_GB2312" w:hAnsi="宋体" w:eastAsia="仿宋_GB2312" w:cs="Times New Roman"/>
          <w:b/>
          <w:kern w:val="2"/>
          <w:sz w:val="32"/>
          <w:szCs w:val="32"/>
          <w:lang w:val="en-US" w:eastAsia="zh-CN" w:bidi="ar-SA"/>
        </w:rPr>
        <w:t xml:space="preserve">第四条 </w:t>
      </w:r>
      <w:r>
        <w:rPr>
          <w:rFonts w:hint="eastAsia" w:ascii="仿宋_GB2312" w:hAnsi="宋体" w:eastAsia="仿宋_GB2312"/>
          <w:sz w:val="32"/>
          <w:szCs w:val="32"/>
        </w:rPr>
        <w:t>业务协议应当载明甲乙丙三方声明与保证，包括但不限于：</w:t>
      </w:r>
    </w:p>
    <w:p w14:paraId="53F8BD5E">
      <w:pPr>
        <w:numPr>
          <w:ilvl w:val="2"/>
          <w:numId w:val="0"/>
        </w:numPr>
        <w:tabs>
          <w:tab w:val="left" w:pos="1420"/>
        </w:tabs>
        <w:adjustRightInd w:val="0"/>
        <w:snapToGrid w:val="0"/>
        <w:spacing w:line="560" w:lineRule="exact"/>
        <w:ind w:left="0" w:leftChars="0" w:firstLine="640" w:firstLineChars="200"/>
        <w:rPr>
          <w:rFonts w:hint="eastAsia" w:ascii="仿宋_GB2312" w:hAnsi="ˎ̥" w:eastAsia="仿宋_GB2312" w:cs="宋体"/>
          <w:kern w:val="0"/>
          <w:sz w:val="32"/>
          <w:szCs w:val="32"/>
        </w:rPr>
      </w:pPr>
      <w:r>
        <w:rPr>
          <w:rFonts w:hint="eastAsia" w:ascii="仿宋_GB2312" w:hAnsi="ˎ̥" w:eastAsia="仿宋_GB2312" w:cs="Times New Roman"/>
          <w:b w:val="0"/>
          <w:kern w:val="0"/>
          <w:sz w:val="32"/>
          <w:szCs w:val="32"/>
          <w:lang w:val="en-US" w:eastAsia="zh-CN" w:bidi="ar-SA"/>
        </w:rPr>
        <w:t>（一）</w:t>
      </w:r>
      <w:r>
        <w:rPr>
          <w:rFonts w:hint="eastAsia" w:ascii="仿宋_GB2312" w:hAnsi="ˎ̥" w:eastAsia="仿宋_GB2312" w:cs="宋体"/>
          <w:kern w:val="0"/>
          <w:sz w:val="32"/>
          <w:szCs w:val="32"/>
        </w:rPr>
        <w:t>甲乙双方应当具有合法的股票质押回购交易主体资格。甲乙双方不存在法律、行政法规、部门规章及其他规范性文件等禁止、限制或不适于参与股票质押回购的情形；</w:t>
      </w:r>
    </w:p>
    <w:p w14:paraId="0885A07C">
      <w:pPr>
        <w:numPr>
          <w:ilvl w:val="2"/>
          <w:numId w:val="0"/>
        </w:numPr>
        <w:tabs>
          <w:tab w:val="left" w:pos="1420"/>
        </w:tabs>
        <w:adjustRightInd w:val="0"/>
        <w:snapToGrid w:val="0"/>
        <w:spacing w:line="560" w:lineRule="exact"/>
        <w:ind w:left="0" w:leftChars="0" w:firstLine="640" w:firstLineChars="200"/>
        <w:rPr>
          <w:rFonts w:hint="eastAsia" w:ascii="仿宋_GB2312" w:hAnsi="ˎ̥" w:eastAsia="仿宋_GB2312" w:cs="宋体"/>
          <w:kern w:val="0"/>
          <w:sz w:val="32"/>
          <w:szCs w:val="32"/>
        </w:rPr>
      </w:pPr>
      <w:r>
        <w:rPr>
          <w:rFonts w:hint="eastAsia" w:ascii="仿宋_GB2312" w:hAnsi="ˎ̥" w:eastAsia="仿宋_GB2312" w:cs="Times New Roman"/>
          <w:b w:val="0"/>
          <w:kern w:val="0"/>
          <w:sz w:val="32"/>
          <w:szCs w:val="32"/>
          <w:lang w:val="en-US" w:eastAsia="zh-CN" w:bidi="ar-SA"/>
        </w:rPr>
        <w:t>（二）</w:t>
      </w:r>
      <w:r>
        <w:rPr>
          <w:rFonts w:hint="eastAsia" w:ascii="仿宋_GB2312" w:hAnsi="ˎ̥" w:eastAsia="仿宋_GB2312" w:cs="宋体"/>
          <w:kern w:val="0"/>
          <w:sz w:val="32"/>
          <w:szCs w:val="32"/>
        </w:rPr>
        <w:t>甲乙双方用于股票质押回购的资产（包括资金和证券，下同）来源合法，并保证遵守国家反洗钱的相关规定。甲方向乙方质押的标的证券未设定任何形式的担保或其他第三方权利，不存在任何权属争议或权利瑕疵，不涉及业绩承诺股份补偿协议，或相关业绩承诺已履行完毕;</w:t>
      </w:r>
    </w:p>
    <w:p w14:paraId="096A66A7">
      <w:pPr>
        <w:numPr>
          <w:ilvl w:val="2"/>
          <w:numId w:val="0"/>
        </w:numPr>
        <w:tabs>
          <w:tab w:val="left" w:pos="1420"/>
        </w:tabs>
        <w:adjustRightInd w:val="0"/>
        <w:snapToGrid w:val="0"/>
        <w:spacing w:line="560" w:lineRule="exact"/>
        <w:ind w:left="0" w:leftChars="0" w:firstLine="640" w:firstLineChars="200"/>
        <w:rPr>
          <w:rFonts w:hint="eastAsia" w:ascii="仿宋_GB2312" w:hAnsi="ˎ̥" w:eastAsia="仿宋_GB2312" w:cs="宋体"/>
          <w:kern w:val="0"/>
          <w:sz w:val="32"/>
          <w:szCs w:val="32"/>
        </w:rPr>
      </w:pPr>
      <w:r>
        <w:rPr>
          <w:rFonts w:hint="eastAsia" w:ascii="仿宋_GB2312" w:hAnsi="ˎ̥" w:eastAsia="仿宋_GB2312" w:cs="Times New Roman"/>
          <w:b w:val="0"/>
          <w:kern w:val="0"/>
          <w:sz w:val="32"/>
          <w:szCs w:val="32"/>
          <w:lang w:val="en-US" w:eastAsia="zh-CN" w:bidi="ar-SA"/>
        </w:rPr>
        <w:t>（三）</w:t>
      </w:r>
      <w:r>
        <w:rPr>
          <w:rFonts w:hint="eastAsia" w:ascii="仿宋_GB2312" w:hAnsi="ˎ̥" w:eastAsia="仿宋_GB2312" w:cs="宋体"/>
          <w:kern w:val="0"/>
          <w:sz w:val="32"/>
          <w:szCs w:val="32"/>
        </w:rPr>
        <w:t>甲乙双方承诺按照丙方要求提供身份证明等相关材料，保证提供信息的真实、准确和完整性，信息变更时及时通知丙方。甲乙双方同意丙方对信息进行合法验证，同意丙方应监管部门、上交所、中国结算、中国证券业协会等单位的要求报送甲乙双方相关信息；</w:t>
      </w:r>
    </w:p>
    <w:p w14:paraId="51F0D195">
      <w:pPr>
        <w:numPr>
          <w:ilvl w:val="2"/>
          <w:numId w:val="0"/>
        </w:numPr>
        <w:tabs>
          <w:tab w:val="left" w:pos="1420"/>
        </w:tabs>
        <w:adjustRightInd w:val="0"/>
        <w:snapToGrid w:val="0"/>
        <w:spacing w:line="560" w:lineRule="exact"/>
        <w:ind w:left="0" w:leftChars="0" w:firstLine="640" w:firstLineChars="200"/>
        <w:rPr>
          <w:rFonts w:hint="eastAsia" w:ascii="仿宋_GB2312" w:hAnsi="ˎ̥" w:eastAsia="仿宋_GB2312" w:cs="宋体"/>
          <w:kern w:val="0"/>
          <w:sz w:val="32"/>
          <w:szCs w:val="32"/>
        </w:rPr>
      </w:pPr>
      <w:r>
        <w:rPr>
          <w:rFonts w:hint="eastAsia" w:ascii="仿宋_GB2312" w:hAnsi="ˎ̥" w:eastAsia="仿宋_GB2312" w:cs="Times New Roman"/>
          <w:b w:val="0"/>
          <w:kern w:val="0"/>
          <w:sz w:val="32"/>
          <w:szCs w:val="32"/>
          <w:lang w:val="en-US" w:eastAsia="zh-CN" w:bidi="ar-SA"/>
        </w:rPr>
        <w:t>（四）</w:t>
      </w:r>
      <w:r>
        <w:rPr>
          <w:rFonts w:hint="eastAsia" w:ascii="仿宋_GB2312" w:hAnsi="ˎ̥" w:eastAsia="仿宋_GB2312" w:cs="宋体"/>
          <w:kern w:val="0"/>
          <w:sz w:val="32"/>
          <w:szCs w:val="32"/>
        </w:rPr>
        <w:t>甲乙双方承诺审慎评估自身需求和风险承受能力，自行承担股票质押回购的风险和损失；</w:t>
      </w:r>
    </w:p>
    <w:p w14:paraId="1EA534D2">
      <w:pPr>
        <w:numPr>
          <w:ilvl w:val="2"/>
          <w:numId w:val="0"/>
        </w:numPr>
        <w:tabs>
          <w:tab w:val="left" w:pos="1420"/>
        </w:tabs>
        <w:adjustRightInd w:val="0"/>
        <w:snapToGrid w:val="0"/>
        <w:spacing w:line="560" w:lineRule="exact"/>
        <w:ind w:left="0" w:leftChars="0" w:firstLine="640" w:firstLineChars="200"/>
        <w:rPr>
          <w:rFonts w:hint="eastAsia" w:ascii="仿宋_GB2312" w:hAnsi="ˎ̥" w:eastAsia="仿宋_GB2312" w:cs="宋体"/>
          <w:kern w:val="0"/>
          <w:sz w:val="32"/>
          <w:szCs w:val="32"/>
        </w:rPr>
      </w:pPr>
      <w:r>
        <w:rPr>
          <w:rFonts w:hint="eastAsia" w:ascii="仿宋_GB2312" w:hAnsi="ˎ̥" w:eastAsia="仿宋_GB2312" w:cs="Times New Roman"/>
          <w:b w:val="0"/>
          <w:kern w:val="0"/>
          <w:sz w:val="32"/>
          <w:szCs w:val="32"/>
          <w:lang w:val="en-US" w:eastAsia="zh-CN" w:bidi="ar-SA"/>
        </w:rPr>
        <w:t>（五）</w:t>
      </w:r>
      <w:r>
        <w:rPr>
          <w:rFonts w:hint="eastAsia" w:ascii="仿宋_GB2312" w:hAnsi="ˎ̥" w:eastAsia="仿宋_GB2312" w:cs="宋体"/>
          <w:kern w:val="0"/>
          <w:sz w:val="32"/>
          <w:szCs w:val="32"/>
        </w:rPr>
        <w:t>甲乙双方承诺遵守股票质押回购有关法律、行政法规、部门规章、交易规则等规定以及丙方相关业务规定；</w:t>
      </w:r>
    </w:p>
    <w:p w14:paraId="42E82126">
      <w:pPr>
        <w:numPr>
          <w:ilvl w:val="2"/>
          <w:numId w:val="0"/>
        </w:numPr>
        <w:tabs>
          <w:tab w:val="left" w:pos="1420"/>
        </w:tabs>
        <w:adjustRightInd w:val="0"/>
        <w:snapToGrid w:val="0"/>
        <w:spacing w:line="560" w:lineRule="exact"/>
        <w:ind w:left="0" w:leftChars="0" w:firstLine="640" w:firstLineChars="200"/>
        <w:rPr>
          <w:rFonts w:hint="eastAsia" w:ascii="仿宋_GB2312" w:hAnsi="ˎ̥" w:eastAsia="仿宋_GB2312" w:cs="宋体"/>
          <w:kern w:val="0"/>
          <w:sz w:val="32"/>
          <w:szCs w:val="32"/>
        </w:rPr>
      </w:pPr>
      <w:r>
        <w:rPr>
          <w:rFonts w:hint="eastAsia" w:ascii="仿宋_GB2312" w:hAnsi="ˎ̥" w:eastAsia="仿宋_GB2312" w:cs="Times New Roman"/>
          <w:b w:val="0"/>
          <w:kern w:val="0"/>
          <w:sz w:val="32"/>
          <w:szCs w:val="32"/>
          <w:lang w:val="en-US" w:eastAsia="zh-CN" w:bidi="ar-SA"/>
        </w:rPr>
        <w:t>（六）</w:t>
      </w:r>
      <w:r>
        <w:rPr>
          <w:rFonts w:hint="eastAsia" w:ascii="仿宋_GB2312" w:hAnsi="宋体" w:eastAsia="仿宋_GB2312"/>
          <w:sz w:val="32"/>
          <w:szCs w:val="32"/>
        </w:rPr>
        <w:t>甲乙双方承诺</w:t>
      </w:r>
      <w:r>
        <w:rPr>
          <w:rFonts w:hint="eastAsia" w:ascii="仿宋_GB2312" w:hAnsi="宋体" w:eastAsia="仿宋_GB2312" w:cs="宋体"/>
          <w:kern w:val="0"/>
          <w:sz w:val="32"/>
          <w:szCs w:val="32"/>
        </w:rPr>
        <w:t>遵守丙方确定标的证券范围以及质押率上限、风险控制指标等；</w:t>
      </w:r>
    </w:p>
    <w:p w14:paraId="5E4C85DF">
      <w:pPr>
        <w:numPr>
          <w:ilvl w:val="2"/>
          <w:numId w:val="0"/>
        </w:numPr>
        <w:tabs>
          <w:tab w:val="left" w:pos="1420"/>
        </w:tabs>
        <w:adjustRightInd w:val="0"/>
        <w:snapToGrid w:val="0"/>
        <w:spacing w:line="560" w:lineRule="exact"/>
        <w:ind w:left="0" w:leftChars="0" w:firstLine="640" w:firstLineChars="200"/>
        <w:rPr>
          <w:rFonts w:hint="eastAsia" w:ascii="仿宋_GB2312" w:hAnsi="ˎ̥" w:eastAsia="仿宋_GB2312" w:cs="宋体"/>
          <w:kern w:val="0"/>
          <w:sz w:val="32"/>
          <w:szCs w:val="32"/>
        </w:rPr>
      </w:pPr>
      <w:r>
        <w:rPr>
          <w:rFonts w:hint="eastAsia" w:ascii="仿宋_GB2312" w:hAnsi="ˎ̥" w:eastAsia="仿宋_GB2312" w:cs="Times New Roman"/>
          <w:b w:val="0"/>
          <w:kern w:val="0"/>
          <w:sz w:val="32"/>
          <w:szCs w:val="32"/>
          <w:lang w:val="en-US" w:eastAsia="zh-CN" w:bidi="ar-SA"/>
        </w:rPr>
        <w:t>（七）</w:t>
      </w:r>
      <w:r>
        <w:rPr>
          <w:rFonts w:hint="eastAsia" w:ascii="仿宋_GB2312" w:hAnsi="ˎ̥" w:eastAsia="仿宋_GB2312" w:cs="宋体"/>
          <w:kern w:val="0"/>
          <w:sz w:val="32"/>
          <w:szCs w:val="32"/>
        </w:rPr>
        <w:t>甲方为上市公司董事、高级管理人员、持有上市公司股份</w:t>
      </w:r>
      <w:r>
        <w:rPr>
          <w:rFonts w:hint="eastAsia" w:eastAsia="仿宋_GB2312" w:cs="宋体"/>
          <w:kern w:val="0"/>
          <w:sz w:val="32"/>
          <w:szCs w:val="32"/>
        </w:rPr>
        <w:t>5</w:t>
      </w:r>
      <w:r>
        <w:rPr>
          <w:rFonts w:hint="eastAsia" w:ascii="仿宋_GB2312" w:hAnsi="ˎ̥" w:eastAsia="仿宋_GB2312" w:cs="宋体"/>
          <w:kern w:val="0"/>
          <w:sz w:val="32"/>
          <w:szCs w:val="32"/>
        </w:rPr>
        <w:t>%以上的股东，且以持有的该上市公司的股票参与股票质押回购的，则承诺遵守法律法规有关短线交易的规定；</w:t>
      </w:r>
    </w:p>
    <w:p w14:paraId="38B89866">
      <w:pPr>
        <w:numPr>
          <w:ilvl w:val="2"/>
          <w:numId w:val="0"/>
        </w:numPr>
        <w:tabs>
          <w:tab w:val="left" w:pos="1420"/>
        </w:tabs>
        <w:adjustRightInd w:val="0"/>
        <w:snapToGrid w:val="0"/>
        <w:spacing w:line="560" w:lineRule="exact"/>
        <w:ind w:left="0" w:leftChars="0" w:firstLine="640" w:firstLineChars="200"/>
        <w:rPr>
          <w:rFonts w:hint="eastAsia" w:ascii="仿宋_GB2312" w:hAnsi="ˎ̥" w:eastAsia="仿宋_GB2312" w:cs="宋体"/>
          <w:kern w:val="0"/>
          <w:sz w:val="32"/>
          <w:szCs w:val="32"/>
        </w:rPr>
      </w:pPr>
      <w:r>
        <w:rPr>
          <w:rFonts w:hint="eastAsia" w:ascii="仿宋_GB2312" w:hAnsi="ˎ̥" w:eastAsia="仿宋_GB2312" w:cs="Times New Roman"/>
          <w:b w:val="0"/>
          <w:kern w:val="0"/>
          <w:sz w:val="32"/>
          <w:szCs w:val="32"/>
          <w:lang w:val="en-US" w:eastAsia="zh-CN" w:bidi="ar-SA"/>
        </w:rPr>
        <w:t>（八）</w:t>
      </w:r>
      <w:r>
        <w:rPr>
          <w:rFonts w:hint="eastAsia" w:ascii="仿宋_GB2312" w:hAnsi="ˎ̥" w:eastAsia="仿宋_GB2312" w:cs="宋体"/>
          <w:kern w:val="0"/>
          <w:sz w:val="32"/>
          <w:szCs w:val="32"/>
        </w:rPr>
        <w:t>甲方为持股</w:t>
      </w:r>
      <w:r>
        <w:rPr>
          <w:rFonts w:hint="eastAsia" w:eastAsia="仿宋_GB2312" w:cs="宋体"/>
          <w:kern w:val="0"/>
          <w:sz w:val="32"/>
          <w:szCs w:val="32"/>
        </w:rPr>
        <w:t>5</w:t>
      </w:r>
      <w:r>
        <w:rPr>
          <w:rFonts w:hint="eastAsia" w:ascii="仿宋_GB2312" w:hAnsi="ˎ̥" w:eastAsia="仿宋_GB2312" w:cs="宋体"/>
          <w:kern w:val="0"/>
          <w:sz w:val="32"/>
          <w:szCs w:val="32"/>
        </w:rPr>
        <w:t>%以上的股东，且以其持有的该上市公司的股票参与股票质押回购的，则承诺按照有关规定的要求及时、准确地履行信息披露义务；</w:t>
      </w:r>
    </w:p>
    <w:p w14:paraId="1CBB5979">
      <w:pPr>
        <w:numPr>
          <w:ilvl w:val="2"/>
          <w:numId w:val="0"/>
        </w:numPr>
        <w:tabs>
          <w:tab w:val="left" w:pos="1420"/>
        </w:tabs>
        <w:adjustRightInd w:val="0"/>
        <w:snapToGrid w:val="0"/>
        <w:spacing w:line="560" w:lineRule="exact"/>
        <w:ind w:left="0" w:leftChars="0" w:firstLine="640" w:firstLineChars="200"/>
        <w:rPr>
          <w:rFonts w:hint="eastAsia" w:ascii="仿宋_GB2312" w:hAnsi="ˎ̥" w:eastAsia="仿宋_GB2312" w:cs="宋体"/>
          <w:kern w:val="0"/>
          <w:sz w:val="32"/>
          <w:szCs w:val="32"/>
        </w:rPr>
      </w:pPr>
      <w:r>
        <w:rPr>
          <w:rFonts w:hint="eastAsia" w:ascii="仿宋_GB2312" w:hAnsi="ˎ̥" w:eastAsia="仿宋_GB2312" w:cs="Times New Roman"/>
          <w:b w:val="0"/>
          <w:kern w:val="0"/>
          <w:sz w:val="32"/>
          <w:szCs w:val="32"/>
          <w:lang w:val="en-US" w:eastAsia="zh-CN" w:bidi="ar-SA"/>
        </w:rPr>
        <w:t>（九）</w:t>
      </w:r>
      <w:r>
        <w:rPr>
          <w:rFonts w:hint="eastAsia" w:ascii="仿宋_GB2312" w:eastAsia="仿宋_GB2312"/>
          <w:sz w:val="32"/>
          <w:szCs w:val="32"/>
        </w:rPr>
        <w:t>标的证券质押或处置需要获得国家相关主管部门的批准或备案的，</w:t>
      </w:r>
      <w:r>
        <w:rPr>
          <w:rFonts w:hint="eastAsia" w:ascii="仿宋_GB2312" w:hAnsi="ˎ̥" w:eastAsia="仿宋_GB2312" w:cs="宋体"/>
          <w:kern w:val="0"/>
          <w:sz w:val="32"/>
          <w:szCs w:val="32"/>
        </w:rPr>
        <w:t>甲方承诺</w:t>
      </w:r>
      <w:r>
        <w:rPr>
          <w:rFonts w:hint="eastAsia" w:ascii="仿宋_GB2312" w:eastAsia="仿宋_GB2312"/>
          <w:sz w:val="32"/>
          <w:szCs w:val="32"/>
        </w:rPr>
        <w:t>已经遵守相关法律法规的规定，事先办理了相应手续</w:t>
      </w:r>
      <w:r>
        <w:rPr>
          <w:rFonts w:hint="eastAsia" w:ascii="仿宋_GB2312" w:hAnsi="ˎ̥" w:eastAsia="仿宋_GB2312" w:cs="宋体"/>
          <w:kern w:val="0"/>
          <w:sz w:val="32"/>
          <w:szCs w:val="32"/>
        </w:rPr>
        <w:t>。否则，将自行承担由此而产生的风险；</w:t>
      </w:r>
    </w:p>
    <w:p w14:paraId="5A643752">
      <w:pPr>
        <w:numPr>
          <w:ilvl w:val="2"/>
          <w:numId w:val="0"/>
        </w:numPr>
        <w:tabs>
          <w:tab w:val="left" w:pos="1420"/>
        </w:tabs>
        <w:adjustRightInd w:val="0"/>
        <w:snapToGrid w:val="0"/>
        <w:spacing w:line="560" w:lineRule="exact"/>
        <w:ind w:left="0" w:leftChars="0" w:firstLine="640" w:firstLineChars="200"/>
        <w:rPr>
          <w:rFonts w:hint="eastAsia" w:ascii="仿宋_GB2312" w:hAnsi="ˎ̥" w:eastAsia="仿宋_GB2312" w:cs="宋体"/>
          <w:kern w:val="0"/>
          <w:sz w:val="32"/>
          <w:szCs w:val="32"/>
        </w:rPr>
      </w:pPr>
      <w:r>
        <w:rPr>
          <w:rFonts w:hint="eastAsia" w:ascii="仿宋_GB2312" w:hAnsi="ˎ̥" w:eastAsia="仿宋_GB2312" w:cs="Times New Roman"/>
          <w:b w:val="0"/>
          <w:kern w:val="0"/>
          <w:sz w:val="32"/>
          <w:szCs w:val="32"/>
          <w:lang w:val="en-US" w:eastAsia="zh-CN" w:bidi="ar-SA"/>
        </w:rPr>
        <w:t>（十）</w:t>
      </w:r>
      <w:r>
        <w:rPr>
          <w:rFonts w:hint="eastAsia" w:ascii="仿宋_GB2312" w:hAnsi="宋体" w:eastAsia="仿宋_GB2312"/>
          <w:sz w:val="32"/>
          <w:szCs w:val="32"/>
        </w:rPr>
        <w:t>乙方以其管理的集合资产管理计划参与股票质押回购，承诺已经获得集合资产管理计划客户的合法授权</w:t>
      </w:r>
      <w:r>
        <w:rPr>
          <w:rFonts w:hint="eastAsia" w:ascii="仿宋_GB2312" w:hAnsi="ˎ̥" w:eastAsia="仿宋_GB2312" w:cs="宋体"/>
          <w:kern w:val="0"/>
          <w:sz w:val="32"/>
          <w:szCs w:val="32"/>
        </w:rPr>
        <w:t>；</w:t>
      </w:r>
      <w:r>
        <w:rPr>
          <w:rFonts w:hint="eastAsia" w:ascii="仿宋_GB2312" w:eastAsia="仿宋_GB2312"/>
          <w:sz w:val="32"/>
          <w:szCs w:val="32"/>
        </w:rPr>
        <w:t>相关资产管理合同已约定质权人登记为乙方，并约定由丙方负责交易申报、盯市管理、违约处置等事宜；</w:t>
      </w:r>
    </w:p>
    <w:p w14:paraId="51AB1FC0">
      <w:pPr>
        <w:adjustRightInd w:val="0"/>
        <w:snapToGrid w:val="0"/>
        <w:spacing w:line="560" w:lineRule="exact"/>
        <w:ind w:firstLine="640" w:firstLineChars="200"/>
        <w:rPr>
          <w:rFonts w:hint="eastAsia" w:ascii="仿宋_GB2312" w:hAnsi="ˎ̥" w:eastAsia="仿宋_GB2312" w:cs="宋体"/>
          <w:kern w:val="0"/>
          <w:sz w:val="32"/>
          <w:szCs w:val="32"/>
        </w:rPr>
      </w:pPr>
      <w:r>
        <w:rPr>
          <w:rFonts w:hint="eastAsia" w:ascii="仿宋_GB2312" w:hAnsi="宋体" w:eastAsia="仿宋_GB2312"/>
          <w:sz w:val="32"/>
          <w:szCs w:val="32"/>
        </w:rPr>
        <w:t>乙方以其管理的</w:t>
      </w:r>
      <w:r>
        <w:rPr>
          <w:rFonts w:hint="eastAsia" w:ascii="仿宋_GB2312" w:eastAsia="仿宋_GB2312"/>
          <w:sz w:val="32"/>
          <w:szCs w:val="32"/>
        </w:rPr>
        <w:t>定向资产管理客户</w:t>
      </w:r>
      <w:r>
        <w:rPr>
          <w:rFonts w:hint="eastAsia" w:ascii="仿宋_GB2312" w:hAnsi="宋体" w:eastAsia="仿宋_GB2312"/>
          <w:sz w:val="32"/>
          <w:szCs w:val="32"/>
        </w:rPr>
        <w:t>参与股票质押回购，已经获得</w:t>
      </w:r>
      <w:r>
        <w:rPr>
          <w:rFonts w:hint="eastAsia" w:ascii="仿宋_GB2312" w:eastAsia="仿宋_GB2312"/>
          <w:sz w:val="32"/>
          <w:szCs w:val="32"/>
        </w:rPr>
        <w:t>定向资产管理客户的合法授权，相关资产管理合同已约定质权人登记为定向资产管理客户或乙方，并约定由丙方负责交易申报、盯市管理、违约处置等事宜；</w:t>
      </w:r>
    </w:p>
    <w:p w14:paraId="2CEDF639">
      <w:pPr>
        <w:numPr>
          <w:ilvl w:val="2"/>
          <w:numId w:val="0"/>
        </w:numPr>
        <w:tabs>
          <w:tab w:val="left" w:pos="1420"/>
        </w:tabs>
        <w:adjustRightInd w:val="0"/>
        <w:snapToGrid w:val="0"/>
        <w:spacing w:line="560" w:lineRule="exact"/>
        <w:ind w:left="0" w:leftChars="0" w:firstLine="640" w:firstLineChars="200"/>
        <w:rPr>
          <w:rFonts w:hint="eastAsia" w:ascii="仿宋_GB2312" w:hAnsi="ˎ̥" w:eastAsia="仿宋_GB2312" w:cs="宋体"/>
          <w:kern w:val="0"/>
          <w:sz w:val="32"/>
          <w:szCs w:val="32"/>
        </w:rPr>
      </w:pPr>
      <w:r>
        <w:rPr>
          <w:rFonts w:hint="eastAsia" w:ascii="仿宋_GB2312" w:hAnsi="ˎ̥" w:eastAsia="仿宋_GB2312" w:cs="Times New Roman"/>
          <w:b w:val="0"/>
          <w:kern w:val="0"/>
          <w:sz w:val="32"/>
          <w:szCs w:val="32"/>
          <w:lang w:val="en-US" w:eastAsia="zh-CN" w:bidi="ar-SA"/>
        </w:rPr>
        <w:t>（十一）</w:t>
      </w:r>
      <w:r>
        <w:rPr>
          <w:rFonts w:hint="eastAsia" w:ascii="仿宋_GB2312" w:hAnsi="ˎ̥" w:eastAsia="仿宋_GB2312" w:cs="宋体"/>
          <w:kern w:val="0"/>
          <w:sz w:val="32"/>
          <w:szCs w:val="32"/>
        </w:rPr>
        <w:t>丙方是依法设立的证券经营机构，已在上交所开通了股票质押回购交易权限，并且该交易权限未被暂停或终止；</w:t>
      </w:r>
    </w:p>
    <w:p w14:paraId="400BAAA5">
      <w:pPr>
        <w:numPr>
          <w:ilvl w:val="2"/>
          <w:numId w:val="0"/>
        </w:numPr>
        <w:tabs>
          <w:tab w:val="left" w:pos="1420"/>
        </w:tabs>
        <w:adjustRightInd w:val="0"/>
        <w:snapToGrid w:val="0"/>
        <w:spacing w:line="560" w:lineRule="exact"/>
        <w:ind w:left="0" w:leftChars="0" w:firstLine="640" w:firstLineChars="200"/>
        <w:rPr>
          <w:rFonts w:hint="eastAsia" w:ascii="仿宋_GB2312" w:hAnsi="ˎ̥" w:eastAsia="仿宋_GB2312" w:cs="宋体"/>
          <w:kern w:val="0"/>
          <w:sz w:val="32"/>
          <w:szCs w:val="32"/>
        </w:rPr>
      </w:pPr>
      <w:r>
        <w:rPr>
          <w:rFonts w:hint="eastAsia" w:ascii="仿宋_GB2312" w:hAnsi="ˎ̥" w:eastAsia="仿宋_GB2312" w:cs="Times New Roman"/>
          <w:b w:val="0"/>
          <w:kern w:val="0"/>
          <w:sz w:val="32"/>
          <w:szCs w:val="32"/>
          <w:lang w:val="en-US" w:eastAsia="zh-CN" w:bidi="ar-SA"/>
        </w:rPr>
        <w:t>（十二）</w:t>
      </w:r>
      <w:r>
        <w:rPr>
          <w:rFonts w:hint="eastAsia" w:ascii="仿宋_GB2312" w:hAnsi="ˎ̥" w:eastAsia="仿宋_GB2312" w:cs="宋体"/>
          <w:kern w:val="0"/>
          <w:sz w:val="32"/>
          <w:szCs w:val="32"/>
        </w:rPr>
        <w:t>丙方承诺具备开展股票质押回购的必要条件，能够为甲乙双方进行股票质押回购提供相应的服务；</w:t>
      </w:r>
    </w:p>
    <w:p w14:paraId="1A9E4FCA">
      <w:pPr>
        <w:numPr>
          <w:ilvl w:val="2"/>
          <w:numId w:val="0"/>
        </w:numPr>
        <w:tabs>
          <w:tab w:val="left" w:pos="1420"/>
        </w:tabs>
        <w:adjustRightInd w:val="0"/>
        <w:snapToGrid w:val="0"/>
        <w:spacing w:line="560" w:lineRule="exact"/>
        <w:ind w:left="0" w:leftChars="0" w:firstLine="640" w:firstLineChars="200"/>
        <w:rPr>
          <w:rFonts w:hint="eastAsia" w:ascii="仿宋_GB2312" w:hAnsi="ˎ̥" w:eastAsia="仿宋_GB2312" w:cs="宋体"/>
          <w:kern w:val="0"/>
          <w:sz w:val="32"/>
          <w:szCs w:val="32"/>
        </w:rPr>
      </w:pPr>
      <w:r>
        <w:rPr>
          <w:rFonts w:hint="eastAsia" w:ascii="仿宋_GB2312" w:hAnsi="ˎ̥" w:eastAsia="仿宋_GB2312" w:cs="Times New Roman"/>
          <w:b w:val="0"/>
          <w:kern w:val="0"/>
          <w:sz w:val="32"/>
          <w:szCs w:val="32"/>
          <w:lang w:val="en-US" w:eastAsia="zh-CN" w:bidi="ar-SA"/>
        </w:rPr>
        <w:t>（十三）</w:t>
      </w:r>
      <w:r>
        <w:rPr>
          <w:rFonts w:hint="eastAsia" w:ascii="仿宋_GB2312" w:hAnsi="ˎ̥" w:eastAsia="仿宋_GB2312" w:cs="宋体"/>
          <w:kern w:val="0"/>
          <w:sz w:val="32"/>
          <w:szCs w:val="32"/>
        </w:rPr>
        <w:t>丙方承诺按照业务协议约定，基于甲乙双方真实委托进行交易申报。丙方未经甲方或乙方同意进行虚假交易申报，</w:t>
      </w:r>
      <w:r>
        <w:rPr>
          <w:rFonts w:hint="eastAsia" w:ascii="仿宋_GB2312" w:hAnsi="仿宋" w:eastAsia="仿宋_GB2312"/>
          <w:sz w:val="32"/>
          <w:szCs w:val="32"/>
        </w:rPr>
        <w:t>或者擅自伪造、篡改交易委托进行申报</w:t>
      </w:r>
      <w:r>
        <w:rPr>
          <w:rFonts w:hint="eastAsia" w:ascii="仿宋_GB2312" w:hAnsi="宋体" w:eastAsia="仿宋_GB2312"/>
          <w:sz w:val="32"/>
          <w:szCs w:val="32"/>
        </w:rPr>
        <w:t>的，</w:t>
      </w:r>
      <w:r>
        <w:rPr>
          <w:rFonts w:hint="eastAsia" w:ascii="仿宋_GB2312" w:hAnsi="ˎ̥" w:eastAsia="仿宋_GB2312" w:cs="宋体"/>
          <w:kern w:val="0"/>
          <w:sz w:val="32"/>
          <w:szCs w:val="32"/>
        </w:rPr>
        <w:t>应当承担全部法律责任，并赔偿由此给甲方或乙方造成的损失，但已达成的交易结果不得改变；</w:t>
      </w:r>
    </w:p>
    <w:p w14:paraId="4667B5AD">
      <w:pPr>
        <w:numPr>
          <w:ilvl w:val="2"/>
          <w:numId w:val="0"/>
        </w:numPr>
        <w:tabs>
          <w:tab w:val="left" w:pos="1420"/>
        </w:tabs>
        <w:adjustRightInd w:val="0"/>
        <w:snapToGrid w:val="0"/>
        <w:spacing w:line="560" w:lineRule="exact"/>
        <w:ind w:left="0" w:leftChars="0" w:firstLine="640" w:firstLineChars="200"/>
        <w:rPr>
          <w:rFonts w:hint="eastAsia" w:ascii="仿宋_GB2312" w:hAnsi="ˎ̥" w:eastAsia="仿宋_GB2312" w:cs="宋体"/>
          <w:kern w:val="0"/>
          <w:sz w:val="32"/>
          <w:szCs w:val="32"/>
        </w:rPr>
      </w:pPr>
      <w:r>
        <w:rPr>
          <w:rFonts w:hint="eastAsia" w:ascii="仿宋_GB2312" w:hAnsi="ˎ̥" w:eastAsia="仿宋_GB2312" w:cs="Times New Roman"/>
          <w:b w:val="0"/>
          <w:kern w:val="0"/>
          <w:sz w:val="32"/>
          <w:szCs w:val="32"/>
          <w:lang w:val="en-US" w:eastAsia="zh-CN" w:bidi="ar-SA"/>
        </w:rPr>
        <w:t>（十四）</w:t>
      </w:r>
      <w:r>
        <w:rPr>
          <w:rFonts w:hint="eastAsia" w:ascii="仿宋_GB2312" w:hAnsi="ˎ̥" w:eastAsia="仿宋_GB2312" w:cs="宋体"/>
          <w:kern w:val="0"/>
          <w:sz w:val="32"/>
          <w:szCs w:val="32"/>
        </w:rPr>
        <w:t>甲乙丙三方均承诺在协议有效期间维持上述签署声明，并保证其真实有效。</w:t>
      </w:r>
    </w:p>
    <w:p w14:paraId="13B177A8">
      <w:pPr>
        <w:numPr>
          <w:ilvl w:val="0"/>
          <w:numId w:val="0"/>
        </w:numPr>
        <w:adjustRightInd w:val="0"/>
        <w:snapToGrid w:val="0"/>
        <w:spacing w:line="560" w:lineRule="exact"/>
        <w:ind w:left="0" w:leftChars="0" w:firstLine="550" w:firstLineChars="0"/>
        <w:rPr>
          <w:rFonts w:hint="eastAsia" w:ascii="仿宋_GB2312" w:hAnsi="宋体" w:eastAsia="仿宋_GB2312"/>
          <w:sz w:val="32"/>
          <w:szCs w:val="32"/>
        </w:rPr>
      </w:pPr>
      <w:r>
        <w:rPr>
          <w:rFonts w:hint="eastAsia" w:ascii="仿宋_GB2312" w:hAnsi="宋体" w:eastAsia="仿宋_GB2312" w:cs="Times New Roman"/>
          <w:b/>
          <w:kern w:val="2"/>
          <w:sz w:val="32"/>
          <w:szCs w:val="32"/>
          <w:lang w:val="en-US" w:eastAsia="zh-CN" w:bidi="ar-SA"/>
        </w:rPr>
        <w:t xml:space="preserve">第五条 </w:t>
      </w:r>
      <w:r>
        <w:rPr>
          <w:rFonts w:hint="eastAsia" w:ascii="仿宋_GB2312" w:hAnsi="宋体" w:eastAsia="仿宋_GB2312"/>
          <w:sz w:val="32"/>
          <w:szCs w:val="32"/>
        </w:rPr>
        <w:t>业务协议应当约定甲乙双方已充分知悉并同意，双方互为交易对手方，并共同委托丙方负责有关交易申报等事宜。</w:t>
      </w:r>
    </w:p>
    <w:p w14:paraId="1A48184A">
      <w:pPr>
        <w:numPr>
          <w:ilvl w:val="0"/>
          <w:numId w:val="0"/>
        </w:numPr>
        <w:adjustRightInd w:val="0"/>
        <w:snapToGrid w:val="0"/>
        <w:spacing w:line="560" w:lineRule="exact"/>
        <w:ind w:left="0" w:leftChars="0" w:firstLine="550" w:firstLineChars="0"/>
        <w:rPr>
          <w:rFonts w:hint="eastAsia" w:ascii="仿宋_GB2312" w:hAnsi="宋体" w:eastAsia="仿宋_GB2312"/>
          <w:sz w:val="32"/>
          <w:szCs w:val="32"/>
        </w:rPr>
      </w:pPr>
      <w:r>
        <w:rPr>
          <w:rFonts w:hint="eastAsia" w:ascii="仿宋_GB2312" w:hAnsi="宋体" w:eastAsia="仿宋_GB2312" w:cs="Times New Roman"/>
          <w:b/>
          <w:kern w:val="2"/>
          <w:sz w:val="32"/>
          <w:szCs w:val="32"/>
          <w:lang w:val="en-US" w:eastAsia="zh-CN" w:bidi="ar-SA"/>
        </w:rPr>
        <w:t xml:space="preserve">第六条 </w:t>
      </w:r>
      <w:r>
        <w:rPr>
          <w:rFonts w:hint="eastAsia" w:ascii="仿宋_GB2312" w:hAnsi="宋体" w:eastAsia="仿宋_GB2312"/>
          <w:sz w:val="32"/>
          <w:szCs w:val="32"/>
        </w:rPr>
        <w:t>业务协议应当约定股票质押回购的标的证券为上交所上市的</w:t>
      </w:r>
      <w:r>
        <w:rPr>
          <w:rFonts w:hint="eastAsia" w:eastAsia="仿宋_GB2312"/>
          <w:sz w:val="32"/>
          <w:szCs w:val="32"/>
        </w:rPr>
        <w:t>A</w:t>
      </w:r>
      <w:r>
        <w:rPr>
          <w:rFonts w:hint="eastAsia" w:ascii="仿宋_GB2312" w:hAnsi="宋体" w:eastAsia="仿宋_GB2312"/>
          <w:sz w:val="32"/>
          <w:szCs w:val="32"/>
        </w:rPr>
        <w:t>股股票或其他经上交所和中国结算认可的证券。</w:t>
      </w:r>
    </w:p>
    <w:p w14:paraId="5AD88175">
      <w:pPr>
        <w:numPr>
          <w:ilvl w:val="0"/>
          <w:numId w:val="0"/>
        </w:numPr>
        <w:adjustRightInd w:val="0"/>
        <w:snapToGrid w:val="0"/>
        <w:spacing w:line="560" w:lineRule="exact"/>
        <w:ind w:left="0" w:leftChars="0" w:firstLine="550" w:firstLineChars="0"/>
        <w:rPr>
          <w:rFonts w:hint="eastAsia" w:ascii="仿宋_GB2312" w:hAnsi="宋体" w:eastAsia="仿宋_GB2312"/>
          <w:sz w:val="32"/>
          <w:szCs w:val="32"/>
        </w:rPr>
      </w:pPr>
      <w:r>
        <w:rPr>
          <w:rFonts w:hint="eastAsia" w:ascii="仿宋_GB2312" w:hAnsi="宋体" w:eastAsia="仿宋_GB2312" w:cs="Times New Roman"/>
          <w:b/>
          <w:kern w:val="2"/>
          <w:sz w:val="32"/>
          <w:szCs w:val="32"/>
          <w:lang w:val="en-US" w:eastAsia="zh-CN" w:bidi="ar-SA"/>
        </w:rPr>
        <w:t xml:space="preserve">第七条 </w:t>
      </w:r>
      <w:r>
        <w:rPr>
          <w:rFonts w:hint="eastAsia" w:ascii="仿宋_GB2312" w:hAnsi="宋体" w:eastAsia="仿宋_GB2312"/>
          <w:sz w:val="32"/>
          <w:szCs w:val="32"/>
        </w:rPr>
        <w:t>业务协议应当约定甲乙双方进行股票质押回购的证券账户与资金账户的相关内容，包括但不限于：甲方、乙方开立的上海</w:t>
      </w:r>
      <w:r>
        <w:rPr>
          <w:rFonts w:hint="eastAsia" w:eastAsia="仿宋_GB2312"/>
          <w:sz w:val="32"/>
          <w:szCs w:val="32"/>
        </w:rPr>
        <w:t>A</w:t>
      </w:r>
      <w:r>
        <w:rPr>
          <w:rFonts w:hint="eastAsia" w:ascii="仿宋_GB2312" w:hAnsi="宋体" w:eastAsia="仿宋_GB2312"/>
          <w:sz w:val="32"/>
          <w:szCs w:val="32"/>
        </w:rPr>
        <w:t>股证券账户应当指定在丙方；待购回期间，甲方、乙方不得撤销、变更指定交易关系。</w:t>
      </w:r>
    </w:p>
    <w:p w14:paraId="3EEB56A5">
      <w:pPr>
        <w:numPr>
          <w:ilvl w:val="0"/>
          <w:numId w:val="0"/>
        </w:numPr>
        <w:adjustRightInd w:val="0"/>
        <w:snapToGrid w:val="0"/>
        <w:spacing w:line="560" w:lineRule="exact"/>
        <w:ind w:left="0" w:leftChars="0" w:firstLine="550" w:firstLineChars="0"/>
        <w:rPr>
          <w:rFonts w:hint="eastAsia" w:ascii="仿宋_GB2312" w:hAnsi="宋体" w:eastAsia="仿宋_GB2312"/>
          <w:sz w:val="32"/>
          <w:szCs w:val="32"/>
        </w:rPr>
      </w:pPr>
      <w:r>
        <w:rPr>
          <w:rFonts w:hint="eastAsia" w:ascii="仿宋_GB2312" w:hAnsi="宋体" w:eastAsia="仿宋_GB2312" w:cs="Times New Roman"/>
          <w:b/>
          <w:kern w:val="2"/>
          <w:sz w:val="32"/>
          <w:szCs w:val="32"/>
          <w:lang w:val="en-US" w:eastAsia="zh-CN" w:bidi="ar-SA"/>
        </w:rPr>
        <w:t xml:space="preserve">第八条 </w:t>
      </w:r>
      <w:r>
        <w:rPr>
          <w:rFonts w:hint="eastAsia" w:ascii="仿宋_GB2312" w:hAnsi="宋体" w:eastAsia="仿宋_GB2312"/>
          <w:sz w:val="32"/>
          <w:szCs w:val="32"/>
        </w:rPr>
        <w:t>业务协议应当约定股票质押回购的要素以及相应的计算公式，包括但不限于：</w:t>
      </w:r>
    </w:p>
    <w:p w14:paraId="6567DC6B">
      <w:pPr>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（一）初始交易日、购回交易日、标的证券、股份类别、标的证券数量、初始交易金额、购回交易金额、融资利率等；</w:t>
      </w:r>
    </w:p>
    <w:p w14:paraId="5C7FE4F6">
      <w:pPr>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（二）利息计算公式及支付方式；</w:t>
      </w:r>
    </w:p>
    <w:p w14:paraId="317FA761">
      <w:pPr>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（三）融资投向；</w:t>
      </w:r>
    </w:p>
    <w:p w14:paraId="0945114E">
      <w:pPr>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（四）购回交易金额计算公式；</w:t>
      </w:r>
    </w:p>
    <w:p w14:paraId="39B58161">
      <w:pPr>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（五）履约保障比例的计算公式及预警线、平仓线阈值；</w:t>
      </w:r>
    </w:p>
    <w:p w14:paraId="033127E1">
      <w:pPr>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（六）融入方应付金额的计算方式；</w:t>
      </w:r>
    </w:p>
    <w:p w14:paraId="0FD39AB7">
      <w:pPr>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（七）标的证券停牌期间市值计算公式。</w:t>
      </w:r>
    </w:p>
    <w:p w14:paraId="43E305E5">
      <w:pPr>
        <w:numPr>
          <w:ilvl w:val="0"/>
          <w:numId w:val="0"/>
        </w:numPr>
        <w:adjustRightInd w:val="0"/>
        <w:snapToGrid w:val="0"/>
        <w:spacing w:line="560" w:lineRule="exact"/>
        <w:ind w:left="0" w:leftChars="0" w:firstLine="550" w:firstLineChars="0"/>
        <w:rPr>
          <w:rFonts w:hint="eastAsia" w:ascii="仿宋_GB2312" w:hAnsi="宋体" w:eastAsia="仿宋_GB2312"/>
          <w:sz w:val="32"/>
          <w:szCs w:val="32"/>
        </w:rPr>
      </w:pPr>
      <w:r>
        <w:rPr>
          <w:rFonts w:hint="eastAsia" w:ascii="仿宋_GB2312" w:hAnsi="宋体" w:eastAsia="仿宋_GB2312" w:cs="Times New Roman"/>
          <w:b/>
          <w:kern w:val="2"/>
          <w:sz w:val="32"/>
          <w:szCs w:val="32"/>
          <w:lang w:val="en-US" w:eastAsia="zh-CN" w:bidi="ar-SA"/>
        </w:rPr>
        <w:t xml:space="preserve">第九条 </w:t>
      </w:r>
      <w:r>
        <w:rPr>
          <w:rFonts w:hint="eastAsia" w:ascii="仿宋_GB2312" w:hAnsi="宋体" w:eastAsia="仿宋_GB2312"/>
          <w:sz w:val="32"/>
          <w:szCs w:val="32"/>
        </w:rPr>
        <w:t>业务协议应当约定在股票质押回购中的</w:t>
      </w:r>
      <w:r>
        <w:rPr>
          <w:rFonts w:hint="eastAsia" w:ascii="仿宋_GB2312" w:eastAsia="仿宋_GB2312"/>
          <w:sz w:val="32"/>
          <w:szCs w:val="32"/>
        </w:rPr>
        <w:t>交易委托、申报、成交、结算、</w:t>
      </w:r>
      <w:r>
        <w:rPr>
          <w:rFonts w:hint="eastAsia" w:ascii="仿宋_GB2312" w:hAnsi="宋体" w:eastAsia="仿宋_GB2312" w:cs="宋体"/>
          <w:kern w:val="0"/>
          <w:sz w:val="32"/>
          <w:szCs w:val="32"/>
        </w:rPr>
        <w:t>盯市、权益处理、违约处置</w:t>
      </w:r>
      <w:r>
        <w:rPr>
          <w:rFonts w:hint="eastAsia" w:ascii="仿宋_GB2312" w:eastAsia="仿宋_GB2312"/>
          <w:sz w:val="32"/>
          <w:szCs w:val="32"/>
        </w:rPr>
        <w:t>等事宜</w:t>
      </w:r>
      <w:r>
        <w:rPr>
          <w:rFonts w:hint="eastAsia" w:ascii="仿宋_GB2312" w:hAnsi="宋体" w:eastAsia="仿宋_GB2312"/>
          <w:sz w:val="32"/>
          <w:szCs w:val="32"/>
        </w:rPr>
        <w:t>，约定内容应当符合上交所和中国结算的有关规定。</w:t>
      </w:r>
    </w:p>
    <w:p w14:paraId="7766017F">
      <w:pPr>
        <w:numPr>
          <w:ilvl w:val="0"/>
          <w:numId w:val="0"/>
        </w:numPr>
        <w:adjustRightInd w:val="0"/>
        <w:snapToGrid w:val="0"/>
        <w:spacing w:line="560" w:lineRule="exact"/>
        <w:ind w:left="0" w:leftChars="0" w:firstLine="550" w:firstLineChars="0"/>
        <w:rPr>
          <w:rFonts w:hint="eastAsia" w:ascii="仿宋_GB2312" w:hAnsi="宋体" w:eastAsia="仿宋_GB2312"/>
          <w:sz w:val="32"/>
          <w:szCs w:val="32"/>
        </w:rPr>
      </w:pPr>
      <w:r>
        <w:rPr>
          <w:rFonts w:hint="eastAsia" w:ascii="仿宋_GB2312" w:hAnsi="宋体" w:eastAsia="仿宋_GB2312" w:cs="Times New Roman"/>
          <w:b/>
          <w:kern w:val="2"/>
          <w:sz w:val="32"/>
          <w:szCs w:val="32"/>
          <w:lang w:val="en-US" w:eastAsia="zh-CN" w:bidi="ar-SA"/>
        </w:rPr>
        <w:t xml:space="preserve">第十条 </w:t>
      </w:r>
      <w:r>
        <w:rPr>
          <w:rFonts w:hint="eastAsia" w:ascii="仿宋_GB2312" w:hAnsi="宋体" w:eastAsia="仿宋_GB2312"/>
          <w:sz w:val="32"/>
          <w:szCs w:val="32"/>
        </w:rPr>
        <w:t>融出方是集合资产管理计划的，业务协议应当约定质权人登记为乙方；融出方是定向资产管理客户的，业务协议应当约定质权人登记为定向资产管理客户或乙方。</w:t>
      </w:r>
    </w:p>
    <w:p w14:paraId="1F546724">
      <w:pPr>
        <w:numPr>
          <w:ilvl w:val="0"/>
          <w:numId w:val="0"/>
        </w:numPr>
        <w:adjustRightInd w:val="0"/>
        <w:snapToGrid w:val="0"/>
        <w:spacing w:line="560" w:lineRule="exact"/>
        <w:ind w:left="170" w:leftChars="0" w:firstLine="550" w:firstLineChars="0"/>
        <w:rPr>
          <w:rFonts w:hint="eastAsia" w:ascii="仿宋_GB2312" w:hAnsi="宋体" w:eastAsia="仿宋_GB2312"/>
          <w:sz w:val="32"/>
          <w:szCs w:val="32"/>
        </w:rPr>
      </w:pPr>
      <w:r>
        <w:rPr>
          <w:rFonts w:hint="eastAsia" w:ascii="仿宋_GB2312" w:hAnsi="宋体" w:eastAsia="仿宋_GB2312" w:cs="Times New Roman"/>
          <w:b/>
          <w:kern w:val="2"/>
          <w:sz w:val="32"/>
          <w:szCs w:val="32"/>
          <w:lang w:val="en-US" w:eastAsia="zh-CN" w:bidi="ar-SA"/>
        </w:rPr>
        <w:t xml:space="preserve">第十一条 </w:t>
      </w:r>
      <w:r>
        <w:rPr>
          <w:rFonts w:hint="eastAsia" w:ascii="仿宋_GB2312" w:hAnsi="宋体" w:eastAsia="仿宋_GB2312"/>
          <w:sz w:val="32"/>
          <w:szCs w:val="32"/>
        </w:rPr>
        <w:t>业务协议应当约定由丙方负责交易申报、盯市、违约处置等事宜。</w:t>
      </w:r>
    </w:p>
    <w:p w14:paraId="04058941">
      <w:pPr>
        <w:numPr>
          <w:ilvl w:val="0"/>
          <w:numId w:val="0"/>
        </w:numPr>
        <w:adjustRightInd w:val="0"/>
        <w:snapToGrid w:val="0"/>
        <w:spacing w:line="560" w:lineRule="exact"/>
        <w:ind w:left="170" w:leftChars="0" w:firstLine="550" w:firstLineChars="0"/>
        <w:rPr>
          <w:rFonts w:hint="eastAsia" w:ascii="仿宋_GB2312" w:hAnsi="宋体" w:eastAsia="仿宋_GB2312"/>
          <w:sz w:val="32"/>
          <w:szCs w:val="32"/>
        </w:rPr>
      </w:pPr>
      <w:r>
        <w:rPr>
          <w:rFonts w:hint="eastAsia" w:ascii="仿宋_GB2312" w:hAnsi="宋体" w:eastAsia="仿宋_GB2312" w:cs="Times New Roman"/>
          <w:b/>
          <w:kern w:val="2"/>
          <w:sz w:val="32"/>
          <w:szCs w:val="32"/>
          <w:lang w:val="en-US" w:eastAsia="zh-CN" w:bidi="ar-SA"/>
        </w:rPr>
        <w:t xml:space="preserve">第十二条 </w:t>
      </w:r>
      <w:r>
        <w:rPr>
          <w:rFonts w:hint="eastAsia" w:ascii="仿宋_GB2312" w:hAnsi="宋体" w:eastAsia="仿宋_GB2312"/>
          <w:sz w:val="32"/>
          <w:szCs w:val="32"/>
        </w:rPr>
        <w:t>业务协议应当约定丙方对股票质押回购初始交易及相应的补充质押、部分解除质押进行合并管理。</w:t>
      </w:r>
    </w:p>
    <w:p w14:paraId="636F266D">
      <w:pPr>
        <w:numPr>
          <w:ilvl w:val="0"/>
          <w:numId w:val="0"/>
        </w:numPr>
        <w:adjustRightInd w:val="0"/>
        <w:snapToGrid w:val="0"/>
        <w:spacing w:line="560" w:lineRule="exact"/>
        <w:ind w:left="170" w:leftChars="0" w:firstLine="550" w:firstLineChars="0"/>
        <w:rPr>
          <w:rFonts w:hint="eastAsia" w:ascii="仿宋_GB2312" w:hAnsi="宋体" w:eastAsia="仿宋_GB2312"/>
          <w:sz w:val="32"/>
          <w:szCs w:val="32"/>
        </w:rPr>
      </w:pPr>
      <w:r>
        <w:rPr>
          <w:rFonts w:hint="eastAsia" w:ascii="仿宋_GB2312" w:hAnsi="宋体" w:eastAsia="仿宋_GB2312" w:cs="Times New Roman"/>
          <w:b/>
          <w:kern w:val="2"/>
          <w:sz w:val="32"/>
          <w:szCs w:val="32"/>
          <w:lang w:val="en-US" w:eastAsia="zh-CN" w:bidi="ar-SA"/>
        </w:rPr>
        <w:t xml:space="preserve">第十三条 </w:t>
      </w:r>
      <w:r>
        <w:rPr>
          <w:rFonts w:hint="eastAsia" w:ascii="仿宋_GB2312" w:hAnsi="宋体" w:eastAsia="仿宋_GB2312"/>
          <w:sz w:val="32"/>
          <w:szCs w:val="32"/>
        </w:rPr>
        <w:t>业务协议应当约定甲方的权利义务。</w:t>
      </w:r>
    </w:p>
    <w:p w14:paraId="3A221D0F">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（一）甲方权利包括：</w:t>
      </w:r>
    </w:p>
    <w:p w14:paraId="49C18CC9">
      <w:pPr>
        <w:adjustRightInd w:val="0"/>
        <w:snapToGrid w:val="0"/>
        <w:spacing w:line="560" w:lineRule="exact"/>
        <w:ind w:firstLine="640" w:firstLineChars="200"/>
        <w:rPr>
          <w:rFonts w:hint="eastAsia" w:ascii="仿宋_GB2312" w:hAnsi="宋体" w:eastAsia="仿宋_GB2312"/>
          <w:sz w:val="32"/>
          <w:szCs w:val="32"/>
        </w:rPr>
      </w:pPr>
      <w:r>
        <w:rPr>
          <w:rFonts w:hint="eastAsia" w:eastAsia="仿宋_GB2312"/>
          <w:sz w:val="32"/>
          <w:szCs w:val="32"/>
        </w:rPr>
        <w:t>1</w:t>
      </w:r>
      <w:r>
        <w:rPr>
          <w:rFonts w:hint="eastAsia" w:ascii="仿宋_GB2312" w:hAnsi="宋体" w:eastAsia="仿宋_GB2312"/>
          <w:sz w:val="32"/>
          <w:szCs w:val="32"/>
        </w:rPr>
        <w:t>.初始交易交收完成后获得相应资金；</w:t>
      </w:r>
    </w:p>
    <w:p w14:paraId="2142C7AC">
      <w:pPr>
        <w:adjustRightInd w:val="0"/>
        <w:snapToGrid w:val="0"/>
        <w:spacing w:line="560" w:lineRule="exact"/>
        <w:ind w:firstLine="640" w:firstLineChars="200"/>
        <w:rPr>
          <w:rFonts w:hint="eastAsia" w:ascii="仿宋_GB2312" w:hAnsi="宋体" w:eastAsia="仿宋_GB2312"/>
          <w:sz w:val="32"/>
          <w:szCs w:val="32"/>
        </w:rPr>
      </w:pPr>
      <w:r>
        <w:rPr>
          <w:rFonts w:hint="eastAsia" w:eastAsia="仿宋_GB2312"/>
          <w:sz w:val="32"/>
          <w:szCs w:val="32"/>
        </w:rPr>
        <w:t>2</w:t>
      </w:r>
      <w:r>
        <w:rPr>
          <w:rFonts w:hint="eastAsia" w:ascii="仿宋_GB2312" w:hAnsi="宋体" w:eastAsia="仿宋_GB2312"/>
          <w:sz w:val="32"/>
          <w:szCs w:val="32"/>
        </w:rPr>
        <w:t>.向丙方查询股票质押回购交易情况；</w:t>
      </w:r>
    </w:p>
    <w:p w14:paraId="19F2E45C">
      <w:pPr>
        <w:adjustRightInd w:val="0"/>
        <w:snapToGrid w:val="0"/>
        <w:spacing w:line="560" w:lineRule="exact"/>
        <w:ind w:firstLine="640" w:firstLineChars="200"/>
        <w:rPr>
          <w:rFonts w:hint="eastAsia" w:ascii="仿宋_GB2312" w:hAnsi="宋体" w:eastAsia="仿宋_GB2312"/>
          <w:sz w:val="32"/>
          <w:szCs w:val="32"/>
        </w:rPr>
      </w:pPr>
      <w:r>
        <w:rPr>
          <w:rFonts w:hint="eastAsia" w:eastAsia="仿宋_GB2312"/>
          <w:sz w:val="32"/>
          <w:szCs w:val="32"/>
        </w:rPr>
        <w:t>3</w:t>
      </w:r>
      <w:r>
        <w:rPr>
          <w:rFonts w:hint="eastAsia" w:ascii="仿宋_GB2312" w:hAnsi="宋体" w:eastAsia="仿宋_GB2312"/>
          <w:sz w:val="32"/>
          <w:szCs w:val="32"/>
        </w:rPr>
        <w:t>.购回交易交收完成后，已质押的相应证券及孳息解除质押。</w:t>
      </w:r>
    </w:p>
    <w:p w14:paraId="162F4CDB">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（二）甲方义务包括：</w:t>
      </w:r>
    </w:p>
    <w:p w14:paraId="2FA42036">
      <w:pPr>
        <w:adjustRightInd w:val="0"/>
        <w:snapToGrid w:val="0"/>
        <w:spacing w:line="560" w:lineRule="exact"/>
        <w:ind w:firstLine="640" w:firstLineChars="200"/>
        <w:rPr>
          <w:rFonts w:hint="eastAsia" w:ascii="仿宋_GB2312" w:hAnsi="宋体" w:eastAsia="仿宋_GB2312"/>
          <w:sz w:val="32"/>
          <w:szCs w:val="32"/>
        </w:rPr>
      </w:pPr>
      <w:r>
        <w:rPr>
          <w:rFonts w:hint="eastAsia" w:eastAsia="仿宋_GB2312"/>
          <w:sz w:val="32"/>
          <w:szCs w:val="32"/>
        </w:rPr>
        <w:t>1</w:t>
      </w:r>
      <w:r>
        <w:rPr>
          <w:rFonts w:hint="eastAsia" w:ascii="仿宋_GB2312" w:hAnsi="宋体" w:eastAsia="仿宋_GB2312"/>
          <w:sz w:val="32"/>
          <w:szCs w:val="32"/>
        </w:rPr>
        <w:t>.初始交易时，保证其证券账户内有足够的标的证券，交易指令申报成功后接受相应的清算与质押结果。因其证券账户标的证券余额不足或账户状态不正常导致交易无法申报、申报失败或质押失败的，由甲方自行承担责任；</w:t>
      </w:r>
    </w:p>
    <w:p w14:paraId="4674895D">
      <w:pPr>
        <w:adjustRightInd w:val="0"/>
        <w:snapToGrid w:val="0"/>
        <w:spacing w:line="560" w:lineRule="exact"/>
        <w:ind w:firstLine="640" w:firstLineChars="200"/>
        <w:rPr>
          <w:rFonts w:hint="eastAsia" w:ascii="仿宋_GB2312" w:hAnsi="宋体" w:eastAsia="仿宋_GB2312"/>
          <w:sz w:val="32"/>
          <w:szCs w:val="32"/>
        </w:rPr>
      </w:pPr>
      <w:r>
        <w:rPr>
          <w:rFonts w:hint="eastAsia" w:eastAsia="仿宋_GB2312"/>
          <w:sz w:val="32"/>
          <w:szCs w:val="32"/>
        </w:rPr>
        <w:t>2</w:t>
      </w:r>
      <w:r>
        <w:rPr>
          <w:rFonts w:hint="eastAsia" w:ascii="仿宋_GB2312" w:hAnsi="宋体" w:eastAsia="仿宋_GB2312"/>
          <w:sz w:val="32"/>
          <w:szCs w:val="32"/>
        </w:rPr>
        <w:t>.保证将融入的资金用于实体经济生产经营，不直接或者间接用于下列用途：（</w:t>
      </w:r>
      <w:r>
        <w:rPr>
          <w:rFonts w:hint="eastAsia" w:eastAsia="仿宋_GB2312"/>
          <w:sz w:val="32"/>
          <w:szCs w:val="32"/>
        </w:rPr>
        <w:t>1</w:t>
      </w:r>
      <w:r>
        <w:rPr>
          <w:rFonts w:hint="eastAsia" w:ascii="仿宋_GB2312" w:hAnsi="宋体" w:eastAsia="仿宋_GB2312"/>
          <w:sz w:val="32"/>
          <w:szCs w:val="32"/>
        </w:rPr>
        <w:t>）投资于被列入国家相关部委发布的淘汰类产业目录，或者违反国家宏观调控政策、环境保护政策的项目；（</w:t>
      </w:r>
      <w:r>
        <w:rPr>
          <w:rFonts w:hint="eastAsia" w:eastAsia="仿宋_GB2312"/>
          <w:sz w:val="32"/>
          <w:szCs w:val="32"/>
        </w:rPr>
        <w:t>2</w:t>
      </w:r>
      <w:r>
        <w:rPr>
          <w:rFonts w:hint="eastAsia" w:ascii="仿宋_GB2312" w:hAnsi="宋体" w:eastAsia="仿宋_GB2312"/>
          <w:sz w:val="32"/>
          <w:szCs w:val="32"/>
        </w:rPr>
        <w:t>）进行新股申购；（</w:t>
      </w:r>
      <w:r>
        <w:rPr>
          <w:rFonts w:hint="eastAsia" w:eastAsia="仿宋_GB2312"/>
          <w:sz w:val="32"/>
          <w:szCs w:val="32"/>
        </w:rPr>
        <w:t>3</w:t>
      </w:r>
      <w:r>
        <w:rPr>
          <w:rFonts w:hint="eastAsia" w:ascii="仿宋_GB2312" w:hAnsi="宋体" w:eastAsia="仿宋_GB2312"/>
          <w:sz w:val="32"/>
          <w:szCs w:val="32"/>
        </w:rPr>
        <w:t>）通过竞价交易或者大宗交易方式买入上市交易的股票；（</w:t>
      </w:r>
      <w:r>
        <w:rPr>
          <w:rFonts w:hint="eastAsia" w:eastAsia="仿宋_GB2312"/>
          <w:sz w:val="32"/>
          <w:szCs w:val="32"/>
        </w:rPr>
        <w:t>4</w:t>
      </w:r>
      <w:r>
        <w:rPr>
          <w:rFonts w:hint="eastAsia" w:ascii="仿宋_GB2312" w:hAnsi="宋体" w:eastAsia="仿宋_GB2312"/>
          <w:sz w:val="32"/>
          <w:szCs w:val="32"/>
        </w:rPr>
        <w:t>）法律法规、中国证券监督管理委员会相关部门规章和规范性文件禁止的其他用途。</w:t>
      </w:r>
    </w:p>
    <w:p w14:paraId="7FC69524">
      <w:pPr>
        <w:adjustRightInd w:val="0"/>
        <w:snapToGrid w:val="0"/>
        <w:spacing w:line="560" w:lineRule="exact"/>
        <w:ind w:firstLine="640" w:firstLineChars="200"/>
        <w:rPr>
          <w:rFonts w:hint="eastAsia" w:ascii="仿宋_GB2312" w:hAnsi="宋体" w:eastAsia="仿宋_GB2312"/>
          <w:sz w:val="32"/>
          <w:szCs w:val="32"/>
        </w:rPr>
      </w:pPr>
      <w:r>
        <w:rPr>
          <w:rFonts w:hint="eastAsia" w:eastAsia="仿宋_GB2312"/>
          <w:sz w:val="32"/>
          <w:szCs w:val="32"/>
        </w:rPr>
        <w:t>3</w:t>
      </w:r>
      <w:r>
        <w:rPr>
          <w:rFonts w:hint="eastAsia" w:ascii="仿宋_GB2312" w:hAnsi="宋体" w:eastAsia="仿宋_GB2312"/>
          <w:sz w:val="32"/>
          <w:szCs w:val="32"/>
        </w:rPr>
        <w:t>.待购回期间，依据业务协议的约定支付利息；</w:t>
      </w:r>
    </w:p>
    <w:p w14:paraId="0054768D">
      <w:pPr>
        <w:adjustRightInd w:val="0"/>
        <w:snapToGrid w:val="0"/>
        <w:spacing w:line="560" w:lineRule="exact"/>
        <w:ind w:firstLine="640" w:firstLineChars="200"/>
        <w:rPr>
          <w:rFonts w:hint="eastAsia" w:ascii="仿宋_GB2312" w:hAnsi="宋体" w:eastAsia="仿宋_GB2312"/>
          <w:sz w:val="32"/>
          <w:szCs w:val="32"/>
        </w:rPr>
      </w:pPr>
      <w:r>
        <w:rPr>
          <w:rFonts w:hint="eastAsia" w:eastAsia="仿宋_GB2312"/>
          <w:sz w:val="32"/>
          <w:szCs w:val="32"/>
        </w:rPr>
        <w:t>4</w:t>
      </w:r>
      <w:r>
        <w:rPr>
          <w:rFonts w:hint="eastAsia" w:ascii="仿宋_GB2312" w:hAnsi="宋体" w:eastAsia="仿宋_GB2312"/>
          <w:sz w:val="32"/>
          <w:szCs w:val="32"/>
        </w:rPr>
        <w:t>.购回交易时，保证其资金账户内有足够的资金，交易指令申报成功后接受相应的清算与资金交收结果。因其资金账户资金余额不足或账户状态不正常导致交易无法申报、申报失败或资金交收失败的，由甲方自行承担责任；</w:t>
      </w:r>
    </w:p>
    <w:p w14:paraId="4354A510">
      <w:pPr>
        <w:adjustRightInd w:val="0"/>
        <w:snapToGrid w:val="0"/>
        <w:spacing w:line="560" w:lineRule="exact"/>
        <w:ind w:firstLine="640" w:firstLineChars="200"/>
        <w:rPr>
          <w:rFonts w:hint="eastAsia" w:ascii="仿宋_GB2312" w:hAnsi="宋体" w:eastAsia="仿宋_GB2312" w:cs="宋体"/>
          <w:kern w:val="0"/>
          <w:sz w:val="32"/>
          <w:szCs w:val="32"/>
        </w:rPr>
      </w:pPr>
      <w:r>
        <w:rPr>
          <w:rFonts w:hint="eastAsia" w:eastAsia="仿宋_GB2312"/>
          <w:sz w:val="32"/>
          <w:szCs w:val="32"/>
        </w:rPr>
        <w:t>5</w:t>
      </w:r>
      <w:r>
        <w:rPr>
          <w:rFonts w:hint="eastAsia" w:ascii="仿宋_GB2312" w:hAnsi="宋体" w:eastAsia="仿宋_GB2312" w:cs="宋体"/>
          <w:kern w:val="0"/>
          <w:sz w:val="32"/>
          <w:szCs w:val="32"/>
        </w:rPr>
        <w:t>.甲方开立的上海证券账户应当指定在丙方，待购回期间，甲方不得撤销、变更指定交易关系；</w:t>
      </w:r>
    </w:p>
    <w:p w14:paraId="214D263D">
      <w:pPr>
        <w:adjustRightInd w:val="0"/>
        <w:snapToGrid w:val="0"/>
        <w:spacing w:line="560" w:lineRule="exact"/>
        <w:ind w:firstLine="640" w:firstLineChars="200"/>
        <w:rPr>
          <w:rFonts w:hint="eastAsia" w:ascii="仿宋_GB2312" w:hAnsi="宋体" w:eastAsia="仿宋_GB2312" w:cs="宋体"/>
          <w:kern w:val="0"/>
          <w:sz w:val="32"/>
          <w:szCs w:val="32"/>
        </w:rPr>
      </w:pPr>
      <w:r>
        <w:rPr>
          <w:rFonts w:hint="eastAsia" w:eastAsia="仿宋_GB2312" w:cs="宋体"/>
          <w:kern w:val="0"/>
          <w:sz w:val="32"/>
          <w:szCs w:val="32"/>
        </w:rPr>
        <w:t>6</w:t>
      </w:r>
      <w:r>
        <w:rPr>
          <w:rFonts w:hint="eastAsia" w:ascii="仿宋_GB2312" w:hAnsi="宋体" w:eastAsia="仿宋_GB2312" w:cs="宋体"/>
          <w:kern w:val="0"/>
          <w:sz w:val="32"/>
          <w:szCs w:val="32"/>
        </w:rPr>
        <w:t>.按照上交所、中国结算的有关规定支付有关费用。</w:t>
      </w:r>
    </w:p>
    <w:p w14:paraId="27C0C8B4">
      <w:pPr>
        <w:numPr>
          <w:ilvl w:val="0"/>
          <w:numId w:val="0"/>
        </w:numPr>
        <w:adjustRightInd w:val="0"/>
        <w:snapToGrid w:val="0"/>
        <w:spacing w:line="560" w:lineRule="exact"/>
        <w:ind w:left="170" w:leftChars="0" w:firstLine="550" w:firstLineChars="0"/>
        <w:rPr>
          <w:rFonts w:hint="eastAsia" w:ascii="仿宋_GB2312" w:hAnsi="宋体" w:eastAsia="仿宋_GB2312"/>
          <w:sz w:val="32"/>
          <w:szCs w:val="32"/>
        </w:rPr>
      </w:pPr>
      <w:r>
        <w:rPr>
          <w:rFonts w:hint="eastAsia" w:ascii="仿宋_GB2312" w:hAnsi="宋体" w:eastAsia="仿宋_GB2312" w:cs="Times New Roman"/>
          <w:b/>
          <w:kern w:val="2"/>
          <w:sz w:val="32"/>
          <w:szCs w:val="32"/>
          <w:lang w:val="en-US" w:eastAsia="zh-CN" w:bidi="ar-SA"/>
        </w:rPr>
        <w:t xml:space="preserve">第十四条 </w:t>
      </w:r>
      <w:r>
        <w:rPr>
          <w:rFonts w:hint="eastAsia" w:ascii="仿宋_GB2312" w:hAnsi="宋体" w:eastAsia="仿宋_GB2312"/>
          <w:sz w:val="32"/>
          <w:szCs w:val="32"/>
        </w:rPr>
        <w:t>业务协议应当约定乙方的权利义务。</w:t>
      </w:r>
    </w:p>
    <w:p w14:paraId="29E0735D">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（一）乙方权利包括：</w:t>
      </w:r>
    </w:p>
    <w:p w14:paraId="22B685B0">
      <w:pPr>
        <w:adjustRightInd w:val="0"/>
        <w:snapToGrid w:val="0"/>
        <w:spacing w:line="560" w:lineRule="exact"/>
        <w:ind w:firstLine="640" w:firstLineChars="200"/>
        <w:rPr>
          <w:rFonts w:hint="eastAsia" w:ascii="仿宋_GB2312" w:hAnsi="宋体" w:eastAsia="仿宋_GB2312"/>
          <w:sz w:val="32"/>
          <w:szCs w:val="32"/>
        </w:rPr>
      </w:pPr>
      <w:r>
        <w:rPr>
          <w:rFonts w:hint="eastAsia" w:eastAsia="仿宋_GB2312"/>
          <w:sz w:val="32"/>
          <w:szCs w:val="32"/>
        </w:rPr>
        <w:t>1</w:t>
      </w:r>
      <w:r>
        <w:rPr>
          <w:rFonts w:hint="eastAsia" w:ascii="仿宋_GB2312" w:hAnsi="宋体" w:eastAsia="仿宋_GB2312"/>
          <w:sz w:val="32"/>
          <w:szCs w:val="32"/>
        </w:rPr>
        <w:t>.乙方管理的集合资产管理计划为融出方的，初始交易交收完成后取得相应标的证券及孳息的质权；</w:t>
      </w:r>
    </w:p>
    <w:p w14:paraId="4F336EAE">
      <w:pPr>
        <w:adjustRightInd w:val="0"/>
        <w:snapToGrid w:val="0"/>
        <w:spacing w:line="560" w:lineRule="exact"/>
        <w:ind w:firstLine="640" w:firstLineChars="200"/>
        <w:rPr>
          <w:rFonts w:hint="eastAsia" w:ascii="仿宋_GB2312" w:hAnsi="宋体" w:eastAsia="仿宋_GB2312"/>
          <w:sz w:val="32"/>
          <w:szCs w:val="32"/>
        </w:rPr>
      </w:pPr>
      <w:r>
        <w:rPr>
          <w:rFonts w:hint="eastAsia" w:eastAsia="仿宋_GB2312"/>
          <w:sz w:val="32"/>
          <w:szCs w:val="32"/>
        </w:rPr>
        <w:t>2</w:t>
      </w:r>
      <w:r>
        <w:rPr>
          <w:rFonts w:hint="eastAsia" w:ascii="仿宋_GB2312" w:hAnsi="宋体" w:eastAsia="仿宋_GB2312"/>
          <w:sz w:val="32"/>
          <w:szCs w:val="32"/>
        </w:rPr>
        <w:t>.乙方有权采取措施对甲方资金的使用情况进行跟踪，甲方违反本协议约定使用融入资金的，乙方有权督促甲方按照协议约定采取改正措施；未按照协议约定采取改正措施的，乙方有权要求甲方提前购回。</w:t>
      </w:r>
    </w:p>
    <w:p w14:paraId="0329D677">
      <w:pPr>
        <w:adjustRightInd w:val="0"/>
        <w:snapToGrid w:val="0"/>
        <w:spacing w:line="560" w:lineRule="exact"/>
        <w:ind w:firstLine="640" w:firstLineChars="200"/>
        <w:rPr>
          <w:rFonts w:hint="eastAsia" w:ascii="仿宋_GB2312" w:hAnsi="宋体" w:eastAsia="仿宋_GB2312"/>
          <w:sz w:val="32"/>
          <w:szCs w:val="32"/>
        </w:rPr>
      </w:pPr>
      <w:r>
        <w:rPr>
          <w:rFonts w:hint="eastAsia" w:eastAsia="仿宋_GB2312"/>
          <w:sz w:val="32"/>
          <w:szCs w:val="32"/>
        </w:rPr>
        <w:t>3</w:t>
      </w:r>
      <w:r>
        <w:rPr>
          <w:rFonts w:hint="eastAsia" w:ascii="仿宋_GB2312" w:hAnsi="宋体" w:eastAsia="仿宋_GB2312"/>
          <w:sz w:val="32"/>
          <w:szCs w:val="32"/>
        </w:rPr>
        <w:t>.待购回期间，依据业务协议的约定收取利息；</w:t>
      </w:r>
    </w:p>
    <w:p w14:paraId="7715511E">
      <w:pPr>
        <w:adjustRightInd w:val="0"/>
        <w:snapToGrid w:val="0"/>
        <w:spacing w:line="560" w:lineRule="exact"/>
        <w:ind w:firstLine="640" w:firstLineChars="200"/>
        <w:rPr>
          <w:rFonts w:hint="eastAsia" w:ascii="仿宋_GB2312" w:hAnsi="宋体" w:eastAsia="仿宋_GB2312"/>
          <w:sz w:val="32"/>
          <w:szCs w:val="32"/>
        </w:rPr>
      </w:pPr>
      <w:r>
        <w:rPr>
          <w:rFonts w:hint="eastAsia" w:eastAsia="仿宋_GB2312"/>
          <w:sz w:val="32"/>
          <w:szCs w:val="32"/>
        </w:rPr>
        <w:t>4</w:t>
      </w:r>
      <w:r>
        <w:rPr>
          <w:rFonts w:hint="eastAsia" w:ascii="仿宋_GB2312" w:hAnsi="宋体" w:eastAsia="仿宋_GB2312"/>
          <w:sz w:val="32"/>
          <w:szCs w:val="32"/>
        </w:rPr>
        <w:t>.购回交易交收完成后按照约定取得返还资金；</w:t>
      </w:r>
    </w:p>
    <w:p w14:paraId="07D5ED75">
      <w:pPr>
        <w:adjustRightInd w:val="0"/>
        <w:snapToGrid w:val="0"/>
        <w:spacing w:line="560" w:lineRule="exact"/>
        <w:ind w:firstLine="640" w:firstLineChars="200"/>
        <w:rPr>
          <w:rFonts w:hint="eastAsia" w:ascii="仿宋_GB2312" w:hAnsi="宋体" w:eastAsia="仿宋_GB2312"/>
          <w:sz w:val="32"/>
          <w:szCs w:val="32"/>
        </w:rPr>
      </w:pPr>
      <w:r>
        <w:rPr>
          <w:rFonts w:hint="eastAsia" w:eastAsia="仿宋_GB2312"/>
          <w:sz w:val="32"/>
          <w:szCs w:val="32"/>
        </w:rPr>
        <w:t>5</w:t>
      </w:r>
      <w:r>
        <w:rPr>
          <w:rFonts w:hint="eastAsia" w:ascii="仿宋_GB2312" w:hAnsi="宋体" w:eastAsia="仿宋_GB2312"/>
          <w:sz w:val="32"/>
          <w:szCs w:val="32"/>
        </w:rPr>
        <w:t>.甲方违约时，有权就丙方按照协议约定处置质押标的证券所得款项优先受偿。处置所得价款不足以清偿甲方欠款时，有权继续向甲方追偿；</w:t>
      </w:r>
    </w:p>
    <w:p w14:paraId="350347CB">
      <w:pPr>
        <w:adjustRightInd w:val="0"/>
        <w:snapToGrid w:val="0"/>
        <w:spacing w:line="560" w:lineRule="exact"/>
        <w:ind w:firstLine="640" w:firstLineChars="200"/>
        <w:rPr>
          <w:rFonts w:hint="eastAsia" w:ascii="仿宋_GB2312" w:hAnsi="宋体" w:eastAsia="仿宋_GB2312"/>
          <w:sz w:val="32"/>
          <w:szCs w:val="32"/>
        </w:rPr>
      </w:pPr>
      <w:r>
        <w:rPr>
          <w:rFonts w:hint="eastAsia" w:eastAsia="仿宋_GB2312"/>
          <w:sz w:val="32"/>
          <w:szCs w:val="32"/>
        </w:rPr>
        <w:t>6</w:t>
      </w:r>
      <w:r>
        <w:rPr>
          <w:rFonts w:hint="eastAsia" w:ascii="仿宋_GB2312" w:hAnsi="宋体" w:eastAsia="仿宋_GB2312"/>
          <w:sz w:val="32"/>
          <w:szCs w:val="32"/>
        </w:rPr>
        <w:t>.向丙方查询股票质押回购交易情况。</w:t>
      </w:r>
    </w:p>
    <w:p w14:paraId="59E6099E">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（二）乙方义务包括：</w:t>
      </w:r>
    </w:p>
    <w:p w14:paraId="690BC830">
      <w:pPr>
        <w:adjustRightInd w:val="0"/>
        <w:snapToGrid w:val="0"/>
        <w:spacing w:line="560" w:lineRule="exact"/>
        <w:ind w:firstLine="640" w:firstLineChars="200"/>
        <w:rPr>
          <w:rFonts w:hint="eastAsia" w:ascii="仿宋_GB2312" w:hAnsi="宋体" w:eastAsia="仿宋_GB2312"/>
          <w:sz w:val="32"/>
          <w:szCs w:val="32"/>
        </w:rPr>
      </w:pPr>
      <w:r>
        <w:rPr>
          <w:rFonts w:hint="eastAsia" w:eastAsia="仿宋_GB2312"/>
          <w:sz w:val="32"/>
          <w:szCs w:val="32"/>
        </w:rPr>
        <w:t>1</w:t>
      </w:r>
      <w:r>
        <w:rPr>
          <w:rFonts w:hint="eastAsia" w:ascii="仿宋_GB2312" w:hAnsi="宋体" w:eastAsia="仿宋_GB2312"/>
          <w:sz w:val="32"/>
          <w:szCs w:val="32"/>
        </w:rPr>
        <w:t>.在资产管理合同等相关文件中向集合计划客户或定向客户充分揭示可能产生的风险；</w:t>
      </w:r>
    </w:p>
    <w:p w14:paraId="040BD8D2">
      <w:pPr>
        <w:adjustRightInd w:val="0"/>
        <w:snapToGrid w:val="0"/>
        <w:spacing w:line="560" w:lineRule="exact"/>
        <w:ind w:firstLine="640" w:firstLineChars="200"/>
        <w:rPr>
          <w:rFonts w:hint="eastAsia" w:ascii="仿宋_GB2312" w:hAnsi="宋体" w:eastAsia="仿宋_GB2312"/>
          <w:sz w:val="32"/>
          <w:szCs w:val="32"/>
        </w:rPr>
      </w:pPr>
      <w:r>
        <w:rPr>
          <w:rFonts w:hint="eastAsia" w:eastAsia="仿宋_GB2312"/>
          <w:sz w:val="32"/>
          <w:szCs w:val="32"/>
        </w:rPr>
        <w:t>2</w:t>
      </w:r>
      <w:r>
        <w:rPr>
          <w:rFonts w:hint="eastAsia" w:ascii="仿宋_GB2312" w:hAnsi="宋体" w:eastAsia="仿宋_GB2312"/>
          <w:sz w:val="32"/>
          <w:szCs w:val="32"/>
        </w:rPr>
        <w:t>.进行初始交易委托时，保证其相关资金账户内有足够的资金余额，交易指令申报成功后接受相应的清算与资金交收结果。因资金账户内资金余额不足或账户状态不正常导致交易无法申报、申报失败或资金交收失败的，由乙方自行承担责任。</w:t>
      </w:r>
    </w:p>
    <w:p w14:paraId="55899BAC">
      <w:pPr>
        <w:numPr>
          <w:ilvl w:val="0"/>
          <w:numId w:val="0"/>
        </w:numPr>
        <w:adjustRightInd w:val="0"/>
        <w:snapToGrid w:val="0"/>
        <w:spacing w:line="560" w:lineRule="exact"/>
        <w:ind w:left="170" w:leftChars="0" w:firstLine="550" w:firstLineChars="0"/>
        <w:rPr>
          <w:rFonts w:hint="eastAsia" w:ascii="仿宋_GB2312" w:hAnsi="宋体" w:eastAsia="仿宋_GB2312"/>
          <w:sz w:val="32"/>
          <w:szCs w:val="32"/>
        </w:rPr>
      </w:pPr>
      <w:r>
        <w:rPr>
          <w:rFonts w:hint="eastAsia" w:ascii="仿宋_GB2312" w:hAnsi="宋体" w:eastAsia="仿宋_GB2312" w:cs="Times New Roman"/>
          <w:b/>
          <w:kern w:val="2"/>
          <w:sz w:val="32"/>
          <w:szCs w:val="32"/>
          <w:lang w:val="en-US" w:eastAsia="zh-CN" w:bidi="ar-SA"/>
        </w:rPr>
        <w:t xml:space="preserve">第十五条 </w:t>
      </w:r>
      <w:r>
        <w:rPr>
          <w:rFonts w:hint="eastAsia" w:ascii="仿宋_GB2312" w:hAnsi="宋体" w:eastAsia="仿宋_GB2312"/>
          <w:sz w:val="32"/>
          <w:szCs w:val="32"/>
        </w:rPr>
        <w:t>业务协议应当约定丙方的权利义务。</w:t>
      </w:r>
    </w:p>
    <w:p w14:paraId="1B25F5D8">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（一）丙方权利包括：</w:t>
      </w:r>
    </w:p>
    <w:p w14:paraId="1A552993">
      <w:pPr>
        <w:tabs>
          <w:tab w:val="left" w:pos="0"/>
        </w:tabs>
        <w:adjustRightInd w:val="0"/>
        <w:snapToGrid w:val="0"/>
        <w:spacing w:line="560" w:lineRule="exact"/>
        <w:ind w:firstLine="640" w:firstLineChars="200"/>
        <w:rPr>
          <w:rFonts w:hint="eastAsia" w:ascii="仿宋_GB2312" w:hAnsi="宋体" w:eastAsia="仿宋_GB2312"/>
          <w:sz w:val="32"/>
          <w:szCs w:val="32"/>
        </w:rPr>
      </w:pPr>
      <w:r>
        <w:rPr>
          <w:rFonts w:hint="eastAsia" w:eastAsia="仿宋_GB2312"/>
          <w:sz w:val="32"/>
          <w:szCs w:val="32"/>
        </w:rPr>
        <w:t>1</w:t>
      </w:r>
      <w:r>
        <w:rPr>
          <w:rFonts w:hint="eastAsia" w:ascii="仿宋_GB2312" w:hAnsi="宋体" w:eastAsia="仿宋_GB2312"/>
          <w:sz w:val="32"/>
          <w:szCs w:val="32"/>
        </w:rPr>
        <w:t>.甲乙双方账户内没有足够资金或证券达成双方交易，或达成交易可能导致协议各方违反任何法律、法规或规则的，丙方有权拒绝甲乙双方交易委托，丙方无需就此向甲乙双方承担任何责任。</w:t>
      </w:r>
    </w:p>
    <w:p w14:paraId="5028B887">
      <w:pPr>
        <w:tabs>
          <w:tab w:val="left" w:pos="0"/>
        </w:tabs>
        <w:adjustRightInd w:val="0"/>
        <w:snapToGrid w:val="0"/>
        <w:spacing w:line="560" w:lineRule="exact"/>
        <w:ind w:firstLine="640" w:firstLineChars="200"/>
        <w:rPr>
          <w:rFonts w:hint="eastAsia" w:ascii="仿宋_GB2312" w:hAnsi="宋体" w:eastAsia="仿宋_GB2312"/>
          <w:sz w:val="32"/>
          <w:szCs w:val="32"/>
        </w:rPr>
      </w:pPr>
      <w:r>
        <w:rPr>
          <w:rFonts w:hint="eastAsia" w:eastAsia="仿宋_GB2312"/>
          <w:sz w:val="32"/>
          <w:szCs w:val="32"/>
        </w:rPr>
        <w:t>2</w:t>
      </w:r>
      <w:r>
        <w:rPr>
          <w:rFonts w:hint="eastAsia" w:ascii="仿宋_GB2312" w:hAnsi="宋体" w:eastAsia="仿宋_GB2312"/>
          <w:sz w:val="32"/>
          <w:szCs w:val="32"/>
        </w:rPr>
        <w:t>.丙方有权采取措施对甲方资金的使用情况进行跟踪，甲方违反本协议约定使用融入资金的，丙方有权督促甲方按照协议约定采取改正措施；未按照协议约定采取改正措施的，丙方有权要求甲方提前购回。</w:t>
      </w:r>
    </w:p>
    <w:p w14:paraId="453C01DD">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（二）丙方义务包括：</w:t>
      </w:r>
    </w:p>
    <w:p w14:paraId="2A204790">
      <w:pPr>
        <w:adjustRightInd w:val="0"/>
        <w:snapToGrid w:val="0"/>
        <w:spacing w:line="560" w:lineRule="exact"/>
        <w:ind w:firstLine="640" w:firstLineChars="200"/>
        <w:rPr>
          <w:rFonts w:hint="eastAsia" w:ascii="仿宋_GB2312" w:hAnsi="宋体" w:eastAsia="仿宋_GB2312"/>
          <w:sz w:val="32"/>
          <w:szCs w:val="32"/>
        </w:rPr>
      </w:pPr>
      <w:r>
        <w:rPr>
          <w:rFonts w:hint="eastAsia" w:eastAsia="仿宋_GB2312"/>
          <w:sz w:val="32"/>
          <w:szCs w:val="32"/>
        </w:rPr>
        <w:t>1</w:t>
      </w:r>
      <w:r>
        <w:rPr>
          <w:rFonts w:hint="eastAsia" w:ascii="仿宋_GB2312" w:hAnsi="宋体" w:eastAsia="仿宋_GB2312"/>
          <w:sz w:val="32"/>
          <w:szCs w:val="32"/>
        </w:rPr>
        <w:t>.根据甲乙双方委托申报交易指令；</w:t>
      </w:r>
    </w:p>
    <w:p w14:paraId="336635B5">
      <w:pPr>
        <w:adjustRightInd w:val="0"/>
        <w:snapToGrid w:val="0"/>
        <w:spacing w:line="560" w:lineRule="exact"/>
        <w:ind w:firstLine="640" w:firstLineChars="200"/>
        <w:rPr>
          <w:rFonts w:hint="eastAsia" w:ascii="仿宋_GB2312" w:hAnsi="宋体" w:eastAsia="仿宋_GB2312"/>
          <w:sz w:val="32"/>
          <w:szCs w:val="32"/>
        </w:rPr>
      </w:pPr>
      <w:r>
        <w:rPr>
          <w:rFonts w:hint="eastAsia" w:eastAsia="仿宋_GB2312"/>
          <w:sz w:val="32"/>
          <w:szCs w:val="32"/>
        </w:rPr>
        <w:t>2</w:t>
      </w:r>
      <w:r>
        <w:rPr>
          <w:rFonts w:hint="eastAsia" w:ascii="仿宋_GB2312" w:hAnsi="宋体" w:eastAsia="仿宋_GB2312"/>
          <w:sz w:val="32"/>
          <w:szCs w:val="32"/>
        </w:rPr>
        <w:t>.负责盯市管理，在履约保障比例达到或低于约定数值时，按照协议约定通知甲乙双方；</w:t>
      </w:r>
    </w:p>
    <w:p w14:paraId="732724C9">
      <w:pPr>
        <w:adjustRightInd w:val="0"/>
        <w:snapToGrid w:val="0"/>
        <w:spacing w:line="560" w:lineRule="exact"/>
        <w:ind w:firstLine="640" w:firstLineChars="200"/>
        <w:rPr>
          <w:rFonts w:hint="eastAsia" w:ascii="仿宋_GB2312" w:hAnsi="宋体" w:eastAsia="仿宋_GB2312"/>
          <w:sz w:val="32"/>
          <w:szCs w:val="32"/>
        </w:rPr>
      </w:pPr>
      <w:r>
        <w:rPr>
          <w:rFonts w:hint="eastAsia" w:eastAsia="仿宋_GB2312"/>
          <w:sz w:val="32"/>
          <w:szCs w:val="32"/>
        </w:rPr>
        <w:t>3</w:t>
      </w:r>
      <w:r>
        <w:rPr>
          <w:rFonts w:hint="eastAsia" w:ascii="仿宋_GB2312" w:hAnsi="宋体" w:eastAsia="仿宋_GB2312"/>
          <w:sz w:val="32"/>
          <w:szCs w:val="32"/>
        </w:rPr>
        <w:t>.甲方违约时，根据协议约定处置相应质押标的证券；</w:t>
      </w:r>
    </w:p>
    <w:p w14:paraId="3FBB3086">
      <w:pPr>
        <w:adjustRightInd w:val="0"/>
        <w:snapToGrid w:val="0"/>
        <w:spacing w:line="560" w:lineRule="exact"/>
        <w:ind w:firstLine="640" w:firstLineChars="200"/>
        <w:rPr>
          <w:rFonts w:hint="eastAsia" w:ascii="仿宋_GB2312" w:hAnsi="宋体" w:eastAsia="仿宋_GB2312"/>
          <w:sz w:val="32"/>
          <w:szCs w:val="32"/>
        </w:rPr>
      </w:pPr>
      <w:r>
        <w:rPr>
          <w:rFonts w:hint="eastAsia" w:eastAsia="仿宋_GB2312"/>
          <w:sz w:val="32"/>
          <w:szCs w:val="32"/>
        </w:rPr>
        <w:t>4</w:t>
      </w:r>
      <w:r>
        <w:rPr>
          <w:rFonts w:hint="eastAsia" w:ascii="仿宋_GB2312" w:hAnsi="宋体" w:eastAsia="仿宋_GB2312"/>
          <w:sz w:val="32"/>
          <w:szCs w:val="32"/>
        </w:rPr>
        <w:t>.甲方违约时，对于处置相应质押标的证券所得价款，优先偿还乙方，剩余资金返还甲方。</w:t>
      </w:r>
    </w:p>
    <w:p w14:paraId="0B41681D">
      <w:pPr>
        <w:numPr>
          <w:ilvl w:val="0"/>
          <w:numId w:val="0"/>
        </w:numPr>
        <w:adjustRightInd w:val="0"/>
        <w:snapToGrid w:val="0"/>
        <w:spacing w:line="560" w:lineRule="exact"/>
        <w:ind w:left="170" w:leftChars="0" w:firstLine="550" w:firstLineChars="0"/>
        <w:rPr>
          <w:rFonts w:hint="eastAsia" w:ascii="仿宋_GB2312" w:hAnsi="宋体" w:eastAsia="仿宋_GB2312"/>
          <w:sz w:val="32"/>
          <w:szCs w:val="32"/>
        </w:rPr>
      </w:pPr>
      <w:r>
        <w:rPr>
          <w:rFonts w:hint="eastAsia" w:ascii="仿宋_GB2312" w:hAnsi="宋体" w:eastAsia="仿宋_GB2312" w:cs="Times New Roman"/>
          <w:b/>
          <w:kern w:val="2"/>
          <w:sz w:val="32"/>
          <w:szCs w:val="32"/>
          <w:lang w:val="en-US" w:eastAsia="zh-CN" w:bidi="ar-SA"/>
        </w:rPr>
        <w:t xml:space="preserve">第十六条 </w:t>
      </w:r>
      <w:r>
        <w:rPr>
          <w:rFonts w:hint="eastAsia" w:ascii="仿宋_GB2312" w:hAnsi="宋体" w:eastAsia="仿宋_GB2312"/>
          <w:sz w:val="32"/>
          <w:szCs w:val="32"/>
        </w:rPr>
        <w:t>业务协议应当约定提前购回和延期购回的适用条件以及上述情形下购回交易金额的调整方式等内容。</w:t>
      </w:r>
    </w:p>
    <w:p w14:paraId="6743D56F">
      <w:pPr>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《业务协议》应当约定，待购回期间标的证券涉及跨市场吸收合并的，甲方应当提前购回。</w:t>
      </w:r>
    </w:p>
    <w:p w14:paraId="305FE64E">
      <w:pPr>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延期后累计的回购期限应当符合上交所和中国结算的相关规定。</w:t>
      </w:r>
    </w:p>
    <w:p w14:paraId="6A131626">
      <w:pPr>
        <w:numPr>
          <w:ilvl w:val="0"/>
          <w:numId w:val="0"/>
        </w:numPr>
        <w:adjustRightInd w:val="0"/>
        <w:snapToGrid w:val="0"/>
        <w:spacing w:line="560" w:lineRule="exact"/>
        <w:ind w:left="170" w:leftChars="0" w:firstLine="550" w:firstLineChars="0"/>
        <w:rPr>
          <w:rFonts w:hint="eastAsia" w:ascii="仿宋_GB2312" w:hAnsi="宋体" w:eastAsia="仿宋_GB2312"/>
          <w:sz w:val="32"/>
          <w:szCs w:val="32"/>
        </w:rPr>
      </w:pPr>
      <w:r>
        <w:rPr>
          <w:rFonts w:hint="eastAsia" w:ascii="仿宋_GB2312" w:hAnsi="宋体" w:eastAsia="仿宋_GB2312" w:cs="Times New Roman"/>
          <w:b/>
          <w:kern w:val="2"/>
          <w:sz w:val="32"/>
          <w:szCs w:val="32"/>
          <w:lang w:val="en-US" w:eastAsia="zh-CN" w:bidi="ar-SA"/>
        </w:rPr>
        <w:t xml:space="preserve">第十七条 </w:t>
      </w:r>
      <w:r>
        <w:rPr>
          <w:rFonts w:hint="eastAsia" w:ascii="仿宋_GB2312" w:hAnsi="宋体" w:eastAsia="仿宋_GB2312"/>
          <w:sz w:val="32"/>
          <w:szCs w:val="32"/>
        </w:rPr>
        <w:t>业务协议应当约定当履约保障比例达到或低于约定数值时，丙方应当通知甲方采取相应的措施。上述措施包括提前购回、补充质押标的证券、补充其他担保物以及其他方式。</w:t>
      </w:r>
    </w:p>
    <w:p w14:paraId="7945AB82">
      <w:pPr>
        <w:numPr>
          <w:ilvl w:val="0"/>
          <w:numId w:val="0"/>
        </w:numPr>
        <w:adjustRightInd w:val="0"/>
        <w:snapToGrid w:val="0"/>
        <w:spacing w:line="560" w:lineRule="exact"/>
        <w:ind w:left="170" w:leftChars="0" w:firstLine="550" w:firstLineChars="0"/>
        <w:rPr>
          <w:rFonts w:hint="eastAsia" w:ascii="仿宋_GB2312" w:hAnsi="宋体" w:eastAsia="仿宋_GB2312"/>
          <w:sz w:val="32"/>
          <w:szCs w:val="32"/>
        </w:rPr>
      </w:pPr>
      <w:r>
        <w:rPr>
          <w:rFonts w:hint="eastAsia" w:ascii="仿宋_GB2312" w:hAnsi="宋体" w:eastAsia="仿宋_GB2312" w:cs="Times New Roman"/>
          <w:b/>
          <w:kern w:val="2"/>
          <w:sz w:val="32"/>
          <w:szCs w:val="32"/>
          <w:lang w:val="en-US" w:eastAsia="zh-CN" w:bidi="ar-SA"/>
        </w:rPr>
        <w:t xml:space="preserve">第十八条 </w:t>
      </w:r>
      <w:r>
        <w:rPr>
          <w:rFonts w:hint="eastAsia" w:ascii="仿宋_GB2312" w:hAnsi="宋体" w:eastAsia="仿宋_GB2312"/>
          <w:sz w:val="32"/>
          <w:szCs w:val="32"/>
        </w:rPr>
        <w:t>业务协议应当对待购回期间标的证券相关权益处理事项加以约定，包括但不限于：</w:t>
      </w:r>
    </w:p>
    <w:p w14:paraId="00D1962A">
      <w:pPr>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（一）待购回期间，标的证券产生的无需支付对价的股东权益，如送股、转增股份、现金红利等，一并予以质押；</w:t>
      </w:r>
    </w:p>
    <w:p w14:paraId="037A6729">
      <w:pPr>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（二）待购回期间，标的证券产生的需支付对价的股东权益，如老股东配售方式的增发、配股等，由融入方自行行使，所取得的证券不随标的证券一并质押；</w:t>
      </w:r>
    </w:p>
    <w:p w14:paraId="09D42F38">
      <w:pPr>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（三）待购回期间，甲方基于股东身份享有出席股东会、提案、表决等权利。</w:t>
      </w:r>
    </w:p>
    <w:p w14:paraId="2C243378">
      <w:pPr>
        <w:numPr>
          <w:ilvl w:val="0"/>
          <w:numId w:val="0"/>
        </w:numPr>
        <w:adjustRightInd w:val="0"/>
        <w:snapToGrid w:val="0"/>
        <w:spacing w:line="560" w:lineRule="exact"/>
        <w:ind w:left="170" w:leftChars="0" w:firstLine="550" w:firstLineChars="0"/>
        <w:rPr>
          <w:rFonts w:hint="eastAsia" w:ascii="仿宋_GB2312" w:hAnsi="宋体" w:eastAsia="仿宋_GB2312"/>
          <w:sz w:val="32"/>
          <w:szCs w:val="32"/>
        </w:rPr>
      </w:pPr>
      <w:r>
        <w:rPr>
          <w:rFonts w:hint="eastAsia" w:ascii="仿宋_GB2312" w:hAnsi="宋体" w:eastAsia="仿宋_GB2312" w:cs="Times New Roman"/>
          <w:b/>
          <w:kern w:val="2"/>
          <w:sz w:val="32"/>
          <w:szCs w:val="32"/>
          <w:lang w:val="en-US" w:eastAsia="zh-CN" w:bidi="ar-SA"/>
        </w:rPr>
        <w:t xml:space="preserve">第十九条 </w:t>
      </w:r>
      <w:r>
        <w:rPr>
          <w:rFonts w:hint="eastAsia" w:ascii="仿宋_GB2312" w:hAnsi="宋体" w:eastAsia="仿宋_GB2312" w:cs="宋体"/>
          <w:kern w:val="0"/>
          <w:sz w:val="32"/>
          <w:szCs w:val="32"/>
        </w:rPr>
        <w:t>业务协议应当约定，甲方将有限售条件股份用于股票质押回购的，解除限售日应当早于回购到期日。</w:t>
      </w:r>
    </w:p>
    <w:p w14:paraId="03D75F0A">
      <w:pPr>
        <w:adjustRightInd w:val="0"/>
        <w:snapToGrid w:val="0"/>
        <w:spacing w:line="560" w:lineRule="exact"/>
        <w:ind w:left="170" w:leftChars="81" w:firstLine="640" w:firstLineChars="200"/>
        <w:rPr>
          <w:rFonts w:hint="eastAsia" w:ascii="仿宋_GB2312" w:hAnsi="宋体" w:eastAsia="仿宋_GB2312"/>
          <w:sz w:val="32"/>
          <w:szCs w:val="32"/>
        </w:rPr>
      </w:pPr>
      <w:r>
        <w:rPr>
          <w:rFonts w:hint="eastAsia" w:ascii="仿宋_GB2312" w:hAnsi="宋体" w:eastAsia="仿宋_GB2312" w:cs="宋体"/>
          <w:kern w:val="0"/>
          <w:sz w:val="32"/>
          <w:szCs w:val="32"/>
        </w:rPr>
        <w:t>业务协议应当约定，在解除限售条件满足时，甲方应当及时要求上市公司申请办理解除限售手续。</w:t>
      </w:r>
    </w:p>
    <w:p w14:paraId="7865C385">
      <w:pPr>
        <w:numPr>
          <w:ilvl w:val="0"/>
          <w:numId w:val="0"/>
        </w:numPr>
        <w:adjustRightInd w:val="0"/>
        <w:snapToGrid w:val="0"/>
        <w:spacing w:line="560" w:lineRule="exact"/>
        <w:ind w:left="170" w:leftChars="0" w:firstLine="550" w:firstLineChars="0"/>
        <w:rPr>
          <w:rFonts w:hint="eastAsia" w:ascii="仿宋_GB2312" w:hAnsi="宋体" w:eastAsia="仿宋_GB2312"/>
          <w:sz w:val="32"/>
          <w:szCs w:val="32"/>
        </w:rPr>
      </w:pPr>
      <w:r>
        <w:rPr>
          <w:rFonts w:hint="eastAsia" w:ascii="仿宋_GB2312" w:hAnsi="宋体" w:eastAsia="仿宋_GB2312" w:cs="Times New Roman"/>
          <w:b/>
          <w:kern w:val="2"/>
          <w:sz w:val="32"/>
          <w:szCs w:val="32"/>
          <w:lang w:val="en-US" w:eastAsia="zh-CN" w:bidi="ar-SA"/>
        </w:rPr>
        <w:t xml:space="preserve">第二十条 </w:t>
      </w:r>
      <w:r>
        <w:rPr>
          <w:rFonts w:hint="eastAsia" w:ascii="仿宋_GB2312" w:hAnsi="宋体" w:eastAsia="仿宋_GB2312"/>
          <w:sz w:val="32"/>
          <w:szCs w:val="32"/>
        </w:rPr>
        <w:t>业务协议应当约定违约事件的情形及其处理方式等，包括但不限于：</w:t>
      </w:r>
    </w:p>
    <w:p w14:paraId="730AAAB1">
      <w:pPr>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（一）甲方的各种违约事件，以及甲方相应的违约责任及处理方式；</w:t>
      </w:r>
    </w:p>
    <w:p w14:paraId="7B433F5C">
      <w:pPr>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（二）乙方的各种违约事件，以及乙方相应的违约责任及处理方式；</w:t>
      </w:r>
    </w:p>
    <w:p w14:paraId="5DE29E63">
      <w:pPr>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（三）丙方的各种违约事件，以及丙方相应的违约责任及处理方式。</w:t>
      </w:r>
    </w:p>
    <w:p w14:paraId="59E32071">
      <w:pPr>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业务协议应当约定，甲方同意丙方向监管部门、上交所、中国结算、中国证券业协会、征信机构等报送甲方相关违约信息，并同意通过上述单位披露相关违约信息。</w:t>
      </w:r>
    </w:p>
    <w:p w14:paraId="79607F24">
      <w:pPr>
        <w:adjustRightInd w:val="0"/>
        <w:snapToGrid w:val="0"/>
        <w:spacing w:line="560" w:lineRule="exact"/>
        <w:ind w:firstLine="640" w:firstLineChars="200"/>
        <w:rPr>
          <w:rFonts w:ascii="仿宋_GB2312" w:eastAsia="仿宋_GB2312"/>
          <w:sz w:val="32"/>
          <w:szCs w:val="32"/>
        </w:rPr>
      </w:pPr>
      <w:r>
        <w:rPr>
          <w:rFonts w:hint="eastAsia" w:ascii="仿宋_GB2312" w:hAnsi="宋体" w:eastAsia="仿宋_GB2312"/>
          <w:sz w:val="32"/>
          <w:szCs w:val="32"/>
        </w:rPr>
        <w:t>质押标的证券为有限售条件股份且仍处于限售期的，业务协议应当约定具体的处理方式；</w:t>
      </w:r>
      <w:r>
        <w:rPr>
          <w:rFonts w:hint="eastAsia" w:ascii="仿宋_GB2312" w:hAnsi="ˎ̥" w:eastAsia="仿宋_GB2312" w:cs="宋体"/>
          <w:kern w:val="0"/>
          <w:sz w:val="32"/>
          <w:szCs w:val="32"/>
        </w:rPr>
        <w:t>质押标的证券为个人持有的有限售条件股份的，业务协议应当根据相关法律法规的规定，明确处置时税费的处理</w:t>
      </w:r>
      <w:r>
        <w:rPr>
          <w:rFonts w:hint="eastAsia" w:ascii="仿宋_GB2312" w:hAnsi="宋体" w:eastAsia="仿宋_GB2312"/>
          <w:sz w:val="32"/>
          <w:szCs w:val="32"/>
        </w:rPr>
        <w:t>。</w:t>
      </w:r>
    </w:p>
    <w:p w14:paraId="05FA7E18">
      <w:pPr>
        <w:numPr>
          <w:ilvl w:val="0"/>
          <w:numId w:val="0"/>
        </w:numPr>
        <w:adjustRightInd w:val="0"/>
        <w:snapToGrid w:val="0"/>
        <w:spacing w:line="560" w:lineRule="exact"/>
        <w:ind w:left="0" w:leftChars="0" w:firstLine="550" w:firstLineChars="0"/>
        <w:rPr>
          <w:rFonts w:hint="eastAsia" w:ascii="仿宋_GB2312" w:hAnsi="宋体" w:eastAsia="仿宋_GB2312"/>
          <w:sz w:val="32"/>
          <w:szCs w:val="32"/>
        </w:rPr>
      </w:pPr>
      <w:r>
        <w:rPr>
          <w:rFonts w:hint="eastAsia" w:ascii="仿宋_GB2312" w:hAnsi="宋体" w:eastAsia="仿宋_GB2312" w:cs="Times New Roman"/>
          <w:b/>
          <w:kern w:val="2"/>
          <w:sz w:val="32"/>
          <w:szCs w:val="32"/>
          <w:lang w:val="en-US" w:eastAsia="zh-CN" w:bidi="ar-SA"/>
        </w:rPr>
        <w:t xml:space="preserve">第二十一条 </w:t>
      </w:r>
      <w:r>
        <w:rPr>
          <w:rFonts w:hint="eastAsia" w:ascii="仿宋_GB2312" w:hAnsi="宋体" w:eastAsia="仿宋_GB2312"/>
          <w:sz w:val="32"/>
          <w:szCs w:val="32"/>
        </w:rPr>
        <w:t>业务协议应当约定质押标的证券、相应孳息和补充其他担保物的担保范围，以及处置流程及方式、处置所得的偿还顺序等具体内容。</w:t>
      </w:r>
    </w:p>
    <w:p w14:paraId="75C4157D">
      <w:pPr>
        <w:numPr>
          <w:ilvl w:val="0"/>
          <w:numId w:val="0"/>
        </w:numPr>
        <w:adjustRightInd w:val="0"/>
        <w:snapToGrid w:val="0"/>
        <w:spacing w:line="560" w:lineRule="exact"/>
        <w:ind w:left="0" w:leftChars="0" w:firstLine="550" w:firstLineChars="0"/>
        <w:rPr>
          <w:rFonts w:hint="eastAsia" w:ascii="仿宋_GB2312" w:hAnsi="宋体" w:eastAsia="仿宋_GB2312"/>
          <w:sz w:val="32"/>
          <w:szCs w:val="32"/>
        </w:rPr>
      </w:pPr>
      <w:r>
        <w:rPr>
          <w:rFonts w:hint="eastAsia" w:ascii="仿宋_GB2312" w:hAnsi="宋体" w:eastAsia="仿宋_GB2312" w:cs="Times New Roman"/>
          <w:b/>
          <w:kern w:val="2"/>
          <w:sz w:val="32"/>
          <w:szCs w:val="32"/>
          <w:lang w:val="en-US" w:eastAsia="zh-CN" w:bidi="ar-SA"/>
        </w:rPr>
        <w:t xml:space="preserve">第二十二条 </w:t>
      </w:r>
      <w:r>
        <w:rPr>
          <w:rFonts w:hint="eastAsia" w:ascii="仿宋_GB2312" w:hAnsi="宋体" w:eastAsia="仿宋_GB2312"/>
          <w:sz w:val="32"/>
          <w:szCs w:val="32"/>
        </w:rPr>
        <w:t>业务协议应当约定终止购回的适用情形、处理方式及法律后果。</w:t>
      </w:r>
    </w:p>
    <w:p w14:paraId="7E795424">
      <w:pPr>
        <w:numPr>
          <w:ilvl w:val="0"/>
          <w:numId w:val="0"/>
        </w:numPr>
        <w:adjustRightInd w:val="0"/>
        <w:snapToGrid w:val="0"/>
        <w:spacing w:line="560" w:lineRule="exact"/>
        <w:ind w:left="0" w:leftChars="0" w:firstLine="550" w:firstLineChars="0"/>
        <w:rPr>
          <w:rFonts w:hint="eastAsia" w:ascii="仿宋_GB2312" w:hAnsi="宋体" w:eastAsia="仿宋_GB2312"/>
          <w:sz w:val="32"/>
          <w:szCs w:val="32"/>
        </w:rPr>
      </w:pPr>
      <w:r>
        <w:rPr>
          <w:rFonts w:hint="eastAsia" w:ascii="仿宋_GB2312" w:hAnsi="宋体" w:eastAsia="仿宋_GB2312" w:cs="Times New Roman"/>
          <w:b/>
          <w:kern w:val="2"/>
          <w:sz w:val="32"/>
          <w:szCs w:val="32"/>
          <w:lang w:val="en-US" w:eastAsia="zh-CN" w:bidi="ar-SA"/>
        </w:rPr>
        <w:t xml:space="preserve">第二十三条 </w:t>
      </w:r>
      <w:r>
        <w:rPr>
          <w:rFonts w:hint="eastAsia" w:ascii="仿宋_GB2312" w:hAnsi="宋体" w:eastAsia="仿宋_GB2312"/>
          <w:sz w:val="32"/>
          <w:szCs w:val="32"/>
        </w:rPr>
        <w:t>业务协议应当约定发生异常情况的情形及其处理方式、法律后果。异常情况包括：</w:t>
      </w:r>
    </w:p>
    <w:p w14:paraId="0F9DF379">
      <w:pPr>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（一）质押的证券、证券账户或资金账户被司法等机关冻结或强制执行；</w:t>
      </w:r>
    </w:p>
    <w:p w14:paraId="39922F51">
      <w:pPr>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（二）质押标的证券被作出终止上市决定；</w:t>
      </w:r>
    </w:p>
    <w:p w14:paraId="382DFF68">
      <w:pPr>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（三）集合资产管理计划提前终止；</w:t>
      </w:r>
    </w:p>
    <w:p w14:paraId="57AC0F79">
      <w:pPr>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（四）丙方被暂停或终止股票质押回购权限；</w:t>
      </w:r>
    </w:p>
    <w:p w14:paraId="7EDA74DD">
      <w:pPr>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（五）丙方进入风险处置或破产程序；</w:t>
      </w:r>
    </w:p>
    <w:p w14:paraId="1DC22F4F">
      <w:pPr>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（六）上交所认定的其他情形。</w:t>
      </w:r>
    </w:p>
    <w:p w14:paraId="3D9DA844">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业务协议还应当约定，因甲方、乙方或丙方自身的过错导致异常情况发生的，其应当承担的违约责任。</w:t>
      </w:r>
    </w:p>
    <w:p w14:paraId="644D05E1">
      <w:pPr>
        <w:numPr>
          <w:ilvl w:val="0"/>
          <w:numId w:val="0"/>
        </w:numPr>
        <w:adjustRightInd w:val="0"/>
        <w:snapToGrid w:val="0"/>
        <w:spacing w:line="560" w:lineRule="exact"/>
        <w:ind w:left="0" w:leftChars="0" w:firstLine="550" w:firstLineChars="0"/>
        <w:rPr>
          <w:rFonts w:hint="eastAsia" w:ascii="仿宋_GB2312" w:hAnsi="宋体" w:eastAsia="仿宋_GB2312"/>
          <w:sz w:val="32"/>
          <w:szCs w:val="32"/>
        </w:rPr>
      </w:pPr>
      <w:r>
        <w:rPr>
          <w:rFonts w:hint="eastAsia" w:ascii="仿宋_GB2312" w:hAnsi="宋体" w:eastAsia="仿宋_GB2312" w:cs="Times New Roman"/>
          <w:b/>
          <w:kern w:val="2"/>
          <w:sz w:val="32"/>
          <w:szCs w:val="32"/>
          <w:lang w:val="en-US" w:eastAsia="zh-CN" w:bidi="ar-SA"/>
        </w:rPr>
        <w:t xml:space="preserve">第二十四条 </w:t>
      </w:r>
      <w:r>
        <w:rPr>
          <w:rFonts w:hint="eastAsia" w:ascii="仿宋_GB2312" w:hAnsi="宋体" w:eastAsia="仿宋_GB2312"/>
          <w:sz w:val="32"/>
          <w:szCs w:val="32"/>
        </w:rPr>
        <w:t>业务协议应当载明通知与送达的有关事项，包括但不限于：</w:t>
      </w:r>
    </w:p>
    <w:p w14:paraId="79E76605">
      <w:pPr>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（一）甲乙丙三方的详细联络方式，例如通信地址、邮政编码、指定联络人、固定电话号码、传真号码、移动电话号码、电子信箱等。业务协议还应当约定一方联络方式变更时，通知另一方的方式和时间；</w:t>
      </w:r>
    </w:p>
    <w:p w14:paraId="3D41D37D">
      <w:pPr>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（二）丙方履行各项通知义务的方式，如自行签领书面通知、电子邮件通知、短信通知、邮寄书面通知、电话通知、公告通知等，并应当约定丙方发出上述通知后视为送达的期限。</w:t>
      </w:r>
    </w:p>
    <w:p w14:paraId="215B3E0D">
      <w:pPr>
        <w:numPr>
          <w:ilvl w:val="0"/>
          <w:numId w:val="0"/>
        </w:numPr>
        <w:adjustRightInd w:val="0"/>
        <w:snapToGrid w:val="0"/>
        <w:spacing w:line="560" w:lineRule="exact"/>
        <w:ind w:left="170" w:leftChars="0" w:firstLine="550" w:firstLineChars="0"/>
        <w:rPr>
          <w:rFonts w:hint="eastAsia" w:ascii="仿宋_GB2312" w:hAnsi="宋体" w:eastAsia="仿宋_GB2312"/>
          <w:sz w:val="32"/>
          <w:szCs w:val="32"/>
        </w:rPr>
      </w:pPr>
      <w:r>
        <w:rPr>
          <w:rFonts w:hint="eastAsia" w:ascii="仿宋_GB2312" w:hAnsi="宋体" w:eastAsia="仿宋_GB2312" w:cs="Times New Roman"/>
          <w:b/>
          <w:kern w:val="2"/>
          <w:sz w:val="32"/>
          <w:szCs w:val="32"/>
          <w:lang w:val="en-US" w:eastAsia="zh-CN" w:bidi="ar-SA"/>
        </w:rPr>
        <w:t xml:space="preserve">第二十五条 </w:t>
      </w:r>
      <w:r>
        <w:rPr>
          <w:rFonts w:hint="eastAsia" w:ascii="仿宋_GB2312" w:hAnsi="宋体" w:eastAsia="仿宋_GB2312"/>
          <w:sz w:val="32"/>
          <w:szCs w:val="32"/>
        </w:rPr>
        <w:t>业务协议应当载明因火灾、地震等不可抗力，非因丙方自身原因导致的技术系统异常事故，法律、法规、政策修改，法律法规规定的其他免责情形等因素，导致协议任何一方不能及时或完全履行协议，免除其相应责任的条款。</w:t>
      </w:r>
    </w:p>
    <w:p w14:paraId="446831D1">
      <w:pPr>
        <w:numPr>
          <w:ilvl w:val="0"/>
          <w:numId w:val="0"/>
        </w:numPr>
        <w:adjustRightInd w:val="0"/>
        <w:snapToGrid w:val="0"/>
        <w:spacing w:line="560" w:lineRule="exact"/>
        <w:ind w:left="0" w:leftChars="0" w:firstLine="550" w:firstLineChars="0"/>
        <w:rPr>
          <w:rFonts w:hint="eastAsia" w:ascii="仿宋_GB2312" w:hAnsi="宋体" w:eastAsia="仿宋_GB2312"/>
          <w:sz w:val="32"/>
          <w:szCs w:val="32"/>
        </w:rPr>
      </w:pPr>
      <w:r>
        <w:rPr>
          <w:rFonts w:hint="eastAsia" w:ascii="仿宋_GB2312" w:hAnsi="宋体" w:eastAsia="仿宋_GB2312" w:cs="Times New Roman"/>
          <w:b/>
          <w:kern w:val="2"/>
          <w:sz w:val="32"/>
          <w:szCs w:val="32"/>
          <w:lang w:val="en-US" w:eastAsia="zh-CN" w:bidi="ar-SA"/>
        </w:rPr>
        <w:t xml:space="preserve">第二十六条 </w:t>
      </w:r>
      <w:r>
        <w:rPr>
          <w:rFonts w:hint="eastAsia" w:ascii="仿宋_GB2312" w:hAnsi="宋体" w:eastAsia="仿宋_GB2312"/>
          <w:sz w:val="32"/>
          <w:szCs w:val="32"/>
        </w:rPr>
        <w:t>业务协议应当载明适用的法律和争议处理方式，并明确约定因股票质押回购产生的任何争议、纠纷，由协议各方协商或通过约定的争议处理方式解决。</w:t>
      </w:r>
    </w:p>
    <w:p w14:paraId="6C4C087F">
      <w:pPr>
        <w:adjustRightInd w:val="0"/>
        <w:snapToGrid w:val="0"/>
        <w:spacing w:line="56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甲乙丙三方之间的纠纷，不影响中国结算上海分公司依据上交所确认结果已经办理或正在办理的证券质押登记和资金交收等业务。</w:t>
      </w:r>
    </w:p>
    <w:p w14:paraId="3BEEEDB8">
      <w:pPr>
        <w:numPr>
          <w:ilvl w:val="0"/>
          <w:numId w:val="0"/>
        </w:numPr>
        <w:adjustRightInd w:val="0"/>
        <w:snapToGrid w:val="0"/>
        <w:spacing w:line="560" w:lineRule="exact"/>
        <w:ind w:left="0" w:leftChars="0" w:firstLine="550" w:firstLineChars="0"/>
        <w:rPr>
          <w:rFonts w:hint="eastAsia" w:ascii="仿宋_GB2312" w:hAnsi="宋体" w:eastAsia="仿宋_GB2312"/>
          <w:sz w:val="32"/>
          <w:szCs w:val="32"/>
        </w:rPr>
      </w:pPr>
      <w:r>
        <w:rPr>
          <w:rFonts w:hint="eastAsia" w:ascii="仿宋_GB2312" w:hAnsi="宋体" w:eastAsia="仿宋_GB2312" w:cs="Times New Roman"/>
          <w:b/>
          <w:kern w:val="2"/>
          <w:sz w:val="32"/>
          <w:szCs w:val="32"/>
          <w:lang w:val="en-US" w:eastAsia="zh-CN" w:bidi="ar-SA"/>
        </w:rPr>
        <w:t xml:space="preserve">第二十七条 </w:t>
      </w:r>
      <w:r>
        <w:rPr>
          <w:rFonts w:hint="eastAsia" w:ascii="仿宋_GB2312" w:hAnsi="宋体" w:eastAsia="仿宋_GB2312"/>
          <w:sz w:val="32"/>
          <w:szCs w:val="32"/>
        </w:rPr>
        <w:t>业务协议应当载明甲方为个人的，业务协议由甲方本人签字；甲方为机构的，业务协议由甲方法定代表人或授权代表签字，并加盖公章。</w:t>
      </w:r>
    </w:p>
    <w:p w14:paraId="58226FCD">
      <w:pPr>
        <w:numPr>
          <w:ilvl w:val="0"/>
          <w:numId w:val="0"/>
        </w:numPr>
        <w:adjustRightInd w:val="0"/>
        <w:snapToGrid w:val="0"/>
        <w:spacing w:line="560" w:lineRule="exact"/>
        <w:ind w:left="0" w:leftChars="0" w:firstLine="550" w:firstLineChars="0"/>
        <w:rPr>
          <w:rFonts w:hint="eastAsia" w:ascii="仿宋_GB2312" w:hAnsi="宋体" w:eastAsia="仿宋_GB2312"/>
          <w:sz w:val="32"/>
          <w:szCs w:val="32"/>
        </w:rPr>
      </w:pPr>
      <w:r>
        <w:rPr>
          <w:rFonts w:hint="eastAsia" w:ascii="仿宋_GB2312" w:hAnsi="宋体" w:eastAsia="仿宋_GB2312" w:cs="Times New Roman"/>
          <w:b/>
          <w:kern w:val="2"/>
          <w:sz w:val="32"/>
          <w:szCs w:val="32"/>
          <w:lang w:val="en-US" w:eastAsia="zh-CN" w:bidi="ar-SA"/>
        </w:rPr>
        <w:t xml:space="preserve">第二十八条 </w:t>
      </w:r>
      <w:r>
        <w:rPr>
          <w:rFonts w:hint="eastAsia" w:ascii="仿宋_GB2312" w:hAnsi="宋体" w:eastAsia="仿宋_GB2312"/>
          <w:sz w:val="32"/>
          <w:szCs w:val="32"/>
        </w:rPr>
        <w:t>业务协议应当约定协议成立与生效条件、协议期限、协议终止条件、协议份数等事项。</w:t>
      </w:r>
    </w:p>
    <w:p w14:paraId="3C280203">
      <w:pPr>
        <w:numPr>
          <w:ilvl w:val="0"/>
          <w:numId w:val="0"/>
        </w:numPr>
        <w:adjustRightInd w:val="0"/>
        <w:snapToGrid w:val="0"/>
        <w:spacing w:line="560" w:lineRule="exact"/>
        <w:ind w:left="0" w:leftChars="0" w:firstLine="550" w:firstLineChars="0"/>
        <w:rPr>
          <w:rFonts w:ascii="仿宋_GB2312" w:eastAsia="仿宋_GB2312"/>
          <w:sz w:val="32"/>
          <w:szCs w:val="32"/>
        </w:rPr>
      </w:pPr>
      <w:r>
        <w:rPr>
          <w:rFonts w:ascii="仿宋_GB2312" w:hAnsi="Times New Roman" w:eastAsia="仿宋_GB2312" w:cs="Times New Roman"/>
          <w:b/>
          <w:kern w:val="2"/>
          <w:sz w:val="32"/>
          <w:szCs w:val="32"/>
          <w:lang w:val="en-US" w:eastAsia="zh-CN" w:bidi="ar-SA"/>
        </w:rPr>
        <w:t>第二十九</w:t>
      </w:r>
      <w:r>
        <w:rPr>
          <w:rFonts w:hint="eastAsia" w:ascii="仿宋_GB2312" w:eastAsia="仿宋_GB2312" w:cs="Times New Roman"/>
          <w:b/>
          <w:kern w:val="2"/>
          <w:sz w:val="32"/>
          <w:szCs w:val="32"/>
          <w:lang w:val="en-US" w:eastAsia="zh-CN" w:bidi="ar-SA"/>
        </w:rPr>
        <w:t xml:space="preserve">条 </w:t>
      </w:r>
      <w:r>
        <w:rPr>
          <w:rFonts w:hint="eastAsia" w:ascii="仿宋_GB2312" w:hAnsi="宋体" w:eastAsia="仿宋_GB2312"/>
          <w:sz w:val="32"/>
          <w:szCs w:val="32"/>
        </w:rPr>
        <w:t>业务协议应当在签章前明确载明“甲方、乙方已经认真阅读并全面接受业务协议全部条款，已充分知悉、理解业务协议项下的权利、义务和责任，自愿参与股票质押回购，并承担由此产生的风险和法律后果。”</w:t>
      </w:r>
    </w:p>
    <w:p w14:paraId="65E1EE33">
      <w:pPr>
        <w:adjustRightInd w:val="0"/>
        <w:snapToGrid w:val="0"/>
        <w:spacing w:line="560" w:lineRule="exact"/>
        <w:rPr>
          <w:rFonts w:hint="eastAsia" w:ascii="仿宋_GB2312" w:hAnsi="宋体" w:eastAsia="仿宋_GB2312" w:cs="Arial"/>
          <w:b/>
          <w:kern w:val="0"/>
          <w:sz w:val="32"/>
          <w:szCs w:val="32"/>
        </w:rPr>
      </w:pPr>
      <w:r>
        <w:br w:type="page"/>
      </w:r>
      <w:r>
        <w:rPr>
          <w:rFonts w:hint="eastAsia" w:ascii="仿宋_GB2312" w:hAnsi="宋体" w:eastAsia="仿宋_GB2312" w:cs="Arial"/>
          <w:b/>
          <w:kern w:val="0"/>
          <w:sz w:val="32"/>
          <w:szCs w:val="32"/>
        </w:rPr>
        <w:t>附件</w:t>
      </w:r>
      <w:r>
        <w:rPr>
          <w:rFonts w:hint="eastAsia" w:eastAsia="仿宋_GB2312" w:cs="Arial"/>
          <w:b/>
          <w:kern w:val="0"/>
          <w:sz w:val="32"/>
          <w:szCs w:val="32"/>
        </w:rPr>
        <w:t>3</w:t>
      </w:r>
    </w:p>
    <w:p w14:paraId="277C14D0">
      <w:pPr>
        <w:adjustRightInd w:val="0"/>
        <w:snapToGrid w:val="0"/>
        <w:spacing w:line="560" w:lineRule="exact"/>
        <w:rPr>
          <w:rFonts w:hint="eastAsia" w:ascii="仿宋_GB2312" w:hAnsi="宋体" w:eastAsia="仿宋_GB2312" w:cs="Arial"/>
          <w:kern w:val="0"/>
          <w:sz w:val="32"/>
          <w:szCs w:val="32"/>
        </w:rPr>
      </w:pPr>
    </w:p>
    <w:p w14:paraId="5E3733D2">
      <w:pPr>
        <w:adjustRightInd w:val="0"/>
        <w:snapToGrid w:val="0"/>
        <w:spacing w:line="560" w:lineRule="exact"/>
        <w:jc w:val="center"/>
        <w:rPr>
          <w:rFonts w:hint="eastAsia" w:ascii="方正大标宋简体" w:hAnsi="黑体" w:eastAsia="方正大标宋简体"/>
          <w:sz w:val="44"/>
          <w:szCs w:val="44"/>
        </w:rPr>
      </w:pPr>
      <w:r>
        <w:rPr>
          <w:rFonts w:hint="eastAsia" w:ascii="方正大标宋简体" w:hAnsi="黑体" w:eastAsia="方正大标宋简体"/>
          <w:sz w:val="44"/>
          <w:szCs w:val="44"/>
        </w:rPr>
        <w:t>股票质押式回购交易风险揭示书必备条款</w:t>
      </w:r>
    </w:p>
    <w:p w14:paraId="06CBEB57">
      <w:pPr>
        <w:tabs>
          <w:tab w:val="left" w:pos="1155"/>
        </w:tabs>
        <w:adjustRightInd w:val="0"/>
        <w:snapToGrid w:val="0"/>
        <w:spacing w:line="560" w:lineRule="exact"/>
        <w:rPr>
          <w:rFonts w:ascii="仿宋_GB2312" w:eastAsia="仿宋_GB2312"/>
          <w:sz w:val="32"/>
          <w:szCs w:val="32"/>
        </w:rPr>
      </w:pPr>
    </w:p>
    <w:p w14:paraId="5810193C">
      <w:pPr>
        <w:widowControl/>
        <w:adjustRightInd w:val="0"/>
        <w:snapToGrid w:val="0"/>
        <w:spacing w:line="560" w:lineRule="exact"/>
        <w:ind w:firstLine="640" w:firstLineChars="200"/>
        <w:rPr>
          <w:rFonts w:hint="eastAsia" w:ascii="仿宋_GB2312" w:hAnsi="宋体" w:eastAsia="仿宋_GB2312" w:cs="Arial"/>
          <w:kern w:val="0"/>
          <w:sz w:val="32"/>
          <w:szCs w:val="32"/>
        </w:rPr>
      </w:pPr>
      <w:r>
        <w:rPr>
          <w:rFonts w:hint="eastAsia" w:ascii="仿宋_GB2312" w:hAnsi="宋体" w:eastAsia="仿宋_GB2312" w:cs="Arial"/>
          <w:kern w:val="0"/>
          <w:sz w:val="32"/>
          <w:szCs w:val="32"/>
        </w:rPr>
        <w:t>为了使融入方、融出方客户（融出方为集合资产管理计划或定向资产管理客户时）充分了解股票质押式回购交易（以下简称股票质押回购）风险，开展股票质押回购的证券公司应针对融入方制订《股票质押式回购交易融入方风险揭示书》（以下简称《融入方风险揭示书》），集合资产管理计划或定向资产管理人应针对融出方客户在相关风险揭示书中加入特别条款，充分揭示股票质押回购存在的风险。</w:t>
      </w:r>
    </w:p>
    <w:p w14:paraId="7CA4E836">
      <w:pPr>
        <w:widowControl/>
        <w:adjustRightInd w:val="0"/>
        <w:snapToGrid w:val="0"/>
        <w:spacing w:line="560" w:lineRule="exact"/>
        <w:ind w:firstLine="643" w:firstLineChars="200"/>
        <w:rPr>
          <w:rFonts w:hint="eastAsia" w:ascii="黑体" w:hAnsi="黑体" w:eastAsia="黑体" w:cs="Arial"/>
          <w:b/>
          <w:kern w:val="0"/>
          <w:sz w:val="32"/>
          <w:szCs w:val="32"/>
        </w:rPr>
      </w:pPr>
      <w:r>
        <w:rPr>
          <w:rFonts w:hint="eastAsia" w:ascii="黑体" w:hAnsi="黑体" w:eastAsia="黑体" w:cs="Arial"/>
          <w:b/>
          <w:kern w:val="0"/>
          <w:sz w:val="32"/>
          <w:szCs w:val="32"/>
        </w:rPr>
        <w:t>一、《融入方风险揭示书》至少应包括下列内容：</w:t>
      </w:r>
    </w:p>
    <w:p w14:paraId="5D6D6284">
      <w:pPr>
        <w:widowControl/>
        <w:adjustRightInd w:val="0"/>
        <w:snapToGrid w:val="0"/>
        <w:spacing w:line="560" w:lineRule="exact"/>
        <w:ind w:firstLine="640" w:firstLineChars="200"/>
        <w:rPr>
          <w:rFonts w:hint="eastAsia" w:ascii="仿宋_GB2312" w:hAnsi="宋体" w:eastAsia="仿宋_GB2312" w:cs="Arial"/>
          <w:kern w:val="0"/>
          <w:sz w:val="32"/>
          <w:szCs w:val="32"/>
        </w:rPr>
      </w:pPr>
      <w:r>
        <w:rPr>
          <w:rFonts w:hint="eastAsia" w:ascii="仿宋_GB2312" w:hAnsi="宋体" w:eastAsia="仿宋_GB2312" w:cs="Arial"/>
          <w:kern w:val="0"/>
          <w:sz w:val="32"/>
          <w:szCs w:val="32"/>
        </w:rPr>
        <w:t>（一）【总则】股票质押回购业务具有市场风险、信用风险、利益冲突风险、操作风险及其他各类风险。</w:t>
      </w:r>
    </w:p>
    <w:p w14:paraId="48694861">
      <w:pPr>
        <w:widowControl/>
        <w:adjustRightInd w:val="0"/>
        <w:snapToGrid w:val="0"/>
        <w:spacing w:line="560" w:lineRule="exact"/>
        <w:ind w:firstLine="640" w:firstLineChars="200"/>
        <w:rPr>
          <w:rFonts w:hint="eastAsia" w:ascii="仿宋_GB2312" w:hAnsi="宋体" w:eastAsia="仿宋_GB2312" w:cs="Arial"/>
          <w:kern w:val="0"/>
          <w:sz w:val="32"/>
          <w:szCs w:val="32"/>
        </w:rPr>
      </w:pPr>
      <w:r>
        <w:rPr>
          <w:rFonts w:hint="eastAsia" w:ascii="仿宋_GB2312" w:hAnsi="宋体" w:eastAsia="仿宋_GB2312" w:cs="Arial"/>
          <w:kern w:val="0"/>
          <w:sz w:val="32"/>
          <w:szCs w:val="32"/>
        </w:rPr>
        <w:t>（二）【融入方适当性】融入方应当根据自身财务状况、实际需求、风险承受能力以及内部管理要求（若为机构），慎重考虑是否适宜参与股票质押回购。</w:t>
      </w:r>
    </w:p>
    <w:p w14:paraId="0A0A96B2">
      <w:pPr>
        <w:widowControl/>
        <w:adjustRightInd w:val="0"/>
        <w:snapToGrid w:val="0"/>
        <w:spacing w:line="560" w:lineRule="exact"/>
        <w:ind w:firstLine="640" w:firstLineChars="200"/>
        <w:rPr>
          <w:rFonts w:hint="eastAsia" w:ascii="仿宋_GB2312" w:hAnsi="宋体" w:eastAsia="仿宋_GB2312" w:cs="Arial"/>
          <w:kern w:val="0"/>
          <w:sz w:val="32"/>
          <w:szCs w:val="32"/>
        </w:rPr>
      </w:pPr>
      <w:r>
        <w:rPr>
          <w:rFonts w:hint="eastAsia" w:ascii="仿宋_GB2312" w:hAnsi="宋体" w:eastAsia="仿宋_GB2312" w:cs="Arial"/>
          <w:kern w:val="0"/>
          <w:sz w:val="32"/>
          <w:szCs w:val="32"/>
        </w:rPr>
        <w:t>（三）【市场风险】待购回期间，质押标的证券市值下跌，须按约定提前购回、补充质押标的证券或采取其他约定方式提高履约保障比例的风险。</w:t>
      </w:r>
    </w:p>
    <w:p w14:paraId="5343DBE4">
      <w:pPr>
        <w:widowControl/>
        <w:adjustRightInd w:val="0"/>
        <w:snapToGrid w:val="0"/>
        <w:spacing w:line="560" w:lineRule="exact"/>
        <w:ind w:firstLine="640" w:firstLineChars="200"/>
        <w:rPr>
          <w:rFonts w:hint="eastAsia" w:ascii="仿宋_GB2312" w:hAnsi="宋体" w:eastAsia="仿宋_GB2312" w:cs="Arial"/>
          <w:kern w:val="0"/>
          <w:sz w:val="32"/>
          <w:szCs w:val="32"/>
        </w:rPr>
      </w:pPr>
      <w:r>
        <w:rPr>
          <w:rFonts w:hint="eastAsia" w:ascii="仿宋_GB2312" w:hAnsi="宋体" w:eastAsia="仿宋_GB2312" w:cs="Arial"/>
          <w:kern w:val="0"/>
          <w:sz w:val="32"/>
          <w:szCs w:val="32"/>
        </w:rPr>
        <w:t>待购回期间，标的证券处于质押状态，融入方无法卖出或另作他用，融入方可能承担因证券价格波动而产生的风险。</w:t>
      </w:r>
    </w:p>
    <w:p w14:paraId="6D57A0A1">
      <w:pPr>
        <w:adjustRightInd w:val="0"/>
        <w:snapToGrid w:val="0"/>
        <w:spacing w:line="560" w:lineRule="exact"/>
        <w:ind w:firstLine="640" w:firstLineChars="200"/>
        <w:rPr>
          <w:rFonts w:hint="eastAsia" w:ascii="仿宋_GB2312" w:hAnsi="宋体" w:eastAsia="仿宋_GB2312" w:cs="Arial"/>
          <w:kern w:val="0"/>
          <w:sz w:val="32"/>
          <w:szCs w:val="32"/>
        </w:rPr>
      </w:pPr>
      <w:r>
        <w:rPr>
          <w:rFonts w:hint="eastAsia" w:ascii="仿宋_GB2312" w:hAnsi="宋体" w:eastAsia="仿宋_GB2312" w:cs="Arial"/>
          <w:kern w:val="0"/>
          <w:sz w:val="32"/>
          <w:szCs w:val="32"/>
        </w:rPr>
        <w:t>待购回期间，质押标的证券发生跨市场吸收合并等情形，融入方面临提前购回的风险。</w:t>
      </w:r>
    </w:p>
    <w:p w14:paraId="55BA226B">
      <w:pPr>
        <w:adjustRightInd w:val="0"/>
        <w:snapToGrid w:val="0"/>
        <w:spacing w:line="560" w:lineRule="exact"/>
        <w:ind w:firstLine="640" w:firstLineChars="200"/>
        <w:rPr>
          <w:rFonts w:hint="eastAsia" w:ascii="仿宋_GB2312" w:hAnsi="宋体" w:eastAsia="仿宋_GB2312" w:cs="Arial"/>
          <w:kern w:val="0"/>
          <w:sz w:val="32"/>
          <w:szCs w:val="32"/>
        </w:rPr>
      </w:pPr>
      <w:r>
        <w:rPr>
          <w:rFonts w:hint="eastAsia" w:ascii="仿宋_GB2312" w:hAnsi="宋体" w:eastAsia="仿宋_GB2312" w:cs="Arial"/>
          <w:kern w:val="0"/>
          <w:sz w:val="32"/>
          <w:szCs w:val="32"/>
        </w:rPr>
        <w:t>（四）【信用风险】融入方违约，根据约定质押标的证券可能被处置的风险；因处置价格、数量、时间等的不确定，可能会给融入方造成损失的风险。</w:t>
      </w:r>
    </w:p>
    <w:p w14:paraId="60C74C4B">
      <w:pPr>
        <w:adjustRightInd w:val="0"/>
        <w:snapToGrid w:val="0"/>
        <w:spacing w:line="560" w:lineRule="exact"/>
        <w:ind w:firstLine="640" w:firstLineChars="200"/>
        <w:rPr>
          <w:rFonts w:hint="eastAsia" w:ascii="仿宋_GB2312" w:hAnsi="宋体" w:eastAsia="仿宋_GB2312" w:cs="Arial"/>
          <w:kern w:val="0"/>
          <w:sz w:val="32"/>
          <w:szCs w:val="32"/>
        </w:rPr>
      </w:pPr>
      <w:r>
        <w:rPr>
          <w:rFonts w:hint="eastAsia" w:ascii="仿宋_GB2312" w:hAnsi="宋体" w:eastAsia="仿宋_GB2312" w:cs="Arial"/>
          <w:kern w:val="0"/>
          <w:sz w:val="32"/>
          <w:szCs w:val="32"/>
        </w:rPr>
        <w:t>（五）【黑名单风险】在股票质押回购待购回期间，融入方可能会因违反相关规定被记录违约信息，并因此在披露日期起相应时间内不得通过证券公司进行融资等风险。</w:t>
      </w:r>
    </w:p>
    <w:p w14:paraId="58C6C8E3">
      <w:pPr>
        <w:adjustRightInd w:val="0"/>
        <w:snapToGrid w:val="0"/>
        <w:spacing w:line="560" w:lineRule="exact"/>
        <w:ind w:firstLine="640" w:firstLineChars="200"/>
        <w:rPr>
          <w:rFonts w:hint="eastAsia" w:ascii="仿宋_GB2312" w:hAnsi="宋体" w:eastAsia="仿宋_GB2312" w:cs="Arial"/>
          <w:kern w:val="0"/>
          <w:sz w:val="32"/>
          <w:szCs w:val="32"/>
        </w:rPr>
      </w:pPr>
      <w:r>
        <w:rPr>
          <w:rFonts w:hint="eastAsia" w:ascii="仿宋_GB2312" w:hAnsi="宋体" w:eastAsia="仿宋_GB2312" w:cs="Arial"/>
          <w:kern w:val="0"/>
          <w:sz w:val="32"/>
          <w:szCs w:val="32"/>
        </w:rPr>
        <w:t>（六）【利益冲突的风险】在股票质押回购中，证券公司既可以是融出方或融出方管理人，又根据融入方委托办理交易指令申报以及其他与股票质押回购有关的事项，可能存在利益冲突的风险。</w:t>
      </w:r>
    </w:p>
    <w:p w14:paraId="5D159F07">
      <w:pPr>
        <w:widowControl/>
        <w:adjustRightInd w:val="0"/>
        <w:snapToGrid w:val="0"/>
        <w:spacing w:line="560" w:lineRule="exact"/>
        <w:ind w:firstLine="640" w:firstLineChars="200"/>
        <w:rPr>
          <w:rFonts w:hint="eastAsia" w:ascii="仿宋_GB2312" w:hAnsi="宋体" w:eastAsia="仿宋_GB2312" w:cs="Arial"/>
          <w:kern w:val="0"/>
          <w:sz w:val="32"/>
          <w:szCs w:val="32"/>
        </w:rPr>
      </w:pPr>
      <w:r>
        <w:rPr>
          <w:rFonts w:hint="eastAsia" w:ascii="仿宋_GB2312" w:hAnsi="宋体" w:eastAsia="仿宋_GB2312" w:cs="Arial"/>
          <w:kern w:val="0"/>
          <w:sz w:val="32"/>
          <w:szCs w:val="32"/>
        </w:rPr>
        <w:t>（七）【特殊类型标的证券】标的证券质押或处置需要获得国家相关主管部门的批准或备案的，融入方应遵守相关法律法规的规定，事先办理相应手续。否则，融入方应自行承担由此而产生的风险。</w:t>
      </w:r>
    </w:p>
    <w:p w14:paraId="2182C555">
      <w:pPr>
        <w:widowControl/>
        <w:adjustRightInd w:val="0"/>
        <w:snapToGrid w:val="0"/>
        <w:spacing w:line="560" w:lineRule="exact"/>
        <w:ind w:firstLine="640" w:firstLineChars="200"/>
        <w:rPr>
          <w:rFonts w:hint="eastAsia" w:ascii="仿宋_GB2312" w:hAnsi="宋体" w:eastAsia="仿宋_GB2312" w:cs="Arial"/>
          <w:kern w:val="0"/>
          <w:sz w:val="32"/>
          <w:szCs w:val="32"/>
        </w:rPr>
      </w:pPr>
      <w:r>
        <w:rPr>
          <w:rFonts w:hint="eastAsia" w:ascii="仿宋_GB2312" w:hAnsi="宋体" w:eastAsia="仿宋_GB2312" w:cs="Arial"/>
          <w:kern w:val="0"/>
          <w:sz w:val="32"/>
          <w:szCs w:val="32"/>
        </w:rPr>
        <w:t>（八）【标的证券范围调整】标的证券可能被上交所暂停用于股票质押回购或被证券公司调整出范围，导致初始交易或补充质押无法成交的风险。</w:t>
      </w:r>
    </w:p>
    <w:p w14:paraId="30D91609">
      <w:pPr>
        <w:widowControl/>
        <w:adjustRightInd w:val="0"/>
        <w:snapToGrid w:val="0"/>
        <w:spacing w:line="560" w:lineRule="exact"/>
        <w:ind w:firstLine="640" w:firstLineChars="200"/>
        <w:rPr>
          <w:rFonts w:hint="eastAsia" w:ascii="仿宋_GB2312" w:hAnsi="宋体" w:eastAsia="仿宋_GB2312" w:cs="Arial"/>
          <w:kern w:val="0"/>
          <w:sz w:val="32"/>
          <w:szCs w:val="32"/>
        </w:rPr>
      </w:pPr>
      <w:r>
        <w:rPr>
          <w:rFonts w:hint="eastAsia" w:ascii="仿宋_GB2312" w:hAnsi="宋体" w:eastAsia="仿宋_GB2312" w:cs="Arial"/>
          <w:kern w:val="0"/>
          <w:sz w:val="32"/>
          <w:szCs w:val="32"/>
        </w:rPr>
        <w:t>（九）【交易期限】股票质押回购累计的回购期限超过上交所和中国结算规定的最长期限的，无法通过上交所进行购回交易的风险。</w:t>
      </w:r>
    </w:p>
    <w:p w14:paraId="132F2E0A">
      <w:pPr>
        <w:widowControl/>
        <w:adjustRightInd w:val="0"/>
        <w:snapToGrid w:val="0"/>
        <w:spacing w:line="560" w:lineRule="exact"/>
        <w:ind w:firstLine="640" w:firstLineChars="200"/>
        <w:rPr>
          <w:rFonts w:hint="eastAsia" w:ascii="仿宋_GB2312" w:hAnsi="宋体" w:eastAsia="仿宋_GB2312" w:cs="Arial"/>
          <w:kern w:val="0"/>
          <w:sz w:val="32"/>
          <w:szCs w:val="32"/>
        </w:rPr>
      </w:pPr>
      <w:r>
        <w:rPr>
          <w:rFonts w:hint="eastAsia" w:ascii="仿宋_GB2312" w:hAnsi="宋体" w:eastAsia="仿宋_GB2312" w:cs="Arial"/>
          <w:kern w:val="0"/>
          <w:sz w:val="32"/>
          <w:szCs w:val="32"/>
        </w:rPr>
        <w:t>（十）【异常情况】融入方进行股票质押回购时应关注各类异常情况及由此可能引发的风险，包括但不限于：</w:t>
      </w:r>
    </w:p>
    <w:p w14:paraId="1405F626">
      <w:pPr>
        <w:widowControl/>
        <w:adjustRightInd w:val="0"/>
        <w:snapToGrid w:val="0"/>
        <w:spacing w:line="560" w:lineRule="exact"/>
        <w:ind w:firstLine="640" w:firstLineChars="200"/>
        <w:rPr>
          <w:rFonts w:hint="eastAsia" w:ascii="仿宋_GB2312" w:hAnsi="宋体" w:eastAsia="仿宋_GB2312" w:cs="Arial"/>
          <w:kern w:val="0"/>
          <w:sz w:val="32"/>
          <w:szCs w:val="32"/>
        </w:rPr>
      </w:pPr>
      <w:r>
        <w:rPr>
          <w:rFonts w:hint="eastAsia" w:eastAsia="仿宋_GB2312" w:cs="Arial"/>
          <w:kern w:val="0"/>
          <w:sz w:val="32"/>
          <w:szCs w:val="32"/>
        </w:rPr>
        <w:t>1</w:t>
      </w:r>
      <w:r>
        <w:rPr>
          <w:rFonts w:hint="eastAsia" w:ascii="仿宋_GB2312" w:hAnsi="宋体" w:eastAsia="仿宋_GB2312" w:cs="Arial"/>
          <w:kern w:val="0"/>
          <w:sz w:val="32"/>
          <w:szCs w:val="32"/>
        </w:rPr>
        <w:t>.质押标的证券或证券账户、资金账户被司法等机关冻结或强制执行；</w:t>
      </w:r>
    </w:p>
    <w:p w14:paraId="43C0D257">
      <w:pPr>
        <w:widowControl/>
        <w:adjustRightInd w:val="0"/>
        <w:snapToGrid w:val="0"/>
        <w:spacing w:line="560" w:lineRule="exact"/>
        <w:ind w:firstLine="640" w:firstLineChars="200"/>
        <w:rPr>
          <w:rFonts w:hint="eastAsia" w:ascii="仿宋_GB2312" w:hAnsi="宋体" w:eastAsia="仿宋_GB2312" w:cs="Arial"/>
          <w:kern w:val="0"/>
          <w:sz w:val="32"/>
          <w:szCs w:val="32"/>
        </w:rPr>
      </w:pPr>
      <w:r>
        <w:rPr>
          <w:rFonts w:hint="eastAsia" w:eastAsia="仿宋_GB2312" w:cs="Arial"/>
          <w:kern w:val="0"/>
          <w:sz w:val="32"/>
          <w:szCs w:val="32"/>
        </w:rPr>
        <w:t>2</w:t>
      </w:r>
      <w:r>
        <w:rPr>
          <w:rFonts w:hint="eastAsia" w:ascii="仿宋_GB2312" w:hAnsi="宋体" w:eastAsia="仿宋_GB2312" w:cs="Arial"/>
          <w:kern w:val="0"/>
          <w:sz w:val="32"/>
          <w:szCs w:val="32"/>
        </w:rPr>
        <w:t>.质押标的证券被作出终止上市决定；</w:t>
      </w:r>
    </w:p>
    <w:p w14:paraId="575238D5">
      <w:pPr>
        <w:widowControl/>
        <w:adjustRightInd w:val="0"/>
        <w:snapToGrid w:val="0"/>
        <w:spacing w:line="560" w:lineRule="exact"/>
        <w:ind w:firstLine="640" w:firstLineChars="200"/>
        <w:rPr>
          <w:rFonts w:hint="eastAsia" w:ascii="仿宋_GB2312" w:hAnsi="宋体" w:eastAsia="仿宋_GB2312" w:cs="Arial"/>
          <w:kern w:val="0"/>
          <w:sz w:val="32"/>
          <w:szCs w:val="32"/>
        </w:rPr>
      </w:pPr>
      <w:r>
        <w:rPr>
          <w:rFonts w:hint="eastAsia" w:eastAsia="仿宋_GB2312" w:cs="Arial"/>
          <w:kern w:val="0"/>
          <w:sz w:val="32"/>
          <w:szCs w:val="32"/>
        </w:rPr>
        <w:t>3</w:t>
      </w:r>
      <w:r>
        <w:rPr>
          <w:rFonts w:hint="eastAsia" w:ascii="仿宋_GB2312" w:hAnsi="宋体" w:eastAsia="仿宋_GB2312" w:cs="Arial"/>
          <w:kern w:val="0"/>
          <w:sz w:val="32"/>
          <w:szCs w:val="32"/>
        </w:rPr>
        <w:t>.集合资产管理计划提前终止；</w:t>
      </w:r>
    </w:p>
    <w:p w14:paraId="085B2C6F">
      <w:pPr>
        <w:widowControl/>
        <w:adjustRightInd w:val="0"/>
        <w:snapToGrid w:val="0"/>
        <w:spacing w:line="560" w:lineRule="exact"/>
        <w:ind w:firstLine="640" w:firstLineChars="200"/>
        <w:rPr>
          <w:rFonts w:hint="eastAsia" w:ascii="仿宋_GB2312" w:hAnsi="宋体" w:eastAsia="仿宋_GB2312" w:cs="Arial"/>
          <w:kern w:val="0"/>
          <w:sz w:val="32"/>
          <w:szCs w:val="32"/>
        </w:rPr>
      </w:pPr>
      <w:r>
        <w:rPr>
          <w:rFonts w:hint="eastAsia" w:eastAsia="仿宋_GB2312" w:cs="Arial"/>
          <w:kern w:val="0"/>
          <w:sz w:val="32"/>
          <w:szCs w:val="32"/>
        </w:rPr>
        <w:t>4</w:t>
      </w:r>
      <w:r>
        <w:rPr>
          <w:rFonts w:hint="eastAsia" w:ascii="仿宋_GB2312" w:hAnsi="宋体" w:eastAsia="仿宋_GB2312" w:cs="Arial"/>
          <w:kern w:val="0"/>
          <w:sz w:val="32"/>
          <w:szCs w:val="32"/>
        </w:rPr>
        <w:t>.证券公司被暂停或终止股票质押回购权限；</w:t>
      </w:r>
    </w:p>
    <w:p w14:paraId="2CC444C4">
      <w:pPr>
        <w:adjustRightInd w:val="0"/>
        <w:snapToGrid w:val="0"/>
        <w:spacing w:line="560" w:lineRule="exact"/>
        <w:ind w:firstLine="640" w:firstLineChars="200"/>
        <w:rPr>
          <w:rFonts w:hint="eastAsia" w:ascii="仿宋_GB2312" w:hAnsi="宋体" w:eastAsia="仿宋_GB2312" w:cs="Arial"/>
          <w:kern w:val="0"/>
          <w:sz w:val="32"/>
          <w:szCs w:val="32"/>
        </w:rPr>
      </w:pPr>
      <w:r>
        <w:rPr>
          <w:rFonts w:hint="eastAsia" w:eastAsia="仿宋_GB2312" w:cs="Arial"/>
          <w:kern w:val="0"/>
          <w:sz w:val="32"/>
          <w:szCs w:val="32"/>
        </w:rPr>
        <w:t>5</w:t>
      </w:r>
      <w:r>
        <w:rPr>
          <w:rFonts w:hint="eastAsia" w:ascii="仿宋_GB2312" w:hAnsi="宋体" w:eastAsia="仿宋_GB2312" w:cs="Arial"/>
          <w:kern w:val="0"/>
          <w:sz w:val="32"/>
          <w:szCs w:val="32"/>
        </w:rPr>
        <w:t>.证券公司进入风险处置或破产程序。</w:t>
      </w:r>
    </w:p>
    <w:p w14:paraId="008ECDA7">
      <w:pPr>
        <w:adjustRightInd w:val="0"/>
        <w:snapToGrid w:val="0"/>
        <w:spacing w:line="560" w:lineRule="exact"/>
        <w:ind w:firstLine="640" w:firstLineChars="200"/>
        <w:rPr>
          <w:rFonts w:hint="eastAsia" w:ascii="仿宋_GB2312" w:hAnsi="宋体" w:eastAsia="仿宋_GB2312" w:cs="Arial"/>
          <w:kern w:val="0"/>
          <w:sz w:val="32"/>
          <w:szCs w:val="32"/>
        </w:rPr>
      </w:pPr>
      <w:r>
        <w:rPr>
          <w:rFonts w:hint="eastAsia" w:ascii="仿宋_GB2312" w:hAnsi="宋体" w:eastAsia="仿宋_GB2312" w:cs="Arial"/>
          <w:kern w:val="0"/>
          <w:sz w:val="32"/>
          <w:szCs w:val="32"/>
        </w:rPr>
        <w:t>（十一）【操作风险】由于技术系统故障、资金交收或质押与解除质押登记失败、通知与送达异常、证券公司未履行职责等原因导致的操作风险。</w:t>
      </w:r>
    </w:p>
    <w:p w14:paraId="017426DC">
      <w:pPr>
        <w:widowControl/>
        <w:adjustRightInd w:val="0"/>
        <w:snapToGrid w:val="0"/>
        <w:spacing w:line="560" w:lineRule="exact"/>
        <w:ind w:firstLine="640" w:firstLineChars="200"/>
        <w:rPr>
          <w:rFonts w:hint="eastAsia" w:ascii="仿宋_GB2312" w:hAnsi="宋体" w:eastAsia="仿宋_GB2312" w:cs="Arial"/>
          <w:kern w:val="0"/>
          <w:sz w:val="32"/>
          <w:szCs w:val="32"/>
        </w:rPr>
      </w:pPr>
      <w:r>
        <w:rPr>
          <w:rFonts w:hint="eastAsia" w:ascii="仿宋_GB2312" w:hAnsi="宋体" w:eastAsia="仿宋_GB2312" w:cs="Arial"/>
          <w:kern w:val="0"/>
          <w:sz w:val="32"/>
          <w:szCs w:val="32"/>
        </w:rPr>
        <w:t>（十二）【政策风险】由于国家法律、法规、政策、交易所规则的变化、修改等原因，可能会对融入方的存续交易产生不利影响，甚至造成经济损失。</w:t>
      </w:r>
    </w:p>
    <w:p w14:paraId="60037952">
      <w:pPr>
        <w:widowControl/>
        <w:adjustRightInd w:val="0"/>
        <w:snapToGrid w:val="0"/>
        <w:spacing w:line="560" w:lineRule="exact"/>
        <w:ind w:firstLine="640" w:firstLineChars="200"/>
        <w:rPr>
          <w:rFonts w:hint="eastAsia" w:ascii="仿宋_GB2312" w:hAnsi="宋体" w:eastAsia="仿宋_GB2312" w:cs="Arial"/>
          <w:kern w:val="0"/>
          <w:sz w:val="32"/>
          <w:szCs w:val="32"/>
        </w:rPr>
      </w:pPr>
      <w:r>
        <w:rPr>
          <w:rFonts w:hint="eastAsia" w:ascii="仿宋_GB2312" w:hAnsi="宋体" w:eastAsia="仿宋_GB2312" w:cs="Arial"/>
          <w:kern w:val="0"/>
          <w:sz w:val="32"/>
          <w:szCs w:val="32"/>
        </w:rPr>
        <w:t>（十三）【不可抗力风险】在股票质押回购的存续期间，如果因出现火灾、地震、瘟疫、社会动乱等不能预见、避免或克服的不可抗力情形，可能会给融入方造成经济损失。</w:t>
      </w:r>
    </w:p>
    <w:p w14:paraId="00523B5C">
      <w:pPr>
        <w:widowControl/>
        <w:adjustRightInd w:val="0"/>
        <w:snapToGrid w:val="0"/>
        <w:spacing w:line="560" w:lineRule="exact"/>
        <w:ind w:firstLine="640" w:firstLineChars="200"/>
        <w:rPr>
          <w:rFonts w:hint="eastAsia" w:ascii="仿宋_GB2312" w:hAnsi="宋体" w:eastAsia="仿宋_GB2312" w:cs="Arial"/>
          <w:kern w:val="0"/>
          <w:sz w:val="32"/>
          <w:szCs w:val="32"/>
        </w:rPr>
      </w:pPr>
      <w:r>
        <w:rPr>
          <w:rFonts w:hint="eastAsia" w:ascii="仿宋_GB2312" w:hAnsi="宋体" w:eastAsia="仿宋_GB2312" w:cs="Arial"/>
          <w:kern w:val="0"/>
          <w:sz w:val="32"/>
          <w:szCs w:val="32"/>
        </w:rPr>
        <w:t>除上述各项风险提示外，各证券公司还可以根据具体情况在本公司制订的《风险揭示书》中对股票质押回购存在的风险做进一步列举。</w:t>
      </w:r>
    </w:p>
    <w:p w14:paraId="6DBBE740">
      <w:pPr>
        <w:tabs>
          <w:tab w:val="left" w:pos="1155"/>
        </w:tabs>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风险揭示书应以醒目的文字载明：</w:t>
      </w:r>
    </w:p>
    <w:p w14:paraId="5CA3703F">
      <w:pPr>
        <w:widowControl/>
        <w:adjustRightInd w:val="0"/>
        <w:snapToGrid w:val="0"/>
        <w:spacing w:line="560" w:lineRule="exact"/>
        <w:ind w:firstLine="643" w:firstLineChars="200"/>
        <w:rPr>
          <w:rFonts w:hint="eastAsia" w:ascii="仿宋_GB2312" w:hAnsi="宋体" w:eastAsia="仿宋_GB2312" w:cs="Arial"/>
          <w:b/>
          <w:kern w:val="0"/>
          <w:sz w:val="32"/>
          <w:szCs w:val="32"/>
        </w:rPr>
      </w:pPr>
      <w:r>
        <w:rPr>
          <w:rFonts w:hint="eastAsia" w:ascii="仿宋_GB2312" w:hAnsi="宋体" w:eastAsia="仿宋_GB2312" w:cs="Arial"/>
          <w:b/>
          <w:kern w:val="0"/>
          <w:sz w:val="32"/>
          <w:szCs w:val="32"/>
        </w:rPr>
        <w:t>本《风险揭示书》的揭示事项仅为列举性质，未能详尽列明股票质押回购的所有风险。融入方在参与股票质押回购前，应认真阅读相关业务规则及协议</w:t>
      </w:r>
      <w:r>
        <w:rPr>
          <w:rFonts w:hint="eastAsia" w:ascii="仿宋_GB2312" w:hAnsi="宋体" w:eastAsia="仿宋_GB2312" w:cs="Arial"/>
          <w:b/>
          <w:kern w:val="0"/>
          <w:sz w:val="32"/>
          <w:szCs w:val="32"/>
          <w:lang w:eastAsia="zh-CN"/>
        </w:rPr>
        <w:t>条</w:t>
      </w:r>
      <w:r>
        <w:rPr>
          <w:rFonts w:hint="eastAsia" w:ascii="仿宋_GB2312" w:hAnsi="宋体" w:eastAsia="仿宋_GB2312" w:cs="Arial"/>
          <w:b/>
          <w:kern w:val="0"/>
          <w:sz w:val="32"/>
          <w:szCs w:val="32"/>
        </w:rPr>
        <w:t>款，对股票质押回购所特有的规则必须有所了解和掌握，并确信自己已做好足够的风险评估与财务安排，避免因参与股票质押回购而遭受难以承受的损失。</w:t>
      </w:r>
    </w:p>
    <w:p w14:paraId="0515FBA1">
      <w:pPr>
        <w:widowControl/>
        <w:adjustRightInd w:val="0"/>
        <w:snapToGrid w:val="0"/>
        <w:spacing w:line="560" w:lineRule="exact"/>
        <w:ind w:firstLine="640" w:firstLineChars="200"/>
        <w:rPr>
          <w:rFonts w:hint="eastAsia" w:ascii="仿宋_GB2312" w:hAnsi="宋体" w:eastAsia="仿宋_GB2312" w:cs="Arial"/>
          <w:kern w:val="0"/>
          <w:sz w:val="32"/>
          <w:szCs w:val="32"/>
        </w:rPr>
      </w:pPr>
      <w:r>
        <w:rPr>
          <w:rFonts w:hint="eastAsia" w:ascii="仿宋_GB2312" w:hAnsi="宋体" w:eastAsia="仿宋_GB2312" w:cs="Arial"/>
          <w:kern w:val="0"/>
          <w:sz w:val="32"/>
          <w:szCs w:val="32"/>
        </w:rPr>
        <w:t>各证券公司还应要求《风险揭示书》应由融入方本人签署，当融入方为机构时，应由法定代表人或其授权代表人签署并加盖公章或合同专用章，确认已知晓并理解《风险揭示书》的全部内容，愿意承担股票质押回购交易的风险和损失。</w:t>
      </w:r>
    </w:p>
    <w:p w14:paraId="376301B1">
      <w:pPr>
        <w:widowControl/>
        <w:adjustRightInd w:val="0"/>
        <w:snapToGrid w:val="0"/>
        <w:spacing w:line="560" w:lineRule="exact"/>
        <w:ind w:firstLine="643" w:firstLineChars="200"/>
        <w:rPr>
          <w:rFonts w:hint="eastAsia" w:ascii="黑体" w:hAnsi="黑体" w:eastAsia="黑体" w:cs="Arial"/>
          <w:b/>
          <w:kern w:val="0"/>
          <w:sz w:val="32"/>
          <w:szCs w:val="32"/>
        </w:rPr>
      </w:pPr>
      <w:r>
        <w:rPr>
          <w:rFonts w:hint="eastAsia" w:ascii="黑体" w:hAnsi="黑体" w:eastAsia="黑体" w:cs="Arial"/>
          <w:b/>
          <w:kern w:val="0"/>
          <w:sz w:val="32"/>
          <w:szCs w:val="32"/>
        </w:rPr>
        <w:t>二、融出方为集合资产管理计划或定向资产管理客户时，相关风险揭示书中至少应包括下列内容：</w:t>
      </w:r>
    </w:p>
    <w:p w14:paraId="6C44B199">
      <w:pPr>
        <w:widowControl/>
        <w:adjustRightInd w:val="0"/>
        <w:snapToGrid w:val="0"/>
        <w:spacing w:line="560" w:lineRule="exact"/>
        <w:ind w:firstLine="640" w:firstLineChars="200"/>
        <w:rPr>
          <w:rFonts w:hint="eastAsia" w:ascii="仿宋_GB2312" w:hAnsi="宋体" w:eastAsia="仿宋_GB2312" w:cs="Arial"/>
          <w:kern w:val="0"/>
          <w:sz w:val="32"/>
          <w:szCs w:val="32"/>
        </w:rPr>
      </w:pPr>
      <w:r>
        <w:rPr>
          <w:rFonts w:hint="eastAsia" w:ascii="仿宋_GB2312" w:hAnsi="宋体" w:eastAsia="仿宋_GB2312" w:cs="Arial"/>
          <w:kern w:val="0"/>
          <w:sz w:val="32"/>
          <w:szCs w:val="32"/>
        </w:rPr>
        <w:t>（一）【信用风险】融入方违约，质押标的证券被违约处置后，可能无法足额偿付债务的风险。</w:t>
      </w:r>
    </w:p>
    <w:p w14:paraId="225E33AB">
      <w:pPr>
        <w:widowControl/>
        <w:adjustRightInd w:val="0"/>
        <w:snapToGrid w:val="0"/>
        <w:spacing w:line="560" w:lineRule="exact"/>
        <w:ind w:firstLine="640" w:firstLineChars="200"/>
        <w:rPr>
          <w:rFonts w:hint="eastAsia" w:ascii="仿宋_GB2312" w:hAnsi="宋体" w:eastAsia="仿宋_GB2312" w:cs="Arial"/>
          <w:kern w:val="0"/>
          <w:sz w:val="32"/>
          <w:szCs w:val="32"/>
        </w:rPr>
      </w:pPr>
      <w:r>
        <w:rPr>
          <w:rFonts w:hint="eastAsia" w:ascii="仿宋_GB2312" w:hAnsi="宋体" w:eastAsia="仿宋_GB2312" w:cs="Arial"/>
          <w:kern w:val="0"/>
          <w:sz w:val="32"/>
          <w:szCs w:val="32"/>
        </w:rPr>
        <w:t>（二）【流动性风险】集合资产管理计划在股票质押回购待购回期间提前终止，但回购未到期或违约处置未完成可能导致计划客户无法及时收回投资的风险。</w:t>
      </w:r>
    </w:p>
    <w:p w14:paraId="12F0EEFB">
      <w:pPr>
        <w:widowControl/>
        <w:adjustRightInd w:val="0"/>
        <w:snapToGrid w:val="0"/>
        <w:spacing w:line="560" w:lineRule="exact"/>
        <w:ind w:firstLine="640" w:firstLineChars="200"/>
        <w:rPr>
          <w:rFonts w:hint="eastAsia" w:ascii="仿宋_GB2312" w:hAnsi="宋体" w:eastAsia="仿宋_GB2312" w:cs="Arial"/>
          <w:kern w:val="0"/>
          <w:sz w:val="32"/>
          <w:szCs w:val="32"/>
        </w:rPr>
      </w:pPr>
      <w:r>
        <w:rPr>
          <w:rFonts w:hint="eastAsia" w:ascii="仿宋_GB2312" w:hAnsi="宋体" w:eastAsia="仿宋_GB2312" w:cs="Arial"/>
          <w:kern w:val="0"/>
          <w:sz w:val="32"/>
          <w:szCs w:val="32"/>
        </w:rPr>
        <w:t>（三）【限售股风险】质押标的证券为有限售条件股份，违约处置时仍处于限售期，无法及时处置的风险。</w:t>
      </w:r>
    </w:p>
    <w:p w14:paraId="400CCE14">
      <w:pPr>
        <w:widowControl/>
        <w:adjustRightInd w:val="0"/>
        <w:snapToGrid w:val="0"/>
        <w:spacing w:line="560" w:lineRule="exact"/>
        <w:ind w:firstLine="640" w:firstLineChars="200"/>
        <w:rPr>
          <w:rFonts w:hint="eastAsia" w:ascii="仿宋_GB2312" w:hAnsi="宋体" w:eastAsia="仿宋_GB2312" w:cs="Arial"/>
          <w:kern w:val="0"/>
          <w:sz w:val="32"/>
          <w:szCs w:val="32"/>
        </w:rPr>
      </w:pPr>
      <w:r>
        <w:rPr>
          <w:rFonts w:hint="eastAsia" w:ascii="仿宋_GB2312" w:hAnsi="宋体" w:eastAsia="仿宋_GB2312" w:cs="Arial"/>
          <w:kern w:val="0"/>
          <w:sz w:val="32"/>
          <w:szCs w:val="32"/>
        </w:rPr>
        <w:t>（四）【司法冻结风险】标的证券被质押后，因资金融入方的原因导致标的证券被司法冻结或强制执行，标的证券无法被及时处置的风险。</w:t>
      </w:r>
    </w:p>
    <w:p w14:paraId="016F28FB">
      <w:pPr>
        <w:widowControl/>
        <w:adjustRightInd w:val="0"/>
        <w:snapToGrid w:val="0"/>
        <w:spacing w:line="560" w:lineRule="exact"/>
        <w:ind w:firstLine="640" w:firstLineChars="200"/>
        <w:rPr>
          <w:rFonts w:hint="eastAsia" w:ascii="黑体" w:hAnsi="微软雅黑" w:eastAsia="黑体"/>
          <w:b/>
          <w:color w:val="000000"/>
          <w:sz w:val="32"/>
          <w:szCs w:val="32"/>
        </w:rPr>
      </w:pPr>
      <w:r>
        <w:rPr>
          <w:rFonts w:hint="eastAsia" w:ascii="仿宋_GB2312" w:hAnsi="宋体" w:eastAsia="仿宋_GB2312" w:cs="Arial"/>
          <w:kern w:val="0"/>
          <w:sz w:val="32"/>
          <w:szCs w:val="32"/>
        </w:rPr>
        <w:t>（五）【未履行职责风险】证券公司未按照约定尽职履行交易申报、合并管理、盯市、违约处置等职责从而损害客户利益的风险。</w:t>
      </w:r>
    </w:p>
    <w:sectPr>
      <w:footerReference r:id="rId3" w:type="default"/>
      <w:footerReference r:id="rId4" w:type="even"/>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大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汉仪中等线简">
    <w:altName w:val="微软雅黑"/>
    <w:panose1 w:val="00000000000000000000"/>
    <w:charset w:val="86"/>
    <w:family w:val="modern"/>
    <w:pitch w:val="default"/>
    <w:sig w:usb0="00000000" w:usb1="00000000" w:usb2="00000012" w:usb3="00000000" w:csb0="00040000" w:csb1="00000000"/>
  </w:font>
  <w:font w:name="微软雅黑">
    <w:panose1 w:val="020B0503020204020204"/>
    <w:charset w:val="86"/>
    <w:family w:val="swiss"/>
    <w:pitch w:val="default"/>
    <w:sig w:usb0="80000287" w:usb1="2ACF3C50" w:usb2="00000016" w:usb3="00000000" w:csb0="0004001F" w:csb1="00000000"/>
  </w:font>
  <w:font w:name="Microsoft Himalaya">
    <w:panose1 w:val="01010100010101010101"/>
    <w:charset w:val="00"/>
    <w:family w:val="auto"/>
    <w:pitch w:val="default"/>
    <w:sig w:usb0="80000003" w:usb1="00010000" w:usb2="00000040" w:usb3="00000000" w:csb0="00000001" w:csb1="00000000"/>
  </w:font>
  <w:font w:name="华文中宋">
    <w:altName w:val="宋体"/>
    <w:panose1 w:val="02010600040101010101"/>
    <w:charset w:val="86"/>
    <w:family w:val="auto"/>
    <w:pitch w:val="default"/>
    <w:sig w:usb0="00000000" w:usb1="00000000" w:usb2="00000000" w:usb3="00000000" w:csb0="0004009F" w:csb1="DFD70000"/>
  </w:font>
  <w:font w:name="Futura Bk">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00006FF" w:usb1="4000205B" w:usb2="0000001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
    <w:altName w:val="Times New Roman"/>
    <w:panose1 w:val="00000000000000000000"/>
    <w:charset w:val="00"/>
    <w:family w:val="roman"/>
    <w:pitch w:val="default"/>
    <w:sig w:usb0="00000000" w:usb1="00000000" w:usb2="00000000" w:usb3="00000000" w:csb0="00000001" w:csb1="00000000"/>
  </w:font>
  <w:font w:name="ˎ̥">
    <w:altName w:val="Times New Roman"/>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A9C45F">
    <w:pPr>
      <w:pStyle w:val="25"/>
      <w:framePr w:wrap="around" w:vAnchor="text" w:hAnchor="margin" w:xAlign="center" w:y="1"/>
      <w:jc w:val="center"/>
      <w:rPr>
        <w:rStyle w:val="40"/>
      </w:rPr>
    </w:pPr>
  </w:p>
  <w:p w14:paraId="2CDF23B0">
    <w:pPr>
      <w:pStyle w:val="25"/>
      <w:jc w:val="right"/>
    </w:pPr>
    <w:r>
      <w:rPr>
        <w:rFonts w:hint="eastAsia" w:ascii="仿宋_GB2312" w:eastAsia="仿宋_GB2312"/>
        <w:bCs/>
        <w:sz w:val="28"/>
      </w:rPr>
      <w:t>－</w:t>
    </w:r>
    <w:r>
      <w:rPr>
        <w:sz w:val="28"/>
      </w:rPr>
      <w:fldChar w:fldCharType="begin"/>
    </w:r>
    <w:r>
      <w:rPr>
        <w:sz w:val="28"/>
      </w:rPr>
      <w:instrText xml:space="preserve"> PAGE </w:instrText>
    </w:r>
    <w:r>
      <w:rPr>
        <w:sz w:val="28"/>
      </w:rPr>
      <w:fldChar w:fldCharType="separate"/>
    </w:r>
    <w:r>
      <w:rPr>
        <w:sz w:val="28"/>
      </w:rPr>
      <w:t>1</w:t>
    </w:r>
    <w:r>
      <w:rPr>
        <w:sz w:val="28"/>
      </w:rPr>
      <w:fldChar w:fldCharType="end"/>
    </w:r>
    <w:r>
      <w:rPr>
        <w:rFonts w:hint="eastAsia" w:ascii="仿宋_GB2312" w:eastAsia="仿宋_GB2312"/>
        <w:bCs/>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B5A776">
    <w:pPr>
      <w:pStyle w:val="25"/>
      <w:framePr w:wrap="around" w:vAnchor="text" w:hAnchor="margin" w:xAlign="center" w:y="1"/>
      <w:rPr>
        <w:rStyle w:val="40"/>
      </w:rPr>
    </w:pPr>
  </w:p>
  <w:p w14:paraId="76E654E5">
    <w:pPr>
      <w:pStyle w:val="25"/>
    </w:pPr>
    <w:r>
      <w:rPr>
        <w:rFonts w:hint="eastAsia" w:ascii="仿宋_GB2312" w:eastAsia="仿宋_GB2312"/>
        <w:bCs/>
        <w:sz w:val="28"/>
      </w:rPr>
      <w:t>－</w:t>
    </w:r>
    <w:r>
      <w:rPr>
        <w:sz w:val="28"/>
      </w:rPr>
      <w:fldChar w:fldCharType="begin"/>
    </w:r>
    <w:r>
      <w:rPr>
        <w:sz w:val="28"/>
      </w:rPr>
      <w:instrText xml:space="preserve"> PAGE </w:instrText>
    </w:r>
    <w:r>
      <w:rPr>
        <w:sz w:val="28"/>
      </w:rPr>
      <w:fldChar w:fldCharType="separate"/>
    </w:r>
    <w:r>
      <w:rPr>
        <w:sz w:val="28"/>
      </w:rPr>
      <w:t>20</w:t>
    </w:r>
    <w:r>
      <w:rPr>
        <w:sz w:val="28"/>
      </w:rPr>
      <w:fldChar w:fldCharType="end"/>
    </w:r>
    <w:r>
      <w:rPr>
        <w:rFonts w:hint="eastAsia" w:ascii="仿宋_GB2312" w:eastAsia="仿宋_GB2312"/>
        <w:bCs/>
        <w:sz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A656DE"/>
    <w:multiLevelType w:val="multilevel"/>
    <w:tmpl w:val="5EA656DE"/>
    <w:lvl w:ilvl="0" w:tentative="0">
      <w:start w:val="1"/>
      <w:numFmt w:val="japaneseCounting"/>
      <w:pStyle w:val="96"/>
      <w:lvlText w:val="第%1条"/>
      <w:lvlJc w:val="left"/>
      <w:pPr>
        <w:ind w:left="3045" w:hanging="420"/>
      </w:pPr>
      <w:rPr>
        <w:rFonts w:hint="eastAsia" w:ascii="仿宋_GB2312" w:eastAsia="仿宋_GB2312" w:cs="Times New Roman"/>
        <w:b/>
        <w:sz w:val="30"/>
        <w:szCs w:val="30"/>
      </w:rPr>
    </w:lvl>
    <w:lvl w:ilvl="1" w:tentative="0">
      <w:start w:val="1"/>
      <w:numFmt w:val="chineseCountingThousand"/>
      <w:lvlText w:val="第%2条"/>
      <w:lvlJc w:val="left"/>
      <w:pPr>
        <w:tabs>
          <w:tab w:val="left" w:pos="3856"/>
        </w:tabs>
        <w:ind w:left="1928" w:firstLine="567"/>
      </w:pPr>
      <w:rPr>
        <w:rFonts w:hint="eastAsia" w:ascii="仿宋_GB2312" w:eastAsia="仿宋_GB2312" w:cs="Times New Roman"/>
        <w:b w:val="0"/>
        <w:i w:val="0"/>
        <w:strike w:val="0"/>
        <w:dstrike w:val="0"/>
        <w:spacing w:val="0"/>
        <w:w w:val="100"/>
        <w:kern w:val="0"/>
        <w:position w:val="0"/>
        <w:sz w:val="32"/>
        <w:szCs w:val="32"/>
        <w:u w:val="none"/>
      </w:rPr>
    </w:lvl>
    <w:lvl w:ilvl="2" w:tentative="0">
      <w:start w:val="1"/>
      <w:numFmt w:val="decimal"/>
      <w:lvlText w:val="%3."/>
      <w:lvlJc w:val="left"/>
      <w:pPr>
        <w:tabs>
          <w:tab w:val="left" w:pos="3595"/>
        </w:tabs>
        <w:ind w:left="3595" w:hanging="360"/>
      </w:pPr>
      <w:rPr>
        <w:rFonts w:cs="Times New Roman"/>
      </w:rPr>
    </w:lvl>
    <w:lvl w:ilvl="3" w:tentative="0">
      <w:start w:val="1"/>
      <w:numFmt w:val="decimal"/>
      <w:lvlText w:val="%4."/>
      <w:lvlJc w:val="left"/>
      <w:pPr>
        <w:tabs>
          <w:tab w:val="left" w:pos="4315"/>
        </w:tabs>
        <w:ind w:left="4315" w:hanging="360"/>
      </w:pPr>
      <w:rPr>
        <w:rFonts w:cs="Times New Roman"/>
      </w:rPr>
    </w:lvl>
    <w:lvl w:ilvl="4" w:tentative="0">
      <w:start w:val="1"/>
      <w:numFmt w:val="decimal"/>
      <w:lvlText w:val="%5."/>
      <w:lvlJc w:val="left"/>
      <w:pPr>
        <w:tabs>
          <w:tab w:val="left" w:pos="5035"/>
        </w:tabs>
        <w:ind w:left="5035" w:hanging="360"/>
      </w:pPr>
      <w:rPr>
        <w:rFonts w:cs="Times New Roman"/>
      </w:rPr>
    </w:lvl>
    <w:lvl w:ilvl="5" w:tentative="0">
      <w:start w:val="1"/>
      <w:numFmt w:val="decimal"/>
      <w:lvlText w:val="%6."/>
      <w:lvlJc w:val="left"/>
      <w:pPr>
        <w:tabs>
          <w:tab w:val="left" w:pos="5755"/>
        </w:tabs>
        <w:ind w:left="5755" w:hanging="360"/>
      </w:pPr>
      <w:rPr>
        <w:rFonts w:cs="Times New Roman"/>
      </w:rPr>
    </w:lvl>
    <w:lvl w:ilvl="6" w:tentative="0">
      <w:start w:val="1"/>
      <w:numFmt w:val="decimal"/>
      <w:lvlText w:val="%7."/>
      <w:lvlJc w:val="left"/>
      <w:pPr>
        <w:tabs>
          <w:tab w:val="left" w:pos="6475"/>
        </w:tabs>
        <w:ind w:left="6475" w:hanging="360"/>
      </w:pPr>
      <w:rPr>
        <w:rFonts w:cs="Times New Roman"/>
      </w:rPr>
    </w:lvl>
    <w:lvl w:ilvl="7" w:tentative="0">
      <w:start w:val="1"/>
      <w:numFmt w:val="decimal"/>
      <w:lvlText w:val="%8."/>
      <w:lvlJc w:val="left"/>
      <w:pPr>
        <w:tabs>
          <w:tab w:val="left" w:pos="7195"/>
        </w:tabs>
        <w:ind w:left="7195" w:hanging="360"/>
      </w:pPr>
      <w:rPr>
        <w:rFonts w:cs="Times New Roman"/>
      </w:rPr>
    </w:lvl>
    <w:lvl w:ilvl="8" w:tentative="0">
      <w:start w:val="1"/>
      <w:numFmt w:val="decimal"/>
      <w:lvlText w:val="%9."/>
      <w:lvlJc w:val="left"/>
      <w:pPr>
        <w:tabs>
          <w:tab w:val="left" w:pos="7915"/>
        </w:tabs>
        <w:ind w:left="7915" w:hanging="36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2EF"/>
    <w:rsid w:val="00001C7D"/>
    <w:rsid w:val="00004247"/>
    <w:rsid w:val="00007153"/>
    <w:rsid w:val="000123C7"/>
    <w:rsid w:val="00015CF8"/>
    <w:rsid w:val="00023D06"/>
    <w:rsid w:val="00025A12"/>
    <w:rsid w:val="00025D14"/>
    <w:rsid w:val="00030A3E"/>
    <w:rsid w:val="00034D02"/>
    <w:rsid w:val="00037ACD"/>
    <w:rsid w:val="00040EBC"/>
    <w:rsid w:val="00042926"/>
    <w:rsid w:val="000432C6"/>
    <w:rsid w:val="00044E84"/>
    <w:rsid w:val="00045B5A"/>
    <w:rsid w:val="0004624B"/>
    <w:rsid w:val="00055B23"/>
    <w:rsid w:val="00055D8A"/>
    <w:rsid w:val="0006008F"/>
    <w:rsid w:val="00065822"/>
    <w:rsid w:val="00067FF1"/>
    <w:rsid w:val="000715CD"/>
    <w:rsid w:val="00075702"/>
    <w:rsid w:val="0007649E"/>
    <w:rsid w:val="00076F96"/>
    <w:rsid w:val="00080323"/>
    <w:rsid w:val="00081A53"/>
    <w:rsid w:val="000825BD"/>
    <w:rsid w:val="0008558C"/>
    <w:rsid w:val="00092467"/>
    <w:rsid w:val="000926AA"/>
    <w:rsid w:val="00094F31"/>
    <w:rsid w:val="000A36F5"/>
    <w:rsid w:val="000A4874"/>
    <w:rsid w:val="000A5CA0"/>
    <w:rsid w:val="000A78EC"/>
    <w:rsid w:val="000B078C"/>
    <w:rsid w:val="000B1C87"/>
    <w:rsid w:val="000B2003"/>
    <w:rsid w:val="000C7891"/>
    <w:rsid w:val="000D44B4"/>
    <w:rsid w:val="000D4F08"/>
    <w:rsid w:val="000E0F35"/>
    <w:rsid w:val="000E1D7A"/>
    <w:rsid w:val="000E28C6"/>
    <w:rsid w:val="000E3BF1"/>
    <w:rsid w:val="000E7A26"/>
    <w:rsid w:val="000F1729"/>
    <w:rsid w:val="000F1C47"/>
    <w:rsid w:val="000F3A20"/>
    <w:rsid w:val="000F3DDE"/>
    <w:rsid w:val="00103077"/>
    <w:rsid w:val="00104481"/>
    <w:rsid w:val="00106537"/>
    <w:rsid w:val="001158CB"/>
    <w:rsid w:val="001165B1"/>
    <w:rsid w:val="0011790D"/>
    <w:rsid w:val="00121D8C"/>
    <w:rsid w:val="00126898"/>
    <w:rsid w:val="00127BB8"/>
    <w:rsid w:val="0013265E"/>
    <w:rsid w:val="00132F87"/>
    <w:rsid w:val="00135676"/>
    <w:rsid w:val="00136E1D"/>
    <w:rsid w:val="00136EB9"/>
    <w:rsid w:val="001413E9"/>
    <w:rsid w:val="00141E0E"/>
    <w:rsid w:val="00143741"/>
    <w:rsid w:val="00146288"/>
    <w:rsid w:val="00156E9B"/>
    <w:rsid w:val="00157110"/>
    <w:rsid w:val="00157210"/>
    <w:rsid w:val="0016249D"/>
    <w:rsid w:val="00163F0D"/>
    <w:rsid w:val="00165363"/>
    <w:rsid w:val="001675AF"/>
    <w:rsid w:val="001776E8"/>
    <w:rsid w:val="001916AE"/>
    <w:rsid w:val="00191A1F"/>
    <w:rsid w:val="00192A9F"/>
    <w:rsid w:val="0019316F"/>
    <w:rsid w:val="00195F7F"/>
    <w:rsid w:val="00197495"/>
    <w:rsid w:val="00197504"/>
    <w:rsid w:val="001A012A"/>
    <w:rsid w:val="001A27B8"/>
    <w:rsid w:val="001A306E"/>
    <w:rsid w:val="001A4038"/>
    <w:rsid w:val="001B0E13"/>
    <w:rsid w:val="001B2E0F"/>
    <w:rsid w:val="001B412F"/>
    <w:rsid w:val="001C0319"/>
    <w:rsid w:val="001C078A"/>
    <w:rsid w:val="001C248C"/>
    <w:rsid w:val="001C3676"/>
    <w:rsid w:val="001C5A32"/>
    <w:rsid w:val="001D29C8"/>
    <w:rsid w:val="001D5CF2"/>
    <w:rsid w:val="001D6B24"/>
    <w:rsid w:val="001D71C5"/>
    <w:rsid w:val="001D7ADD"/>
    <w:rsid w:val="001E2BC7"/>
    <w:rsid w:val="001E52DC"/>
    <w:rsid w:val="001E53A2"/>
    <w:rsid w:val="001E58B3"/>
    <w:rsid w:val="001E594A"/>
    <w:rsid w:val="001F1E93"/>
    <w:rsid w:val="001F31C1"/>
    <w:rsid w:val="001F658F"/>
    <w:rsid w:val="001F6A6E"/>
    <w:rsid w:val="00201124"/>
    <w:rsid w:val="00207266"/>
    <w:rsid w:val="00210AB6"/>
    <w:rsid w:val="00211106"/>
    <w:rsid w:val="0021196D"/>
    <w:rsid w:val="00212492"/>
    <w:rsid w:val="00217D52"/>
    <w:rsid w:val="0022256E"/>
    <w:rsid w:val="0022274E"/>
    <w:rsid w:val="00222DC0"/>
    <w:rsid w:val="00227A2C"/>
    <w:rsid w:val="00230603"/>
    <w:rsid w:val="00230694"/>
    <w:rsid w:val="00232F16"/>
    <w:rsid w:val="00233149"/>
    <w:rsid w:val="00234A4F"/>
    <w:rsid w:val="00243E11"/>
    <w:rsid w:val="002441E9"/>
    <w:rsid w:val="00244718"/>
    <w:rsid w:val="00246EAC"/>
    <w:rsid w:val="00247A8F"/>
    <w:rsid w:val="002549B0"/>
    <w:rsid w:val="00260879"/>
    <w:rsid w:val="002618E8"/>
    <w:rsid w:val="0026217A"/>
    <w:rsid w:val="002635C2"/>
    <w:rsid w:val="002649A0"/>
    <w:rsid w:val="002679E4"/>
    <w:rsid w:val="00267B6F"/>
    <w:rsid w:val="00267D17"/>
    <w:rsid w:val="00270D15"/>
    <w:rsid w:val="0027122D"/>
    <w:rsid w:val="00271DEA"/>
    <w:rsid w:val="002720BB"/>
    <w:rsid w:val="00275FED"/>
    <w:rsid w:val="00277FFE"/>
    <w:rsid w:val="00283DBA"/>
    <w:rsid w:val="0028470E"/>
    <w:rsid w:val="002910CA"/>
    <w:rsid w:val="002948E6"/>
    <w:rsid w:val="00294A2C"/>
    <w:rsid w:val="00295204"/>
    <w:rsid w:val="002A028B"/>
    <w:rsid w:val="002A0A0B"/>
    <w:rsid w:val="002A0FC5"/>
    <w:rsid w:val="002A239C"/>
    <w:rsid w:val="002A38C3"/>
    <w:rsid w:val="002A7D56"/>
    <w:rsid w:val="002B34E9"/>
    <w:rsid w:val="002D247D"/>
    <w:rsid w:val="002D5D60"/>
    <w:rsid w:val="002E021F"/>
    <w:rsid w:val="002E2810"/>
    <w:rsid w:val="002E4D4C"/>
    <w:rsid w:val="002F3D59"/>
    <w:rsid w:val="002F4074"/>
    <w:rsid w:val="00301B8F"/>
    <w:rsid w:val="0030332C"/>
    <w:rsid w:val="00304446"/>
    <w:rsid w:val="00304524"/>
    <w:rsid w:val="00304AB8"/>
    <w:rsid w:val="00305772"/>
    <w:rsid w:val="00306F9F"/>
    <w:rsid w:val="003103D2"/>
    <w:rsid w:val="003128D1"/>
    <w:rsid w:val="0031389B"/>
    <w:rsid w:val="00315A37"/>
    <w:rsid w:val="00320E81"/>
    <w:rsid w:val="00323793"/>
    <w:rsid w:val="00327E4E"/>
    <w:rsid w:val="003369A0"/>
    <w:rsid w:val="00343987"/>
    <w:rsid w:val="0034460D"/>
    <w:rsid w:val="0035204B"/>
    <w:rsid w:val="00353011"/>
    <w:rsid w:val="00353B18"/>
    <w:rsid w:val="00353F36"/>
    <w:rsid w:val="003544A4"/>
    <w:rsid w:val="00355B57"/>
    <w:rsid w:val="00355FAB"/>
    <w:rsid w:val="003561F6"/>
    <w:rsid w:val="0036201A"/>
    <w:rsid w:val="003642F6"/>
    <w:rsid w:val="00365389"/>
    <w:rsid w:val="003674EB"/>
    <w:rsid w:val="00370147"/>
    <w:rsid w:val="003721BA"/>
    <w:rsid w:val="0037348E"/>
    <w:rsid w:val="00373B90"/>
    <w:rsid w:val="003844D8"/>
    <w:rsid w:val="0038722F"/>
    <w:rsid w:val="00387B66"/>
    <w:rsid w:val="003935C7"/>
    <w:rsid w:val="00393AC8"/>
    <w:rsid w:val="00397420"/>
    <w:rsid w:val="003A4275"/>
    <w:rsid w:val="003A46E9"/>
    <w:rsid w:val="003A4957"/>
    <w:rsid w:val="003A5630"/>
    <w:rsid w:val="003B1ED9"/>
    <w:rsid w:val="003B2F8E"/>
    <w:rsid w:val="003B787B"/>
    <w:rsid w:val="003B7D3A"/>
    <w:rsid w:val="003C293C"/>
    <w:rsid w:val="003C37A4"/>
    <w:rsid w:val="003C37A5"/>
    <w:rsid w:val="003C7171"/>
    <w:rsid w:val="003D24C9"/>
    <w:rsid w:val="003D3027"/>
    <w:rsid w:val="003D5445"/>
    <w:rsid w:val="003D73C7"/>
    <w:rsid w:val="003E75F6"/>
    <w:rsid w:val="003F6490"/>
    <w:rsid w:val="004002B0"/>
    <w:rsid w:val="004050CB"/>
    <w:rsid w:val="0040559C"/>
    <w:rsid w:val="00412C9B"/>
    <w:rsid w:val="004235D3"/>
    <w:rsid w:val="0042579A"/>
    <w:rsid w:val="00425B16"/>
    <w:rsid w:val="00425BEB"/>
    <w:rsid w:val="0042799E"/>
    <w:rsid w:val="004318A5"/>
    <w:rsid w:val="004322BB"/>
    <w:rsid w:val="00433194"/>
    <w:rsid w:val="004347DB"/>
    <w:rsid w:val="0043610F"/>
    <w:rsid w:val="00440411"/>
    <w:rsid w:val="00447086"/>
    <w:rsid w:val="004473CB"/>
    <w:rsid w:val="00450748"/>
    <w:rsid w:val="004512D0"/>
    <w:rsid w:val="00451DE9"/>
    <w:rsid w:val="00455485"/>
    <w:rsid w:val="00455D8A"/>
    <w:rsid w:val="00456542"/>
    <w:rsid w:val="004602AD"/>
    <w:rsid w:val="00460CC9"/>
    <w:rsid w:val="00461CCC"/>
    <w:rsid w:val="00467671"/>
    <w:rsid w:val="004729E7"/>
    <w:rsid w:val="004738B1"/>
    <w:rsid w:val="00473C8A"/>
    <w:rsid w:val="0047596A"/>
    <w:rsid w:val="00480A92"/>
    <w:rsid w:val="00482808"/>
    <w:rsid w:val="00483F26"/>
    <w:rsid w:val="004907A6"/>
    <w:rsid w:val="0049577E"/>
    <w:rsid w:val="004A178E"/>
    <w:rsid w:val="004A24E8"/>
    <w:rsid w:val="004A29DD"/>
    <w:rsid w:val="004A2D21"/>
    <w:rsid w:val="004A45FF"/>
    <w:rsid w:val="004B093C"/>
    <w:rsid w:val="004B7CA4"/>
    <w:rsid w:val="004C3E81"/>
    <w:rsid w:val="004C506E"/>
    <w:rsid w:val="004C7A14"/>
    <w:rsid w:val="004D192C"/>
    <w:rsid w:val="004D2769"/>
    <w:rsid w:val="004E3143"/>
    <w:rsid w:val="004E46A0"/>
    <w:rsid w:val="004E70D1"/>
    <w:rsid w:val="004F0560"/>
    <w:rsid w:val="004F0E96"/>
    <w:rsid w:val="004F282C"/>
    <w:rsid w:val="00501E8E"/>
    <w:rsid w:val="0050235A"/>
    <w:rsid w:val="00502B77"/>
    <w:rsid w:val="005039A5"/>
    <w:rsid w:val="00511DA3"/>
    <w:rsid w:val="00514115"/>
    <w:rsid w:val="00515D72"/>
    <w:rsid w:val="005166C5"/>
    <w:rsid w:val="0052165B"/>
    <w:rsid w:val="00524254"/>
    <w:rsid w:val="00524516"/>
    <w:rsid w:val="0052596B"/>
    <w:rsid w:val="005267E3"/>
    <w:rsid w:val="00526EC7"/>
    <w:rsid w:val="0053123E"/>
    <w:rsid w:val="0053175B"/>
    <w:rsid w:val="0053321A"/>
    <w:rsid w:val="00534287"/>
    <w:rsid w:val="005360BE"/>
    <w:rsid w:val="00540E15"/>
    <w:rsid w:val="00545155"/>
    <w:rsid w:val="00545AAA"/>
    <w:rsid w:val="00545E78"/>
    <w:rsid w:val="005504BC"/>
    <w:rsid w:val="0055053A"/>
    <w:rsid w:val="00551C59"/>
    <w:rsid w:val="00556AC5"/>
    <w:rsid w:val="00557DDC"/>
    <w:rsid w:val="00557E04"/>
    <w:rsid w:val="00564833"/>
    <w:rsid w:val="00565B5B"/>
    <w:rsid w:val="00570D07"/>
    <w:rsid w:val="0057155E"/>
    <w:rsid w:val="00573516"/>
    <w:rsid w:val="00573E87"/>
    <w:rsid w:val="00575A29"/>
    <w:rsid w:val="005761D3"/>
    <w:rsid w:val="00580A5A"/>
    <w:rsid w:val="00581F1C"/>
    <w:rsid w:val="005841B7"/>
    <w:rsid w:val="005852F4"/>
    <w:rsid w:val="00586A5C"/>
    <w:rsid w:val="00591567"/>
    <w:rsid w:val="0059289B"/>
    <w:rsid w:val="00597C58"/>
    <w:rsid w:val="005B1EF7"/>
    <w:rsid w:val="005B740A"/>
    <w:rsid w:val="005C0AA5"/>
    <w:rsid w:val="005C2403"/>
    <w:rsid w:val="005C777D"/>
    <w:rsid w:val="005D1E77"/>
    <w:rsid w:val="005D34F3"/>
    <w:rsid w:val="005E4BD1"/>
    <w:rsid w:val="005E6B96"/>
    <w:rsid w:val="005E6D26"/>
    <w:rsid w:val="005F0B5C"/>
    <w:rsid w:val="005F1000"/>
    <w:rsid w:val="005F5CEB"/>
    <w:rsid w:val="005F6CD5"/>
    <w:rsid w:val="006012ED"/>
    <w:rsid w:val="00604915"/>
    <w:rsid w:val="00607B22"/>
    <w:rsid w:val="00613446"/>
    <w:rsid w:val="006226D3"/>
    <w:rsid w:val="00622CB7"/>
    <w:rsid w:val="006252D0"/>
    <w:rsid w:val="00631BBA"/>
    <w:rsid w:val="006322C3"/>
    <w:rsid w:val="006347CB"/>
    <w:rsid w:val="0063617D"/>
    <w:rsid w:val="00636241"/>
    <w:rsid w:val="0063751D"/>
    <w:rsid w:val="00640955"/>
    <w:rsid w:val="00642F6C"/>
    <w:rsid w:val="006434EF"/>
    <w:rsid w:val="00647D43"/>
    <w:rsid w:val="00647D7B"/>
    <w:rsid w:val="00651302"/>
    <w:rsid w:val="00652A6C"/>
    <w:rsid w:val="00656373"/>
    <w:rsid w:val="00657D26"/>
    <w:rsid w:val="006610A5"/>
    <w:rsid w:val="00661A30"/>
    <w:rsid w:val="006626EC"/>
    <w:rsid w:val="00662D7F"/>
    <w:rsid w:val="00663BF9"/>
    <w:rsid w:val="00664A78"/>
    <w:rsid w:val="00667FF6"/>
    <w:rsid w:val="00674DBE"/>
    <w:rsid w:val="00675DA4"/>
    <w:rsid w:val="0067618A"/>
    <w:rsid w:val="00687B1F"/>
    <w:rsid w:val="006942A0"/>
    <w:rsid w:val="00695BE1"/>
    <w:rsid w:val="006A2EFC"/>
    <w:rsid w:val="006A5E0F"/>
    <w:rsid w:val="006B212A"/>
    <w:rsid w:val="006B42DD"/>
    <w:rsid w:val="006B71BA"/>
    <w:rsid w:val="006B7AD2"/>
    <w:rsid w:val="006C4D4D"/>
    <w:rsid w:val="006C4F79"/>
    <w:rsid w:val="006C50B9"/>
    <w:rsid w:val="006D070F"/>
    <w:rsid w:val="006D5D36"/>
    <w:rsid w:val="006D77DA"/>
    <w:rsid w:val="006E1373"/>
    <w:rsid w:val="006E1852"/>
    <w:rsid w:val="006E2493"/>
    <w:rsid w:val="006E3C7D"/>
    <w:rsid w:val="006E3F40"/>
    <w:rsid w:val="006F0FD0"/>
    <w:rsid w:val="006F64D2"/>
    <w:rsid w:val="00702B5A"/>
    <w:rsid w:val="0071491B"/>
    <w:rsid w:val="00717276"/>
    <w:rsid w:val="007315AB"/>
    <w:rsid w:val="00733A2F"/>
    <w:rsid w:val="00734ECB"/>
    <w:rsid w:val="00737881"/>
    <w:rsid w:val="00737B33"/>
    <w:rsid w:val="0074121D"/>
    <w:rsid w:val="00743198"/>
    <w:rsid w:val="00743305"/>
    <w:rsid w:val="00747D97"/>
    <w:rsid w:val="007527F4"/>
    <w:rsid w:val="00753327"/>
    <w:rsid w:val="007533EB"/>
    <w:rsid w:val="00755115"/>
    <w:rsid w:val="00760416"/>
    <w:rsid w:val="00763C41"/>
    <w:rsid w:val="00764596"/>
    <w:rsid w:val="007677C1"/>
    <w:rsid w:val="00771E9C"/>
    <w:rsid w:val="00773E8A"/>
    <w:rsid w:val="007740B0"/>
    <w:rsid w:val="0077613F"/>
    <w:rsid w:val="0077623D"/>
    <w:rsid w:val="00784B4B"/>
    <w:rsid w:val="00784FDA"/>
    <w:rsid w:val="00790B83"/>
    <w:rsid w:val="00793821"/>
    <w:rsid w:val="007A097C"/>
    <w:rsid w:val="007A0D40"/>
    <w:rsid w:val="007A309E"/>
    <w:rsid w:val="007A3627"/>
    <w:rsid w:val="007A50C3"/>
    <w:rsid w:val="007A6813"/>
    <w:rsid w:val="007B0FD7"/>
    <w:rsid w:val="007B1705"/>
    <w:rsid w:val="007B1D1F"/>
    <w:rsid w:val="007B647F"/>
    <w:rsid w:val="007C0CA3"/>
    <w:rsid w:val="007C26B5"/>
    <w:rsid w:val="007C277F"/>
    <w:rsid w:val="007C2840"/>
    <w:rsid w:val="007C59A1"/>
    <w:rsid w:val="007D0941"/>
    <w:rsid w:val="007D11DC"/>
    <w:rsid w:val="007D16C1"/>
    <w:rsid w:val="007D3C28"/>
    <w:rsid w:val="007D3C50"/>
    <w:rsid w:val="007D458B"/>
    <w:rsid w:val="007D5C87"/>
    <w:rsid w:val="007D607B"/>
    <w:rsid w:val="007D70E3"/>
    <w:rsid w:val="007E3363"/>
    <w:rsid w:val="007E39BE"/>
    <w:rsid w:val="007F21A5"/>
    <w:rsid w:val="007F6781"/>
    <w:rsid w:val="00801517"/>
    <w:rsid w:val="0080331D"/>
    <w:rsid w:val="00803C9B"/>
    <w:rsid w:val="008131EF"/>
    <w:rsid w:val="00821D4C"/>
    <w:rsid w:val="0082486A"/>
    <w:rsid w:val="00824A87"/>
    <w:rsid w:val="00826807"/>
    <w:rsid w:val="00826992"/>
    <w:rsid w:val="008272B9"/>
    <w:rsid w:val="00832781"/>
    <w:rsid w:val="00842134"/>
    <w:rsid w:val="00847709"/>
    <w:rsid w:val="00847B36"/>
    <w:rsid w:val="0085158C"/>
    <w:rsid w:val="008600BD"/>
    <w:rsid w:val="00861645"/>
    <w:rsid w:val="008637C1"/>
    <w:rsid w:val="00863F8B"/>
    <w:rsid w:val="00864D13"/>
    <w:rsid w:val="00865189"/>
    <w:rsid w:val="00867962"/>
    <w:rsid w:val="00870D86"/>
    <w:rsid w:val="00871824"/>
    <w:rsid w:val="00874B93"/>
    <w:rsid w:val="00877037"/>
    <w:rsid w:val="00882E61"/>
    <w:rsid w:val="008835B6"/>
    <w:rsid w:val="00883BB2"/>
    <w:rsid w:val="00887655"/>
    <w:rsid w:val="0089079B"/>
    <w:rsid w:val="0089133E"/>
    <w:rsid w:val="00895EDA"/>
    <w:rsid w:val="00896FD1"/>
    <w:rsid w:val="00897246"/>
    <w:rsid w:val="008A39F9"/>
    <w:rsid w:val="008A5BEB"/>
    <w:rsid w:val="008A5E4F"/>
    <w:rsid w:val="008B2F51"/>
    <w:rsid w:val="008B3745"/>
    <w:rsid w:val="008C0A41"/>
    <w:rsid w:val="008C2274"/>
    <w:rsid w:val="008C3EF1"/>
    <w:rsid w:val="008C76F6"/>
    <w:rsid w:val="008D0B9E"/>
    <w:rsid w:val="008D40AB"/>
    <w:rsid w:val="008D7607"/>
    <w:rsid w:val="008D7852"/>
    <w:rsid w:val="008E2831"/>
    <w:rsid w:val="008E2B10"/>
    <w:rsid w:val="008E38FD"/>
    <w:rsid w:val="008E4675"/>
    <w:rsid w:val="008E6141"/>
    <w:rsid w:val="008E67E1"/>
    <w:rsid w:val="008E70EF"/>
    <w:rsid w:val="008E779F"/>
    <w:rsid w:val="008F115A"/>
    <w:rsid w:val="008F279F"/>
    <w:rsid w:val="008F5BDC"/>
    <w:rsid w:val="00900BA6"/>
    <w:rsid w:val="009014DC"/>
    <w:rsid w:val="009023DE"/>
    <w:rsid w:val="0090442A"/>
    <w:rsid w:val="00910AFE"/>
    <w:rsid w:val="00910C49"/>
    <w:rsid w:val="00911C77"/>
    <w:rsid w:val="00914DA3"/>
    <w:rsid w:val="0091791D"/>
    <w:rsid w:val="00920E8C"/>
    <w:rsid w:val="009227A4"/>
    <w:rsid w:val="00922A60"/>
    <w:rsid w:val="00924107"/>
    <w:rsid w:val="00924118"/>
    <w:rsid w:val="0092681A"/>
    <w:rsid w:val="009274DB"/>
    <w:rsid w:val="00931828"/>
    <w:rsid w:val="009329BE"/>
    <w:rsid w:val="00932D6A"/>
    <w:rsid w:val="009349F8"/>
    <w:rsid w:val="00937A4E"/>
    <w:rsid w:val="0094344B"/>
    <w:rsid w:val="00944CA6"/>
    <w:rsid w:val="009469CA"/>
    <w:rsid w:val="00956D22"/>
    <w:rsid w:val="009571BD"/>
    <w:rsid w:val="009624F1"/>
    <w:rsid w:val="00962833"/>
    <w:rsid w:val="00962E5E"/>
    <w:rsid w:val="00972165"/>
    <w:rsid w:val="0097258E"/>
    <w:rsid w:val="0097636E"/>
    <w:rsid w:val="00981F0B"/>
    <w:rsid w:val="009856EB"/>
    <w:rsid w:val="0098660E"/>
    <w:rsid w:val="009876E3"/>
    <w:rsid w:val="00990027"/>
    <w:rsid w:val="00992635"/>
    <w:rsid w:val="00995B90"/>
    <w:rsid w:val="009A45F5"/>
    <w:rsid w:val="009A52E1"/>
    <w:rsid w:val="009B04E7"/>
    <w:rsid w:val="009C4952"/>
    <w:rsid w:val="009D0CF1"/>
    <w:rsid w:val="009D1040"/>
    <w:rsid w:val="009D1433"/>
    <w:rsid w:val="009D1623"/>
    <w:rsid w:val="009D5BDA"/>
    <w:rsid w:val="009D5CD7"/>
    <w:rsid w:val="009D7092"/>
    <w:rsid w:val="009E3CA9"/>
    <w:rsid w:val="009E4AFF"/>
    <w:rsid w:val="009E4F2A"/>
    <w:rsid w:val="009E66D3"/>
    <w:rsid w:val="009F0D46"/>
    <w:rsid w:val="009F1898"/>
    <w:rsid w:val="009F3071"/>
    <w:rsid w:val="009F4E89"/>
    <w:rsid w:val="00A011C4"/>
    <w:rsid w:val="00A013DA"/>
    <w:rsid w:val="00A102AD"/>
    <w:rsid w:val="00A12A4E"/>
    <w:rsid w:val="00A138FF"/>
    <w:rsid w:val="00A151ED"/>
    <w:rsid w:val="00A213F5"/>
    <w:rsid w:val="00A2393F"/>
    <w:rsid w:val="00A271E5"/>
    <w:rsid w:val="00A27D95"/>
    <w:rsid w:val="00A40D16"/>
    <w:rsid w:val="00A429BF"/>
    <w:rsid w:val="00A43E50"/>
    <w:rsid w:val="00A444F2"/>
    <w:rsid w:val="00A47F0F"/>
    <w:rsid w:val="00A50FA8"/>
    <w:rsid w:val="00A54074"/>
    <w:rsid w:val="00A576FA"/>
    <w:rsid w:val="00A67700"/>
    <w:rsid w:val="00A715FB"/>
    <w:rsid w:val="00A73717"/>
    <w:rsid w:val="00A775B0"/>
    <w:rsid w:val="00A839F1"/>
    <w:rsid w:val="00A83B31"/>
    <w:rsid w:val="00A852EF"/>
    <w:rsid w:val="00A8789D"/>
    <w:rsid w:val="00A91F70"/>
    <w:rsid w:val="00A93CE5"/>
    <w:rsid w:val="00A9403B"/>
    <w:rsid w:val="00A9416E"/>
    <w:rsid w:val="00A9709A"/>
    <w:rsid w:val="00A97815"/>
    <w:rsid w:val="00A97ED5"/>
    <w:rsid w:val="00AA02E6"/>
    <w:rsid w:val="00AA1A8B"/>
    <w:rsid w:val="00AA3D7C"/>
    <w:rsid w:val="00AA59F2"/>
    <w:rsid w:val="00AB2B60"/>
    <w:rsid w:val="00AB331D"/>
    <w:rsid w:val="00AB3AB3"/>
    <w:rsid w:val="00AB7529"/>
    <w:rsid w:val="00AC12AE"/>
    <w:rsid w:val="00AC34D4"/>
    <w:rsid w:val="00AC3767"/>
    <w:rsid w:val="00AC38E7"/>
    <w:rsid w:val="00AC58A3"/>
    <w:rsid w:val="00AD27F5"/>
    <w:rsid w:val="00AD3D98"/>
    <w:rsid w:val="00AD6749"/>
    <w:rsid w:val="00AE1AD1"/>
    <w:rsid w:val="00AE1C6A"/>
    <w:rsid w:val="00AE37A4"/>
    <w:rsid w:val="00AE3CD2"/>
    <w:rsid w:val="00AE74EE"/>
    <w:rsid w:val="00AF1C67"/>
    <w:rsid w:val="00AF3753"/>
    <w:rsid w:val="00AF412B"/>
    <w:rsid w:val="00B01BDE"/>
    <w:rsid w:val="00B03655"/>
    <w:rsid w:val="00B07B8B"/>
    <w:rsid w:val="00B12774"/>
    <w:rsid w:val="00B1419A"/>
    <w:rsid w:val="00B17073"/>
    <w:rsid w:val="00B17E6D"/>
    <w:rsid w:val="00B205BE"/>
    <w:rsid w:val="00B222A4"/>
    <w:rsid w:val="00B242B5"/>
    <w:rsid w:val="00B274D6"/>
    <w:rsid w:val="00B27721"/>
    <w:rsid w:val="00B3095A"/>
    <w:rsid w:val="00B318A4"/>
    <w:rsid w:val="00B33921"/>
    <w:rsid w:val="00B3428E"/>
    <w:rsid w:val="00B36D25"/>
    <w:rsid w:val="00B42677"/>
    <w:rsid w:val="00B5283F"/>
    <w:rsid w:val="00B61413"/>
    <w:rsid w:val="00B62790"/>
    <w:rsid w:val="00B661EC"/>
    <w:rsid w:val="00B6696B"/>
    <w:rsid w:val="00B67E73"/>
    <w:rsid w:val="00B72D35"/>
    <w:rsid w:val="00B73134"/>
    <w:rsid w:val="00B73B59"/>
    <w:rsid w:val="00B80AD3"/>
    <w:rsid w:val="00B8192D"/>
    <w:rsid w:val="00B81C86"/>
    <w:rsid w:val="00B84D0F"/>
    <w:rsid w:val="00B85CB9"/>
    <w:rsid w:val="00B860F8"/>
    <w:rsid w:val="00B95AC1"/>
    <w:rsid w:val="00B972D5"/>
    <w:rsid w:val="00BB0484"/>
    <w:rsid w:val="00BB196F"/>
    <w:rsid w:val="00BB491B"/>
    <w:rsid w:val="00BB4EBB"/>
    <w:rsid w:val="00BB711D"/>
    <w:rsid w:val="00BC66F7"/>
    <w:rsid w:val="00BD27FF"/>
    <w:rsid w:val="00BD329E"/>
    <w:rsid w:val="00BE1E28"/>
    <w:rsid w:val="00BE2432"/>
    <w:rsid w:val="00BE3C9B"/>
    <w:rsid w:val="00BE3EEA"/>
    <w:rsid w:val="00BE458C"/>
    <w:rsid w:val="00BE5DEB"/>
    <w:rsid w:val="00BF02E0"/>
    <w:rsid w:val="00BF1067"/>
    <w:rsid w:val="00BF4692"/>
    <w:rsid w:val="00BF7CEC"/>
    <w:rsid w:val="00C01292"/>
    <w:rsid w:val="00C074F2"/>
    <w:rsid w:val="00C07F2C"/>
    <w:rsid w:val="00C13461"/>
    <w:rsid w:val="00C13FFE"/>
    <w:rsid w:val="00C177C8"/>
    <w:rsid w:val="00C22F91"/>
    <w:rsid w:val="00C24220"/>
    <w:rsid w:val="00C3069F"/>
    <w:rsid w:val="00C36242"/>
    <w:rsid w:val="00C379BA"/>
    <w:rsid w:val="00C37FDA"/>
    <w:rsid w:val="00C4130D"/>
    <w:rsid w:val="00C42C11"/>
    <w:rsid w:val="00C42E98"/>
    <w:rsid w:val="00C43757"/>
    <w:rsid w:val="00C448E0"/>
    <w:rsid w:val="00C452C8"/>
    <w:rsid w:val="00C52770"/>
    <w:rsid w:val="00C554A3"/>
    <w:rsid w:val="00C6467A"/>
    <w:rsid w:val="00C659B1"/>
    <w:rsid w:val="00C66584"/>
    <w:rsid w:val="00C66C32"/>
    <w:rsid w:val="00C7053B"/>
    <w:rsid w:val="00C70E82"/>
    <w:rsid w:val="00C73209"/>
    <w:rsid w:val="00C74F21"/>
    <w:rsid w:val="00C762F4"/>
    <w:rsid w:val="00C83166"/>
    <w:rsid w:val="00C833B0"/>
    <w:rsid w:val="00C84700"/>
    <w:rsid w:val="00C85236"/>
    <w:rsid w:val="00C8595A"/>
    <w:rsid w:val="00C86B02"/>
    <w:rsid w:val="00C86E5D"/>
    <w:rsid w:val="00C86FEF"/>
    <w:rsid w:val="00C959C2"/>
    <w:rsid w:val="00CA08D1"/>
    <w:rsid w:val="00CA1284"/>
    <w:rsid w:val="00CA1ABB"/>
    <w:rsid w:val="00CA394C"/>
    <w:rsid w:val="00CA5E67"/>
    <w:rsid w:val="00CB132D"/>
    <w:rsid w:val="00CB5201"/>
    <w:rsid w:val="00CB64F4"/>
    <w:rsid w:val="00CC093D"/>
    <w:rsid w:val="00CC1017"/>
    <w:rsid w:val="00CC2E77"/>
    <w:rsid w:val="00CC2E7A"/>
    <w:rsid w:val="00CC4111"/>
    <w:rsid w:val="00CC7109"/>
    <w:rsid w:val="00CD0E0B"/>
    <w:rsid w:val="00CD127E"/>
    <w:rsid w:val="00CD261A"/>
    <w:rsid w:val="00CD3395"/>
    <w:rsid w:val="00CD5F94"/>
    <w:rsid w:val="00CE13F7"/>
    <w:rsid w:val="00CE496C"/>
    <w:rsid w:val="00CF3DEF"/>
    <w:rsid w:val="00CF5088"/>
    <w:rsid w:val="00CF677A"/>
    <w:rsid w:val="00CF7F11"/>
    <w:rsid w:val="00D016F4"/>
    <w:rsid w:val="00D040DC"/>
    <w:rsid w:val="00D05BD5"/>
    <w:rsid w:val="00D05D21"/>
    <w:rsid w:val="00D0686C"/>
    <w:rsid w:val="00D07E97"/>
    <w:rsid w:val="00D113D8"/>
    <w:rsid w:val="00D13BFC"/>
    <w:rsid w:val="00D15A21"/>
    <w:rsid w:val="00D16711"/>
    <w:rsid w:val="00D20661"/>
    <w:rsid w:val="00D2253E"/>
    <w:rsid w:val="00D24329"/>
    <w:rsid w:val="00D245BC"/>
    <w:rsid w:val="00D30F64"/>
    <w:rsid w:val="00D45DBE"/>
    <w:rsid w:val="00D51D8C"/>
    <w:rsid w:val="00D542BF"/>
    <w:rsid w:val="00D5706F"/>
    <w:rsid w:val="00D61499"/>
    <w:rsid w:val="00D614DC"/>
    <w:rsid w:val="00D61909"/>
    <w:rsid w:val="00D61C74"/>
    <w:rsid w:val="00D627C9"/>
    <w:rsid w:val="00D64812"/>
    <w:rsid w:val="00D671AC"/>
    <w:rsid w:val="00D712AB"/>
    <w:rsid w:val="00D728E3"/>
    <w:rsid w:val="00D736E8"/>
    <w:rsid w:val="00D744F5"/>
    <w:rsid w:val="00D7460C"/>
    <w:rsid w:val="00D75C5B"/>
    <w:rsid w:val="00D76F42"/>
    <w:rsid w:val="00D774F7"/>
    <w:rsid w:val="00D814C1"/>
    <w:rsid w:val="00D81A51"/>
    <w:rsid w:val="00D83DE2"/>
    <w:rsid w:val="00D854E7"/>
    <w:rsid w:val="00D867B7"/>
    <w:rsid w:val="00D91C9F"/>
    <w:rsid w:val="00D92B4B"/>
    <w:rsid w:val="00D9630E"/>
    <w:rsid w:val="00D96B8E"/>
    <w:rsid w:val="00D9743F"/>
    <w:rsid w:val="00DA4932"/>
    <w:rsid w:val="00DA4BD9"/>
    <w:rsid w:val="00DA72ED"/>
    <w:rsid w:val="00DA79B8"/>
    <w:rsid w:val="00DB1469"/>
    <w:rsid w:val="00DB4AD1"/>
    <w:rsid w:val="00DB5F8F"/>
    <w:rsid w:val="00DC1826"/>
    <w:rsid w:val="00DC22B1"/>
    <w:rsid w:val="00DC2730"/>
    <w:rsid w:val="00DC3B96"/>
    <w:rsid w:val="00DC64CC"/>
    <w:rsid w:val="00DD0013"/>
    <w:rsid w:val="00DD1F3D"/>
    <w:rsid w:val="00DD561A"/>
    <w:rsid w:val="00DE37DF"/>
    <w:rsid w:val="00DE38BC"/>
    <w:rsid w:val="00DE421D"/>
    <w:rsid w:val="00DE7FCC"/>
    <w:rsid w:val="00DF527D"/>
    <w:rsid w:val="00DF59AD"/>
    <w:rsid w:val="00DF7696"/>
    <w:rsid w:val="00E06039"/>
    <w:rsid w:val="00E10910"/>
    <w:rsid w:val="00E1170D"/>
    <w:rsid w:val="00E11A6F"/>
    <w:rsid w:val="00E124E5"/>
    <w:rsid w:val="00E16AD1"/>
    <w:rsid w:val="00E23056"/>
    <w:rsid w:val="00E24818"/>
    <w:rsid w:val="00E26808"/>
    <w:rsid w:val="00E26A5C"/>
    <w:rsid w:val="00E27F6A"/>
    <w:rsid w:val="00E3026C"/>
    <w:rsid w:val="00E31491"/>
    <w:rsid w:val="00E32C07"/>
    <w:rsid w:val="00E33403"/>
    <w:rsid w:val="00E33C7C"/>
    <w:rsid w:val="00E346E5"/>
    <w:rsid w:val="00E367FD"/>
    <w:rsid w:val="00E4056B"/>
    <w:rsid w:val="00E40C07"/>
    <w:rsid w:val="00E43C6C"/>
    <w:rsid w:val="00E44550"/>
    <w:rsid w:val="00E449BA"/>
    <w:rsid w:val="00E46E15"/>
    <w:rsid w:val="00E5043D"/>
    <w:rsid w:val="00E57C14"/>
    <w:rsid w:val="00E610DA"/>
    <w:rsid w:val="00E6461E"/>
    <w:rsid w:val="00E7374E"/>
    <w:rsid w:val="00E818EC"/>
    <w:rsid w:val="00E81A7A"/>
    <w:rsid w:val="00E833C4"/>
    <w:rsid w:val="00E86D70"/>
    <w:rsid w:val="00E93766"/>
    <w:rsid w:val="00E95344"/>
    <w:rsid w:val="00E95AB8"/>
    <w:rsid w:val="00E96BC2"/>
    <w:rsid w:val="00EA1F9C"/>
    <w:rsid w:val="00EA6AAC"/>
    <w:rsid w:val="00EA7994"/>
    <w:rsid w:val="00EA7C50"/>
    <w:rsid w:val="00EB0EDF"/>
    <w:rsid w:val="00EB1950"/>
    <w:rsid w:val="00EB231F"/>
    <w:rsid w:val="00EB4255"/>
    <w:rsid w:val="00EB4F58"/>
    <w:rsid w:val="00EB59F8"/>
    <w:rsid w:val="00EB6C9C"/>
    <w:rsid w:val="00EC6FF1"/>
    <w:rsid w:val="00EC778B"/>
    <w:rsid w:val="00ED3827"/>
    <w:rsid w:val="00ED42EC"/>
    <w:rsid w:val="00ED59B5"/>
    <w:rsid w:val="00EE6733"/>
    <w:rsid w:val="00EF0F9B"/>
    <w:rsid w:val="00EF1EBB"/>
    <w:rsid w:val="00EF1F4E"/>
    <w:rsid w:val="00EF5671"/>
    <w:rsid w:val="00EF64EB"/>
    <w:rsid w:val="00F0164D"/>
    <w:rsid w:val="00F026C1"/>
    <w:rsid w:val="00F12172"/>
    <w:rsid w:val="00F1244D"/>
    <w:rsid w:val="00F16739"/>
    <w:rsid w:val="00F213F3"/>
    <w:rsid w:val="00F268FA"/>
    <w:rsid w:val="00F30D3E"/>
    <w:rsid w:val="00F35D72"/>
    <w:rsid w:val="00F40887"/>
    <w:rsid w:val="00F41C82"/>
    <w:rsid w:val="00F43401"/>
    <w:rsid w:val="00F43E37"/>
    <w:rsid w:val="00F47FC3"/>
    <w:rsid w:val="00F53D54"/>
    <w:rsid w:val="00F56915"/>
    <w:rsid w:val="00F61DD5"/>
    <w:rsid w:val="00F649B4"/>
    <w:rsid w:val="00F70340"/>
    <w:rsid w:val="00F721BE"/>
    <w:rsid w:val="00F72B44"/>
    <w:rsid w:val="00F73B34"/>
    <w:rsid w:val="00F73EAA"/>
    <w:rsid w:val="00F823A1"/>
    <w:rsid w:val="00F851BC"/>
    <w:rsid w:val="00F872D0"/>
    <w:rsid w:val="00F902DB"/>
    <w:rsid w:val="00F91138"/>
    <w:rsid w:val="00F94115"/>
    <w:rsid w:val="00F96976"/>
    <w:rsid w:val="00FA2532"/>
    <w:rsid w:val="00FB46E4"/>
    <w:rsid w:val="00FB70B0"/>
    <w:rsid w:val="00FB723D"/>
    <w:rsid w:val="00FC60FB"/>
    <w:rsid w:val="00FC7A1C"/>
    <w:rsid w:val="00FD1AFA"/>
    <w:rsid w:val="00FD285C"/>
    <w:rsid w:val="00FD305F"/>
    <w:rsid w:val="00FD32EF"/>
    <w:rsid w:val="00FD4291"/>
    <w:rsid w:val="00FD5A59"/>
    <w:rsid w:val="00FE10FC"/>
    <w:rsid w:val="00FE1AD3"/>
    <w:rsid w:val="00FE1C97"/>
    <w:rsid w:val="00FE2137"/>
    <w:rsid w:val="00FE7B4A"/>
    <w:rsid w:val="00FF15AB"/>
    <w:rsid w:val="00FF20FC"/>
    <w:rsid w:val="00FF2685"/>
    <w:rsid w:val="00FF57A6"/>
    <w:rsid w:val="02B20C36"/>
    <w:rsid w:val="12F901BB"/>
    <w:rsid w:val="15016650"/>
    <w:rsid w:val="27602AA7"/>
    <w:rsid w:val="290A4CF6"/>
    <w:rsid w:val="2B2A6824"/>
    <w:rsid w:val="2D9406AA"/>
    <w:rsid w:val="36363350"/>
    <w:rsid w:val="37EE37B7"/>
    <w:rsid w:val="41D103D1"/>
    <w:rsid w:val="46D84746"/>
    <w:rsid w:val="4B78366B"/>
    <w:rsid w:val="4E1C0C26"/>
    <w:rsid w:val="658161C6"/>
    <w:rsid w:val="6C0845E3"/>
    <w:rsid w:val="71EB3B32"/>
    <w:rsid w:val="729606F7"/>
    <w:rsid w:val="75D02172"/>
    <w:rsid w:val="783E33C3"/>
    <w:rsid w:val="7CF21986"/>
    <w:rsid w:val="7DCB39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44"/>
    <w:qFormat/>
    <w:uiPriority w:val="0"/>
    <w:pPr>
      <w:keepNext/>
      <w:keepLines/>
      <w:spacing w:before="340" w:after="330" w:line="578" w:lineRule="auto"/>
      <w:outlineLvl w:val="0"/>
    </w:pPr>
    <w:rPr>
      <w:b/>
      <w:bCs/>
      <w:kern w:val="44"/>
      <w:sz w:val="44"/>
      <w:szCs w:val="44"/>
      <w:lang w:val="zh-CN"/>
    </w:rPr>
  </w:style>
  <w:style w:type="paragraph" w:styleId="3">
    <w:name w:val="heading 2"/>
    <w:basedOn w:val="1"/>
    <w:next w:val="1"/>
    <w:link w:val="45"/>
    <w:qFormat/>
    <w:uiPriority w:val="0"/>
    <w:pPr>
      <w:keepNext/>
      <w:keepLines/>
      <w:spacing w:before="260" w:after="260" w:line="416" w:lineRule="auto"/>
      <w:outlineLvl w:val="1"/>
    </w:pPr>
    <w:rPr>
      <w:rFonts w:ascii="Arial" w:hAnsi="Arial" w:eastAsia="黑体"/>
      <w:b/>
      <w:bCs/>
      <w:kern w:val="0"/>
      <w:sz w:val="32"/>
      <w:szCs w:val="32"/>
      <w:lang w:val="zh-CN"/>
    </w:rPr>
  </w:style>
  <w:style w:type="paragraph" w:styleId="4">
    <w:name w:val="heading 3"/>
    <w:basedOn w:val="1"/>
    <w:next w:val="1"/>
    <w:link w:val="46"/>
    <w:qFormat/>
    <w:uiPriority w:val="0"/>
    <w:pPr>
      <w:keepNext/>
      <w:keepLines/>
      <w:spacing w:before="260" w:after="260" w:line="416" w:lineRule="auto"/>
      <w:outlineLvl w:val="2"/>
    </w:pPr>
    <w:rPr>
      <w:b/>
      <w:bCs/>
      <w:kern w:val="0"/>
      <w:sz w:val="32"/>
      <w:szCs w:val="32"/>
      <w:lang w:val="zh-CN"/>
    </w:rPr>
  </w:style>
  <w:style w:type="paragraph" w:styleId="5">
    <w:name w:val="heading 4"/>
    <w:basedOn w:val="1"/>
    <w:next w:val="1"/>
    <w:link w:val="47"/>
    <w:qFormat/>
    <w:uiPriority w:val="0"/>
    <w:pPr>
      <w:keepNext/>
      <w:keepLines/>
      <w:spacing w:before="280" w:after="290" w:line="376" w:lineRule="auto"/>
      <w:outlineLvl w:val="3"/>
    </w:pPr>
    <w:rPr>
      <w:rFonts w:ascii="Cambria" w:hAnsi="Cambria"/>
      <w:b/>
      <w:bCs/>
      <w:sz w:val="28"/>
      <w:szCs w:val="28"/>
    </w:rPr>
  </w:style>
  <w:style w:type="paragraph" w:styleId="6">
    <w:name w:val="heading 5"/>
    <w:basedOn w:val="1"/>
    <w:next w:val="1"/>
    <w:link w:val="126"/>
    <w:qFormat/>
    <w:uiPriority w:val="0"/>
    <w:pPr>
      <w:tabs>
        <w:tab w:val="left" w:pos="1008"/>
      </w:tabs>
      <w:ind w:left="1008" w:hanging="1008"/>
      <w:outlineLvl w:val="4"/>
    </w:pPr>
  </w:style>
  <w:style w:type="paragraph" w:styleId="7">
    <w:name w:val="heading 6"/>
    <w:basedOn w:val="1"/>
    <w:next w:val="1"/>
    <w:link w:val="48"/>
    <w:qFormat/>
    <w:uiPriority w:val="0"/>
    <w:pPr>
      <w:keepNext/>
      <w:keepLines/>
      <w:spacing w:before="240" w:after="64" w:line="320" w:lineRule="auto"/>
      <w:outlineLvl w:val="5"/>
    </w:pPr>
    <w:rPr>
      <w:rFonts w:ascii="Arial" w:hAnsi="Arial" w:eastAsia="黑体"/>
      <w:b/>
      <w:bCs/>
      <w:sz w:val="24"/>
      <w:szCs w:val="24"/>
    </w:rPr>
  </w:style>
  <w:style w:type="paragraph" w:styleId="8">
    <w:name w:val="heading 7"/>
    <w:basedOn w:val="1"/>
    <w:next w:val="1"/>
    <w:link w:val="127"/>
    <w:qFormat/>
    <w:uiPriority w:val="0"/>
    <w:pPr>
      <w:tabs>
        <w:tab w:val="left" w:pos="1296"/>
      </w:tabs>
      <w:ind w:left="1296" w:hanging="1296"/>
      <w:outlineLvl w:val="6"/>
    </w:pPr>
  </w:style>
  <w:style w:type="paragraph" w:styleId="9">
    <w:name w:val="heading 8"/>
    <w:basedOn w:val="1"/>
    <w:next w:val="1"/>
    <w:link w:val="128"/>
    <w:qFormat/>
    <w:uiPriority w:val="0"/>
    <w:pPr>
      <w:tabs>
        <w:tab w:val="left" w:pos="1440"/>
      </w:tabs>
      <w:ind w:left="1440" w:hanging="1440"/>
      <w:outlineLvl w:val="7"/>
    </w:pPr>
  </w:style>
  <w:style w:type="paragraph" w:styleId="10">
    <w:name w:val="heading 9"/>
    <w:basedOn w:val="1"/>
    <w:next w:val="1"/>
    <w:link w:val="129"/>
    <w:qFormat/>
    <w:uiPriority w:val="0"/>
    <w:pPr>
      <w:tabs>
        <w:tab w:val="left" w:pos="1584"/>
      </w:tabs>
      <w:ind w:left="1584" w:hanging="1584"/>
      <w:outlineLvl w:val="8"/>
    </w:p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ind w:firstLine="420"/>
    </w:pPr>
  </w:style>
  <w:style w:type="paragraph" w:styleId="12">
    <w:name w:val="caption"/>
    <w:basedOn w:val="1"/>
    <w:next w:val="1"/>
    <w:qFormat/>
    <w:uiPriority w:val="0"/>
    <w:rPr>
      <w:rFonts w:ascii="Cambria" w:hAnsi="Cambria" w:eastAsia="黑体"/>
      <w:sz w:val="20"/>
    </w:rPr>
  </w:style>
  <w:style w:type="paragraph" w:styleId="13">
    <w:name w:val="annotation text"/>
    <w:basedOn w:val="1"/>
    <w:link w:val="64"/>
    <w:qFormat/>
    <w:uiPriority w:val="99"/>
    <w:pPr>
      <w:jc w:val="left"/>
    </w:pPr>
    <w:rPr>
      <w:kern w:val="0"/>
      <w:sz w:val="24"/>
      <w:szCs w:val="24"/>
      <w:lang w:val="zh-CN"/>
    </w:rPr>
  </w:style>
  <w:style w:type="paragraph" w:styleId="14">
    <w:name w:val="Body Text 3"/>
    <w:basedOn w:val="1"/>
    <w:link w:val="86"/>
    <w:qFormat/>
    <w:uiPriority w:val="0"/>
    <w:pPr>
      <w:spacing w:line="840" w:lineRule="exact"/>
      <w:jc w:val="center"/>
    </w:pPr>
    <w:rPr>
      <w:rFonts w:ascii="方正大标宋简体" w:hAnsi="宋体" w:eastAsia="方正大标宋简体"/>
      <w:bCs/>
      <w:sz w:val="42"/>
      <w:szCs w:val="42"/>
    </w:rPr>
  </w:style>
  <w:style w:type="paragraph" w:styleId="15">
    <w:name w:val="Closing"/>
    <w:basedOn w:val="1"/>
    <w:link w:val="133"/>
    <w:qFormat/>
    <w:uiPriority w:val="0"/>
    <w:pPr>
      <w:ind w:left="100" w:leftChars="2100"/>
    </w:pPr>
    <w:rPr>
      <w:sz w:val="28"/>
      <w:szCs w:val="24"/>
    </w:rPr>
  </w:style>
  <w:style w:type="paragraph" w:styleId="16">
    <w:name w:val="Body Text"/>
    <w:basedOn w:val="1"/>
    <w:link w:val="78"/>
    <w:qFormat/>
    <w:uiPriority w:val="0"/>
    <w:pPr>
      <w:spacing w:after="120"/>
    </w:pPr>
    <w:rPr>
      <w:rFonts w:eastAsia="Times New Roman"/>
      <w:szCs w:val="24"/>
    </w:rPr>
  </w:style>
  <w:style w:type="paragraph" w:styleId="17">
    <w:name w:val="Body Text Indent"/>
    <w:basedOn w:val="1"/>
    <w:link w:val="50"/>
    <w:qFormat/>
    <w:uiPriority w:val="0"/>
    <w:pPr>
      <w:tabs>
        <w:tab w:val="left" w:pos="7020"/>
      </w:tabs>
      <w:spacing w:line="600" w:lineRule="exact"/>
      <w:ind w:firstLine="600" w:firstLineChars="200"/>
    </w:pPr>
    <w:rPr>
      <w:rFonts w:ascii="仿宋_GB2312" w:eastAsia="仿宋_GB2312"/>
      <w:sz w:val="30"/>
      <w:szCs w:val="24"/>
    </w:rPr>
  </w:style>
  <w:style w:type="paragraph" w:styleId="18">
    <w:name w:val="Block Text"/>
    <w:basedOn w:val="1"/>
    <w:qFormat/>
    <w:uiPriority w:val="0"/>
    <w:pPr>
      <w:spacing w:line="360" w:lineRule="auto"/>
      <w:ind w:left="840" w:right="840"/>
      <w:jc w:val="center"/>
    </w:pPr>
    <w:rPr>
      <w:sz w:val="36"/>
    </w:rPr>
  </w:style>
  <w:style w:type="paragraph" w:styleId="19">
    <w:name w:val="toc 3"/>
    <w:basedOn w:val="1"/>
    <w:next w:val="1"/>
    <w:qFormat/>
    <w:uiPriority w:val="0"/>
    <w:pPr>
      <w:ind w:left="840" w:leftChars="400"/>
    </w:pPr>
    <w:rPr>
      <w:szCs w:val="24"/>
    </w:rPr>
  </w:style>
  <w:style w:type="paragraph" w:styleId="20">
    <w:name w:val="Plain Text"/>
    <w:basedOn w:val="1"/>
    <w:link w:val="57"/>
    <w:qFormat/>
    <w:uiPriority w:val="0"/>
    <w:rPr>
      <w:rFonts w:ascii="宋体" w:hAnsi="Courier New" w:cs="Courier New"/>
      <w:szCs w:val="21"/>
    </w:rPr>
  </w:style>
  <w:style w:type="paragraph" w:styleId="21">
    <w:name w:val="Date"/>
    <w:basedOn w:val="1"/>
    <w:next w:val="1"/>
    <w:link w:val="53"/>
    <w:qFormat/>
    <w:uiPriority w:val="0"/>
    <w:rPr>
      <w:rFonts w:ascii="楷体_GB2312" w:eastAsia="楷体_GB2312"/>
      <w:sz w:val="32"/>
    </w:rPr>
  </w:style>
  <w:style w:type="paragraph" w:styleId="22">
    <w:name w:val="Body Text Indent 2"/>
    <w:basedOn w:val="1"/>
    <w:link w:val="81"/>
    <w:qFormat/>
    <w:uiPriority w:val="0"/>
    <w:pPr>
      <w:spacing w:line="600" w:lineRule="exact"/>
      <w:ind w:firstLine="600" w:firstLineChars="200"/>
    </w:pPr>
    <w:rPr>
      <w:rFonts w:ascii="仿宋_GB2312" w:hAnsi="宋体" w:eastAsia="仿宋_GB2312"/>
      <w:sz w:val="30"/>
      <w:szCs w:val="30"/>
    </w:rPr>
  </w:style>
  <w:style w:type="paragraph" w:styleId="23">
    <w:name w:val="endnote text"/>
    <w:basedOn w:val="1"/>
    <w:link w:val="63"/>
    <w:qFormat/>
    <w:uiPriority w:val="0"/>
    <w:pPr>
      <w:snapToGrid w:val="0"/>
      <w:jc w:val="left"/>
    </w:pPr>
    <w:rPr>
      <w:kern w:val="0"/>
      <w:sz w:val="24"/>
      <w:szCs w:val="24"/>
      <w:lang w:val="zh-CN"/>
    </w:rPr>
  </w:style>
  <w:style w:type="paragraph" w:styleId="24">
    <w:name w:val="Balloon Text"/>
    <w:basedOn w:val="1"/>
    <w:link w:val="52"/>
    <w:semiHidden/>
    <w:qFormat/>
    <w:uiPriority w:val="0"/>
    <w:rPr>
      <w:sz w:val="18"/>
      <w:szCs w:val="18"/>
    </w:rPr>
  </w:style>
  <w:style w:type="paragraph" w:styleId="25">
    <w:name w:val="footer"/>
    <w:basedOn w:val="1"/>
    <w:link w:val="49"/>
    <w:qFormat/>
    <w:uiPriority w:val="0"/>
    <w:pPr>
      <w:tabs>
        <w:tab w:val="center" w:pos="4153"/>
        <w:tab w:val="right" w:pos="8306"/>
      </w:tabs>
      <w:snapToGrid w:val="0"/>
      <w:jc w:val="left"/>
    </w:pPr>
    <w:rPr>
      <w:sz w:val="18"/>
      <w:szCs w:val="18"/>
    </w:rPr>
  </w:style>
  <w:style w:type="paragraph" w:styleId="26">
    <w:name w:val="header"/>
    <w:basedOn w:val="1"/>
    <w:link w:val="51"/>
    <w:qFormat/>
    <w:uiPriority w:val="0"/>
    <w:pPr>
      <w:pBdr>
        <w:bottom w:val="single" w:color="auto" w:sz="6" w:space="1"/>
      </w:pBdr>
      <w:tabs>
        <w:tab w:val="center" w:pos="4153"/>
        <w:tab w:val="right" w:pos="8306"/>
      </w:tabs>
      <w:snapToGrid w:val="0"/>
      <w:jc w:val="center"/>
    </w:pPr>
    <w:rPr>
      <w:sz w:val="18"/>
      <w:szCs w:val="18"/>
    </w:rPr>
  </w:style>
  <w:style w:type="paragraph" w:styleId="27">
    <w:name w:val="toc 1"/>
    <w:basedOn w:val="1"/>
    <w:next w:val="1"/>
    <w:qFormat/>
    <w:uiPriority w:val="0"/>
    <w:rPr>
      <w:szCs w:val="24"/>
    </w:rPr>
  </w:style>
  <w:style w:type="paragraph" w:styleId="28">
    <w:name w:val="footnote text"/>
    <w:basedOn w:val="1"/>
    <w:link w:val="91"/>
    <w:qFormat/>
    <w:uiPriority w:val="0"/>
    <w:pPr>
      <w:snapToGrid w:val="0"/>
      <w:jc w:val="left"/>
    </w:pPr>
    <w:rPr>
      <w:rFonts w:eastAsia="Times New Roman"/>
      <w:sz w:val="18"/>
      <w:szCs w:val="18"/>
    </w:rPr>
  </w:style>
  <w:style w:type="paragraph" w:styleId="29">
    <w:name w:val="Body Text Indent 3"/>
    <w:basedOn w:val="1"/>
    <w:link w:val="84"/>
    <w:qFormat/>
    <w:uiPriority w:val="0"/>
    <w:pPr>
      <w:autoSpaceDE w:val="0"/>
      <w:autoSpaceDN w:val="0"/>
      <w:adjustRightInd w:val="0"/>
      <w:spacing w:line="760" w:lineRule="exact"/>
      <w:ind w:firstLine="560"/>
      <w:jc w:val="left"/>
    </w:pPr>
    <w:rPr>
      <w:rFonts w:ascii="仿宋_GB2312" w:eastAsia="仿宋_GB2312"/>
      <w:kern w:val="0"/>
      <w:sz w:val="30"/>
      <w:szCs w:val="28"/>
      <w:lang w:val="zh-CN"/>
    </w:rPr>
  </w:style>
  <w:style w:type="paragraph" w:styleId="30">
    <w:name w:val="toc 2"/>
    <w:basedOn w:val="1"/>
    <w:next w:val="1"/>
    <w:qFormat/>
    <w:uiPriority w:val="0"/>
    <w:pPr>
      <w:ind w:left="420" w:leftChars="200"/>
    </w:pPr>
    <w:rPr>
      <w:szCs w:val="24"/>
    </w:rPr>
  </w:style>
  <w:style w:type="paragraph" w:styleId="31">
    <w:name w:val="Body Text 2"/>
    <w:basedOn w:val="1"/>
    <w:link w:val="59"/>
    <w:qFormat/>
    <w:uiPriority w:val="0"/>
    <w:pPr>
      <w:spacing w:line="840" w:lineRule="exact"/>
      <w:jc w:val="center"/>
    </w:pPr>
    <w:rPr>
      <w:rFonts w:ascii="宋体" w:hAnsi="Courier New"/>
      <w:kern w:val="0"/>
      <w:szCs w:val="21"/>
      <w:lang w:val="zh-CN"/>
    </w:rPr>
  </w:style>
  <w:style w:type="paragraph" w:styleId="32">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33">
    <w:name w:val="Title"/>
    <w:basedOn w:val="1"/>
    <w:link w:val="106"/>
    <w:qFormat/>
    <w:uiPriority w:val="0"/>
    <w:pPr>
      <w:spacing w:before="240" w:after="60"/>
      <w:jc w:val="center"/>
      <w:outlineLvl w:val="0"/>
    </w:pPr>
    <w:rPr>
      <w:rFonts w:ascii="Arial" w:hAnsi="Arial"/>
      <w:b/>
      <w:bCs/>
      <w:sz w:val="32"/>
      <w:szCs w:val="32"/>
    </w:rPr>
  </w:style>
  <w:style w:type="paragraph" w:styleId="34">
    <w:name w:val="annotation subject"/>
    <w:basedOn w:val="13"/>
    <w:next w:val="13"/>
    <w:link w:val="93"/>
    <w:qFormat/>
    <w:uiPriority w:val="0"/>
    <w:rPr>
      <w:b/>
      <w:bCs/>
      <w:kern w:val="2"/>
      <w:sz w:val="21"/>
      <w:lang w:val="en-US"/>
    </w:rPr>
  </w:style>
  <w:style w:type="table" w:styleId="36">
    <w:name w:val="Table Grid"/>
    <w:basedOn w:val="3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basedOn w:val="37"/>
    <w:qFormat/>
    <w:uiPriority w:val="0"/>
    <w:rPr>
      <w:b/>
      <w:bCs/>
    </w:rPr>
  </w:style>
  <w:style w:type="character" w:styleId="39">
    <w:name w:val="endnote reference"/>
    <w:qFormat/>
    <w:uiPriority w:val="0"/>
    <w:rPr>
      <w:rFonts w:cs="Times New Roman"/>
      <w:vertAlign w:val="superscript"/>
    </w:rPr>
  </w:style>
  <w:style w:type="character" w:styleId="40">
    <w:name w:val="page number"/>
    <w:basedOn w:val="37"/>
    <w:qFormat/>
    <w:uiPriority w:val="0"/>
  </w:style>
  <w:style w:type="character" w:styleId="41">
    <w:name w:val="Hyperlink"/>
    <w:qFormat/>
    <w:uiPriority w:val="0"/>
    <w:rPr>
      <w:rFonts w:cs="Times New Roman"/>
      <w:color w:val="0000FF"/>
      <w:u w:val="single"/>
    </w:rPr>
  </w:style>
  <w:style w:type="character" w:styleId="42">
    <w:name w:val="annotation reference"/>
    <w:qFormat/>
    <w:uiPriority w:val="0"/>
    <w:rPr>
      <w:rFonts w:cs="Times New Roman"/>
      <w:sz w:val="21"/>
      <w:szCs w:val="21"/>
    </w:rPr>
  </w:style>
  <w:style w:type="character" w:styleId="43">
    <w:name w:val="footnote reference"/>
    <w:qFormat/>
    <w:uiPriority w:val="0"/>
    <w:rPr>
      <w:vertAlign w:val="superscript"/>
    </w:rPr>
  </w:style>
  <w:style w:type="character" w:customStyle="1" w:styleId="44">
    <w:name w:val="标题 1 字符"/>
    <w:link w:val="2"/>
    <w:qFormat/>
    <w:locked/>
    <w:uiPriority w:val="0"/>
    <w:rPr>
      <w:rFonts w:eastAsia="宋体"/>
      <w:b/>
      <w:bCs/>
      <w:kern w:val="44"/>
      <w:sz w:val="44"/>
      <w:szCs w:val="44"/>
      <w:lang w:val="zh-CN" w:eastAsia="zh-CN" w:bidi="ar-SA"/>
    </w:rPr>
  </w:style>
  <w:style w:type="character" w:customStyle="1" w:styleId="45">
    <w:name w:val="标题 2 字符"/>
    <w:link w:val="3"/>
    <w:qFormat/>
    <w:locked/>
    <w:uiPriority w:val="0"/>
    <w:rPr>
      <w:rFonts w:ascii="Arial" w:hAnsi="Arial" w:eastAsia="黑体"/>
      <w:b/>
      <w:bCs/>
      <w:sz w:val="32"/>
      <w:szCs w:val="32"/>
      <w:lang w:val="zh-CN" w:eastAsia="zh-CN" w:bidi="ar-SA"/>
    </w:rPr>
  </w:style>
  <w:style w:type="character" w:customStyle="1" w:styleId="46">
    <w:name w:val="标题 3 字符"/>
    <w:link w:val="4"/>
    <w:qFormat/>
    <w:locked/>
    <w:uiPriority w:val="0"/>
    <w:rPr>
      <w:rFonts w:eastAsia="宋体"/>
      <w:b/>
      <w:bCs/>
      <w:sz w:val="32"/>
      <w:szCs w:val="32"/>
      <w:lang w:val="zh-CN" w:eastAsia="zh-CN" w:bidi="ar-SA"/>
    </w:rPr>
  </w:style>
  <w:style w:type="character" w:customStyle="1" w:styleId="47">
    <w:name w:val="标题 4 字符"/>
    <w:basedOn w:val="37"/>
    <w:link w:val="5"/>
    <w:qFormat/>
    <w:uiPriority w:val="0"/>
    <w:rPr>
      <w:rFonts w:ascii="Cambria" w:hAnsi="Cambria"/>
      <w:b/>
      <w:bCs/>
      <w:kern w:val="2"/>
      <w:sz w:val="28"/>
      <w:szCs w:val="28"/>
    </w:rPr>
  </w:style>
  <w:style w:type="character" w:customStyle="1" w:styleId="48">
    <w:name w:val="标题 6 字符"/>
    <w:basedOn w:val="37"/>
    <w:link w:val="7"/>
    <w:qFormat/>
    <w:uiPriority w:val="0"/>
    <w:rPr>
      <w:rFonts w:ascii="Arial" w:hAnsi="Arial" w:eastAsia="黑体"/>
      <w:b/>
      <w:bCs/>
      <w:kern w:val="2"/>
      <w:sz w:val="24"/>
      <w:szCs w:val="24"/>
    </w:rPr>
  </w:style>
  <w:style w:type="character" w:customStyle="1" w:styleId="49">
    <w:name w:val="页脚 字符"/>
    <w:link w:val="25"/>
    <w:qFormat/>
    <w:locked/>
    <w:uiPriority w:val="0"/>
    <w:rPr>
      <w:rFonts w:eastAsia="宋体"/>
      <w:kern w:val="2"/>
      <w:sz w:val="18"/>
      <w:szCs w:val="18"/>
      <w:lang w:val="en-US" w:eastAsia="zh-CN" w:bidi="ar-SA"/>
    </w:rPr>
  </w:style>
  <w:style w:type="character" w:customStyle="1" w:styleId="50">
    <w:name w:val="正文文本缩进 字符"/>
    <w:basedOn w:val="37"/>
    <w:link w:val="17"/>
    <w:qFormat/>
    <w:uiPriority w:val="0"/>
    <w:rPr>
      <w:rFonts w:ascii="仿宋_GB2312" w:eastAsia="仿宋_GB2312"/>
      <w:kern w:val="2"/>
      <w:sz w:val="30"/>
      <w:szCs w:val="24"/>
      <w:lang w:val="en-US" w:eastAsia="zh-CN" w:bidi="ar-SA"/>
    </w:rPr>
  </w:style>
  <w:style w:type="character" w:customStyle="1" w:styleId="51">
    <w:name w:val="页眉 字符"/>
    <w:link w:val="26"/>
    <w:qFormat/>
    <w:locked/>
    <w:uiPriority w:val="0"/>
    <w:rPr>
      <w:rFonts w:eastAsia="宋体"/>
      <w:kern w:val="2"/>
      <w:sz w:val="18"/>
      <w:szCs w:val="18"/>
      <w:lang w:val="en-US" w:eastAsia="zh-CN" w:bidi="ar-SA"/>
    </w:rPr>
  </w:style>
  <w:style w:type="character" w:customStyle="1" w:styleId="52">
    <w:name w:val="批注框文本 字符"/>
    <w:link w:val="24"/>
    <w:semiHidden/>
    <w:qFormat/>
    <w:locked/>
    <w:uiPriority w:val="0"/>
    <w:rPr>
      <w:rFonts w:eastAsia="宋体"/>
      <w:kern w:val="2"/>
      <w:sz w:val="18"/>
      <w:szCs w:val="18"/>
      <w:lang w:val="en-US" w:eastAsia="zh-CN" w:bidi="ar-SA"/>
    </w:rPr>
  </w:style>
  <w:style w:type="character" w:customStyle="1" w:styleId="53">
    <w:name w:val="日期 字符"/>
    <w:basedOn w:val="37"/>
    <w:link w:val="21"/>
    <w:qFormat/>
    <w:uiPriority w:val="0"/>
    <w:rPr>
      <w:rFonts w:ascii="楷体_GB2312" w:eastAsia="楷体_GB2312"/>
      <w:kern w:val="2"/>
      <w:sz w:val="32"/>
      <w:lang w:val="en-US" w:eastAsia="zh-CN" w:bidi="ar-SA"/>
    </w:rPr>
  </w:style>
  <w:style w:type="paragraph" w:customStyle="1" w:styleId="54">
    <w:name w:val="dash6b63_6587"/>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55">
    <w:name w:val="dash6b63_6587__char"/>
    <w:basedOn w:val="37"/>
    <w:qFormat/>
    <w:uiPriority w:val="0"/>
  </w:style>
  <w:style w:type="character" w:customStyle="1" w:styleId="56">
    <w:name w:val="dash6b63_005f6587_005f_005fchar__char"/>
    <w:basedOn w:val="37"/>
    <w:qFormat/>
    <w:uiPriority w:val="0"/>
  </w:style>
  <w:style w:type="character" w:customStyle="1" w:styleId="57">
    <w:name w:val="纯文本 字符"/>
    <w:basedOn w:val="37"/>
    <w:link w:val="20"/>
    <w:qFormat/>
    <w:uiPriority w:val="0"/>
    <w:rPr>
      <w:rFonts w:ascii="宋体" w:hAnsi="Courier New" w:eastAsia="宋体" w:cs="Courier New"/>
      <w:kern w:val="2"/>
      <w:sz w:val="21"/>
      <w:szCs w:val="21"/>
      <w:lang w:val="en-US" w:eastAsia="zh-CN" w:bidi="ar-SA"/>
    </w:rPr>
  </w:style>
  <w:style w:type="paragraph" w:customStyle="1" w:styleId="58">
    <w:name w:val="p0"/>
    <w:basedOn w:val="1"/>
    <w:qFormat/>
    <w:uiPriority w:val="0"/>
    <w:pPr>
      <w:widowControl/>
    </w:pPr>
    <w:rPr>
      <w:kern w:val="0"/>
      <w:szCs w:val="21"/>
    </w:rPr>
  </w:style>
  <w:style w:type="character" w:customStyle="1" w:styleId="59">
    <w:name w:val="正文文本 2 字符"/>
    <w:link w:val="31"/>
    <w:qFormat/>
    <w:locked/>
    <w:uiPriority w:val="0"/>
    <w:rPr>
      <w:rFonts w:ascii="宋体" w:hAnsi="Courier New" w:eastAsia="宋体"/>
      <w:sz w:val="21"/>
      <w:szCs w:val="21"/>
      <w:lang w:val="zh-CN" w:eastAsia="zh-CN" w:bidi="ar-SA"/>
    </w:rPr>
  </w:style>
  <w:style w:type="paragraph" w:styleId="60">
    <w:name w:val="List Paragraph"/>
    <w:basedOn w:val="1"/>
    <w:link w:val="61"/>
    <w:qFormat/>
    <w:uiPriority w:val="0"/>
    <w:pPr>
      <w:ind w:firstLine="420" w:firstLineChars="200"/>
    </w:pPr>
    <w:rPr>
      <w:szCs w:val="24"/>
      <w:lang w:val="zh-CN"/>
    </w:rPr>
  </w:style>
  <w:style w:type="character" w:customStyle="1" w:styleId="61">
    <w:name w:val="列表段落 字符"/>
    <w:link w:val="60"/>
    <w:qFormat/>
    <w:locked/>
    <w:uiPriority w:val="0"/>
    <w:rPr>
      <w:kern w:val="2"/>
      <w:sz w:val="21"/>
      <w:szCs w:val="24"/>
    </w:rPr>
  </w:style>
  <w:style w:type="paragraph" w:customStyle="1" w:styleId="62">
    <w:name w:val="列出段落1"/>
    <w:basedOn w:val="1"/>
    <w:qFormat/>
    <w:uiPriority w:val="0"/>
    <w:pPr>
      <w:ind w:firstLine="420" w:firstLineChars="200"/>
    </w:pPr>
    <w:rPr>
      <w:rFonts w:ascii="Calibri" w:hAnsi="Calibri"/>
      <w:szCs w:val="22"/>
    </w:rPr>
  </w:style>
  <w:style w:type="character" w:customStyle="1" w:styleId="63">
    <w:name w:val="尾注文本 字符"/>
    <w:link w:val="23"/>
    <w:qFormat/>
    <w:locked/>
    <w:uiPriority w:val="0"/>
    <w:rPr>
      <w:rFonts w:eastAsia="宋体"/>
      <w:sz w:val="24"/>
      <w:szCs w:val="24"/>
      <w:lang w:val="zh-CN" w:eastAsia="zh-CN" w:bidi="ar-SA"/>
    </w:rPr>
  </w:style>
  <w:style w:type="character" w:customStyle="1" w:styleId="64">
    <w:name w:val="批注文字 字符"/>
    <w:link w:val="13"/>
    <w:qFormat/>
    <w:locked/>
    <w:uiPriority w:val="99"/>
    <w:rPr>
      <w:rFonts w:eastAsia="宋体"/>
      <w:sz w:val="24"/>
      <w:szCs w:val="24"/>
      <w:lang w:val="zh-CN" w:eastAsia="zh-CN" w:bidi="ar-SA"/>
    </w:rPr>
  </w:style>
  <w:style w:type="paragraph" w:customStyle="1" w:styleId="65">
    <w:name w:val="00正文"/>
    <w:basedOn w:val="1"/>
    <w:qFormat/>
    <w:uiPriority w:val="0"/>
    <w:pPr>
      <w:snapToGrid w:val="0"/>
      <w:spacing w:beforeLines="50" w:afterLines="50" w:line="360" w:lineRule="auto"/>
      <w:ind w:firstLine="200" w:firstLineChars="200"/>
    </w:pPr>
    <w:rPr>
      <w:rFonts w:ascii="宋体" w:hAnsi="宋体"/>
      <w:sz w:val="24"/>
      <w:szCs w:val="24"/>
    </w:rPr>
  </w:style>
  <w:style w:type="character" w:customStyle="1" w:styleId="66">
    <w:name w:val="已访问的超链接1"/>
    <w:basedOn w:val="37"/>
    <w:qFormat/>
    <w:uiPriority w:val="0"/>
    <w:rPr>
      <w:color w:val="800080"/>
      <w:u w:val="single"/>
    </w:rPr>
  </w:style>
  <w:style w:type="paragraph" w:customStyle="1" w:styleId="67">
    <w:name w:val="列表段落1"/>
    <w:basedOn w:val="1"/>
    <w:qFormat/>
    <w:uiPriority w:val="0"/>
    <w:pPr>
      <w:ind w:firstLine="420" w:firstLineChars="200"/>
    </w:pPr>
    <w:rPr>
      <w:rFonts w:ascii="Calibri" w:hAnsi="Calibri"/>
      <w:szCs w:val="22"/>
    </w:rPr>
  </w:style>
  <w:style w:type="paragraph" w:customStyle="1" w:styleId="68">
    <w:name w:val="内页正文"/>
    <w:link w:val="69"/>
    <w:qFormat/>
    <w:locked/>
    <w:uiPriority w:val="0"/>
    <w:pPr>
      <w:suppressAutoHyphens/>
      <w:spacing w:after="120"/>
      <w:jc w:val="both"/>
    </w:pPr>
    <w:rPr>
      <w:rFonts w:ascii="Arial" w:hAnsi="Arial" w:eastAsia="汉仪中等线简" w:cs="Times New Roman"/>
      <w:color w:val="000000"/>
      <w:sz w:val="18"/>
      <w:szCs w:val="18"/>
      <w:lang w:val="en-US" w:eastAsia="zh-CN" w:bidi="ar-SA"/>
    </w:rPr>
  </w:style>
  <w:style w:type="character" w:customStyle="1" w:styleId="69">
    <w:name w:val="内页正文 Char"/>
    <w:link w:val="68"/>
    <w:qFormat/>
    <w:uiPriority w:val="0"/>
    <w:rPr>
      <w:rFonts w:ascii="Arial" w:hAnsi="Arial" w:eastAsia="汉仪中等线简"/>
      <w:color w:val="000000"/>
      <w:sz w:val="18"/>
      <w:szCs w:val="18"/>
      <w:lang w:bidi="ar-SA"/>
    </w:rPr>
  </w:style>
  <w:style w:type="paragraph" w:customStyle="1" w:styleId="70">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71">
    <w:name w:val="无间隔1"/>
    <w:qFormat/>
    <w:uiPriority w:val="0"/>
    <w:pPr>
      <w:widowControl w:val="0"/>
      <w:jc w:val="both"/>
    </w:pPr>
    <w:rPr>
      <w:rFonts w:ascii="Calibri" w:hAnsi="Calibri" w:eastAsia="宋体" w:cs="Times New Roman"/>
      <w:kern w:val="2"/>
      <w:sz w:val="21"/>
      <w:szCs w:val="22"/>
      <w:lang w:val="en-US" w:eastAsia="zh-CN" w:bidi="ar-SA"/>
    </w:rPr>
  </w:style>
  <w:style w:type="character" w:customStyle="1" w:styleId="72">
    <w:name w:val="Char Char15"/>
    <w:basedOn w:val="37"/>
    <w:qFormat/>
    <w:uiPriority w:val="0"/>
    <w:rPr>
      <w:rFonts w:eastAsia="宋体"/>
      <w:b/>
      <w:bCs/>
      <w:kern w:val="44"/>
      <w:sz w:val="44"/>
      <w:szCs w:val="44"/>
      <w:lang w:val="en-US" w:eastAsia="zh-CN" w:bidi="ar-SA"/>
    </w:rPr>
  </w:style>
  <w:style w:type="character" w:customStyle="1" w:styleId="73">
    <w:name w:val="Char Char14"/>
    <w:basedOn w:val="37"/>
    <w:qFormat/>
    <w:uiPriority w:val="0"/>
    <w:rPr>
      <w:rFonts w:eastAsia="宋体"/>
      <w:b/>
      <w:bCs/>
      <w:kern w:val="2"/>
      <w:sz w:val="32"/>
      <w:szCs w:val="32"/>
      <w:lang w:val="en-US" w:eastAsia="zh-CN" w:bidi="ar-SA"/>
    </w:rPr>
  </w:style>
  <w:style w:type="character" w:customStyle="1" w:styleId="74">
    <w:name w:val="Char Char13"/>
    <w:basedOn w:val="37"/>
    <w:qFormat/>
    <w:uiPriority w:val="0"/>
    <w:rPr>
      <w:rFonts w:eastAsia="宋体"/>
      <w:kern w:val="2"/>
      <w:sz w:val="18"/>
      <w:szCs w:val="18"/>
      <w:lang w:val="en-US" w:eastAsia="zh-CN" w:bidi="ar-SA"/>
    </w:rPr>
  </w:style>
  <w:style w:type="character" w:customStyle="1" w:styleId="75">
    <w:name w:val="Char Char12"/>
    <w:basedOn w:val="37"/>
    <w:qFormat/>
    <w:uiPriority w:val="0"/>
    <w:rPr>
      <w:rFonts w:eastAsia="宋体"/>
      <w:kern w:val="2"/>
      <w:sz w:val="18"/>
      <w:szCs w:val="18"/>
      <w:lang w:val="en-US" w:eastAsia="zh-CN" w:bidi="ar-SA"/>
    </w:rPr>
  </w:style>
  <w:style w:type="character" w:customStyle="1" w:styleId="76">
    <w:name w:val="正文文本缩进 Char1"/>
    <w:basedOn w:val="37"/>
    <w:qFormat/>
    <w:uiPriority w:val="99"/>
    <w:rPr>
      <w:kern w:val="2"/>
      <w:sz w:val="21"/>
      <w:szCs w:val="24"/>
    </w:rPr>
  </w:style>
  <w:style w:type="character" w:customStyle="1" w:styleId="77">
    <w:name w:val="日期 Char1"/>
    <w:basedOn w:val="37"/>
    <w:qFormat/>
    <w:uiPriority w:val="99"/>
    <w:rPr>
      <w:kern w:val="2"/>
      <w:sz w:val="21"/>
      <w:szCs w:val="24"/>
    </w:rPr>
  </w:style>
  <w:style w:type="character" w:customStyle="1" w:styleId="78">
    <w:name w:val="正文文本 字符"/>
    <w:basedOn w:val="37"/>
    <w:link w:val="16"/>
    <w:qFormat/>
    <w:uiPriority w:val="0"/>
    <w:rPr>
      <w:rFonts w:eastAsia="Times New Roman"/>
      <w:kern w:val="2"/>
      <w:sz w:val="21"/>
      <w:szCs w:val="24"/>
      <w:lang w:val="en-US" w:eastAsia="zh-CN"/>
    </w:rPr>
  </w:style>
  <w:style w:type="character" w:customStyle="1" w:styleId="79">
    <w:name w:val="正文文本 Char1"/>
    <w:basedOn w:val="37"/>
    <w:qFormat/>
    <w:uiPriority w:val="99"/>
    <w:rPr>
      <w:kern w:val="2"/>
      <w:sz w:val="21"/>
      <w:szCs w:val="24"/>
    </w:rPr>
  </w:style>
  <w:style w:type="character" w:customStyle="1" w:styleId="80">
    <w:name w:val="批注框文本 Char1"/>
    <w:basedOn w:val="37"/>
    <w:qFormat/>
    <w:uiPriority w:val="99"/>
    <w:rPr>
      <w:kern w:val="2"/>
      <w:sz w:val="18"/>
      <w:szCs w:val="18"/>
    </w:rPr>
  </w:style>
  <w:style w:type="character" w:customStyle="1" w:styleId="81">
    <w:name w:val="正文文本缩进 2 字符"/>
    <w:basedOn w:val="37"/>
    <w:link w:val="22"/>
    <w:qFormat/>
    <w:uiPriority w:val="0"/>
    <w:rPr>
      <w:rFonts w:ascii="仿宋_GB2312" w:hAnsi="宋体" w:eastAsia="仿宋_GB2312"/>
      <w:kern w:val="2"/>
      <w:sz w:val="30"/>
      <w:szCs w:val="30"/>
      <w:lang w:val="en-US" w:eastAsia="zh-CN"/>
    </w:rPr>
  </w:style>
  <w:style w:type="character" w:customStyle="1" w:styleId="82">
    <w:name w:val="正文文本缩进 2 Char1"/>
    <w:basedOn w:val="37"/>
    <w:qFormat/>
    <w:uiPriority w:val="99"/>
    <w:rPr>
      <w:kern w:val="2"/>
      <w:sz w:val="21"/>
      <w:szCs w:val="24"/>
    </w:rPr>
  </w:style>
  <w:style w:type="character" w:customStyle="1" w:styleId="83">
    <w:name w:val="正文文本 2 Char1"/>
    <w:basedOn w:val="37"/>
    <w:qFormat/>
    <w:uiPriority w:val="99"/>
    <w:rPr>
      <w:kern w:val="2"/>
      <w:sz w:val="21"/>
      <w:szCs w:val="24"/>
    </w:rPr>
  </w:style>
  <w:style w:type="character" w:customStyle="1" w:styleId="84">
    <w:name w:val="正文文本缩进 3 字符"/>
    <w:basedOn w:val="37"/>
    <w:link w:val="29"/>
    <w:qFormat/>
    <w:uiPriority w:val="0"/>
    <w:rPr>
      <w:rFonts w:ascii="仿宋_GB2312" w:eastAsia="仿宋_GB2312"/>
      <w:sz w:val="30"/>
      <w:szCs w:val="28"/>
      <w:lang w:val="zh-CN" w:eastAsia="zh-CN"/>
    </w:rPr>
  </w:style>
  <w:style w:type="character" w:customStyle="1" w:styleId="85">
    <w:name w:val="正文文本缩进 3 Char1"/>
    <w:basedOn w:val="37"/>
    <w:qFormat/>
    <w:uiPriority w:val="99"/>
    <w:rPr>
      <w:kern w:val="2"/>
      <w:sz w:val="16"/>
      <w:szCs w:val="16"/>
    </w:rPr>
  </w:style>
  <w:style w:type="character" w:customStyle="1" w:styleId="86">
    <w:name w:val="正文文本 3 字符"/>
    <w:basedOn w:val="37"/>
    <w:link w:val="14"/>
    <w:qFormat/>
    <w:uiPriority w:val="0"/>
    <w:rPr>
      <w:rFonts w:ascii="方正大标宋简体" w:hAnsi="宋体" w:eastAsia="方正大标宋简体"/>
      <w:bCs/>
      <w:kern w:val="2"/>
      <w:sz w:val="42"/>
      <w:szCs w:val="42"/>
      <w:lang w:val="en-US" w:eastAsia="zh-CN"/>
    </w:rPr>
  </w:style>
  <w:style w:type="character" w:customStyle="1" w:styleId="87">
    <w:name w:val="正文文本 3 Char1"/>
    <w:basedOn w:val="37"/>
    <w:qFormat/>
    <w:uiPriority w:val="99"/>
    <w:rPr>
      <w:kern w:val="2"/>
      <w:sz w:val="16"/>
      <w:szCs w:val="16"/>
    </w:rPr>
  </w:style>
  <w:style w:type="character" w:customStyle="1" w:styleId="88">
    <w:name w:val="纯文本 Char1"/>
    <w:basedOn w:val="37"/>
    <w:qFormat/>
    <w:uiPriority w:val="99"/>
    <w:rPr>
      <w:rFonts w:ascii="宋体" w:hAnsi="Courier New" w:cs="Courier New"/>
      <w:kern w:val="2"/>
      <w:sz w:val="21"/>
      <w:szCs w:val="21"/>
    </w:rPr>
  </w:style>
  <w:style w:type="character" w:customStyle="1" w:styleId="89">
    <w:name w:val="条款 Char"/>
    <w:link w:val="90"/>
    <w:qFormat/>
    <w:uiPriority w:val="0"/>
    <w:rPr>
      <w:rFonts w:ascii="仿宋_GB2312" w:hAnsi="Calibri" w:eastAsia="仿宋_GB2312"/>
      <w:color w:val="000000"/>
      <w:sz w:val="28"/>
      <w:lang w:bidi="ar-SA"/>
    </w:rPr>
  </w:style>
  <w:style w:type="paragraph" w:customStyle="1" w:styleId="90">
    <w:name w:val="条款"/>
    <w:basedOn w:val="1"/>
    <w:link w:val="89"/>
    <w:qFormat/>
    <w:uiPriority w:val="0"/>
    <w:pPr>
      <w:widowControl/>
      <w:wordWrap w:val="0"/>
      <w:adjustRightInd w:val="0"/>
      <w:spacing w:line="360" w:lineRule="auto"/>
      <w:ind w:right="272" w:firstLine="560" w:firstLineChars="200"/>
    </w:pPr>
    <w:rPr>
      <w:rFonts w:ascii="仿宋_GB2312" w:hAnsi="Calibri" w:eastAsia="仿宋_GB2312"/>
      <w:color w:val="000000"/>
      <w:kern w:val="0"/>
      <w:sz w:val="28"/>
      <w:lang w:val="zh-CN"/>
    </w:rPr>
  </w:style>
  <w:style w:type="character" w:customStyle="1" w:styleId="91">
    <w:name w:val="脚注文本 字符"/>
    <w:basedOn w:val="37"/>
    <w:link w:val="28"/>
    <w:qFormat/>
    <w:uiPriority w:val="0"/>
    <w:rPr>
      <w:rFonts w:eastAsia="Times New Roman"/>
      <w:kern w:val="2"/>
      <w:sz w:val="18"/>
      <w:szCs w:val="18"/>
      <w:lang w:val="en-US" w:eastAsia="zh-CN"/>
    </w:rPr>
  </w:style>
  <w:style w:type="character" w:customStyle="1" w:styleId="92">
    <w:name w:val="脚注文本 Char1"/>
    <w:basedOn w:val="37"/>
    <w:qFormat/>
    <w:uiPriority w:val="99"/>
    <w:rPr>
      <w:kern w:val="2"/>
      <w:sz w:val="18"/>
      <w:szCs w:val="18"/>
    </w:rPr>
  </w:style>
  <w:style w:type="character" w:customStyle="1" w:styleId="93">
    <w:name w:val="批注主题 字符"/>
    <w:basedOn w:val="64"/>
    <w:link w:val="34"/>
    <w:qFormat/>
    <w:uiPriority w:val="0"/>
    <w:rPr>
      <w:rFonts w:eastAsia="宋体"/>
      <w:b/>
      <w:bCs/>
      <w:kern w:val="2"/>
      <w:sz w:val="21"/>
      <w:szCs w:val="24"/>
      <w:lang w:val="zh-CN" w:eastAsia="zh-CN" w:bidi="ar-SA"/>
    </w:rPr>
  </w:style>
  <w:style w:type="paragraph" w:customStyle="1" w:styleId="94">
    <w:name w:val="Char3"/>
    <w:basedOn w:val="1"/>
    <w:qFormat/>
    <w:uiPriority w:val="0"/>
    <w:rPr>
      <w:szCs w:val="21"/>
    </w:rPr>
  </w:style>
  <w:style w:type="paragraph" w:customStyle="1" w:styleId="95">
    <w:name w:val="doc-a2"/>
    <w:basedOn w:val="1"/>
    <w:qFormat/>
    <w:uiPriority w:val="0"/>
    <w:pPr>
      <w:widowControl/>
      <w:spacing w:before="225" w:after="100" w:afterAutospacing="1" w:line="450" w:lineRule="atLeast"/>
      <w:ind w:firstLine="480"/>
      <w:jc w:val="left"/>
    </w:pPr>
    <w:rPr>
      <w:rFonts w:ascii="微软雅黑" w:hAnsi="微软雅黑" w:eastAsia="微软雅黑" w:cs="宋体"/>
      <w:kern w:val="0"/>
      <w:szCs w:val="21"/>
    </w:rPr>
  </w:style>
  <w:style w:type="paragraph" w:customStyle="1" w:styleId="96">
    <w:name w:val="样式1"/>
    <w:basedOn w:val="1"/>
    <w:link w:val="97"/>
    <w:qFormat/>
    <w:uiPriority w:val="0"/>
    <w:pPr>
      <w:numPr>
        <w:ilvl w:val="0"/>
        <w:numId w:val="1"/>
      </w:numPr>
      <w:tabs>
        <w:tab w:val="left" w:pos="2127"/>
      </w:tabs>
      <w:adjustRightInd w:val="0"/>
      <w:snapToGrid w:val="0"/>
      <w:spacing w:line="540" w:lineRule="exact"/>
      <w:ind w:left="988"/>
    </w:pPr>
    <w:rPr>
      <w:rFonts w:ascii="仿宋_GB2312" w:hAnsi="宋体" w:eastAsia="仿宋_GB2312"/>
      <w:kern w:val="0"/>
      <w:sz w:val="30"/>
      <w:szCs w:val="30"/>
      <w:lang w:val="zh-CN"/>
    </w:rPr>
  </w:style>
  <w:style w:type="character" w:customStyle="1" w:styleId="97">
    <w:name w:val="样式1 Char"/>
    <w:link w:val="96"/>
    <w:qFormat/>
    <w:locked/>
    <w:uiPriority w:val="0"/>
    <w:rPr>
      <w:rFonts w:ascii="仿宋_GB2312" w:hAnsi="宋体" w:eastAsia="仿宋_GB2312"/>
      <w:sz w:val="30"/>
      <w:szCs w:val="30"/>
    </w:rPr>
  </w:style>
  <w:style w:type="paragraph" w:customStyle="1" w:styleId="98">
    <w:name w:val="列出段落2"/>
    <w:basedOn w:val="1"/>
    <w:qFormat/>
    <w:uiPriority w:val="0"/>
    <w:pPr>
      <w:ind w:firstLine="420" w:firstLineChars="200"/>
    </w:pPr>
    <w:rPr>
      <w:szCs w:val="24"/>
    </w:rPr>
  </w:style>
  <w:style w:type="paragraph" w:customStyle="1" w:styleId="99">
    <w:name w:val="列出段落3"/>
    <w:basedOn w:val="1"/>
    <w:qFormat/>
    <w:uiPriority w:val="0"/>
    <w:pPr>
      <w:ind w:firstLine="420" w:firstLineChars="200"/>
    </w:pPr>
    <w:rPr>
      <w:szCs w:val="24"/>
    </w:rPr>
  </w:style>
  <w:style w:type="paragraph" w:customStyle="1" w:styleId="100">
    <w:name w:val="语句"/>
    <w:basedOn w:val="1"/>
    <w:link w:val="101"/>
    <w:qFormat/>
    <w:uiPriority w:val="0"/>
    <w:pPr>
      <w:widowControl/>
      <w:snapToGrid w:val="0"/>
      <w:spacing w:line="540" w:lineRule="exact"/>
      <w:ind w:firstLine="567" w:firstLineChars="189"/>
    </w:pPr>
    <w:rPr>
      <w:rFonts w:ascii="仿宋_GB2312" w:eastAsia="仿宋_GB2312"/>
      <w:b/>
      <w:i/>
      <w:kern w:val="0"/>
      <w:sz w:val="30"/>
      <w:szCs w:val="30"/>
    </w:rPr>
  </w:style>
  <w:style w:type="character" w:customStyle="1" w:styleId="101">
    <w:name w:val="语句 Char"/>
    <w:basedOn w:val="37"/>
    <w:link w:val="100"/>
    <w:qFormat/>
    <w:uiPriority w:val="0"/>
    <w:rPr>
      <w:rFonts w:ascii="仿宋_GB2312" w:eastAsia="仿宋_GB2312"/>
      <w:b/>
      <w:i/>
      <w:sz w:val="30"/>
      <w:szCs w:val="30"/>
    </w:rPr>
  </w:style>
  <w:style w:type="paragraph" w:customStyle="1" w:styleId="102">
    <w:name w:val="KK一级"/>
    <w:basedOn w:val="1"/>
    <w:link w:val="103"/>
    <w:qFormat/>
    <w:uiPriority w:val="0"/>
    <w:pPr>
      <w:spacing w:line="600" w:lineRule="exact"/>
      <w:jc w:val="left"/>
    </w:pPr>
    <w:rPr>
      <w:rFonts w:ascii="仿宋_GB2312" w:hAnsi="Calibri" w:eastAsia="仿宋_GB2312" w:cs="Microsoft Himalaya"/>
      <w:b/>
      <w:bCs/>
      <w:sz w:val="30"/>
      <w:szCs w:val="30"/>
    </w:rPr>
  </w:style>
  <w:style w:type="character" w:customStyle="1" w:styleId="103">
    <w:name w:val="KK一级 Char"/>
    <w:basedOn w:val="37"/>
    <w:link w:val="102"/>
    <w:qFormat/>
    <w:uiPriority w:val="0"/>
    <w:rPr>
      <w:rFonts w:ascii="仿宋_GB2312" w:hAnsi="Calibri" w:eastAsia="仿宋_GB2312" w:cs="Microsoft Himalaya"/>
      <w:b/>
      <w:bCs/>
      <w:kern w:val="2"/>
      <w:sz w:val="30"/>
      <w:szCs w:val="30"/>
    </w:rPr>
  </w:style>
  <w:style w:type="paragraph" w:customStyle="1" w:styleId="104">
    <w:name w:val="KK二级"/>
    <w:basedOn w:val="1"/>
    <w:link w:val="105"/>
    <w:qFormat/>
    <w:uiPriority w:val="0"/>
    <w:pPr>
      <w:spacing w:line="600" w:lineRule="exact"/>
      <w:jc w:val="left"/>
    </w:pPr>
    <w:rPr>
      <w:rFonts w:ascii="仿宋_GB2312" w:hAnsi="Calibri" w:eastAsia="仿宋_GB2312" w:cs="Microsoft Himalaya"/>
      <w:b/>
      <w:bCs/>
      <w:sz w:val="30"/>
      <w:szCs w:val="30"/>
    </w:rPr>
  </w:style>
  <w:style w:type="character" w:customStyle="1" w:styleId="105">
    <w:name w:val="KK二级 Char"/>
    <w:basedOn w:val="37"/>
    <w:link w:val="104"/>
    <w:qFormat/>
    <w:uiPriority w:val="0"/>
    <w:rPr>
      <w:rFonts w:ascii="仿宋_GB2312" w:hAnsi="Calibri" w:eastAsia="仿宋_GB2312" w:cs="Microsoft Himalaya"/>
      <w:b/>
      <w:bCs/>
      <w:kern w:val="2"/>
      <w:sz w:val="30"/>
      <w:szCs w:val="30"/>
    </w:rPr>
  </w:style>
  <w:style w:type="character" w:customStyle="1" w:styleId="106">
    <w:name w:val="标题 字符"/>
    <w:basedOn w:val="37"/>
    <w:link w:val="33"/>
    <w:qFormat/>
    <w:uiPriority w:val="0"/>
    <w:rPr>
      <w:rFonts w:ascii="Arial" w:hAnsi="Arial"/>
      <w:b/>
      <w:bCs/>
      <w:kern w:val="2"/>
      <w:sz w:val="32"/>
      <w:szCs w:val="32"/>
    </w:rPr>
  </w:style>
  <w:style w:type="character" w:customStyle="1" w:styleId="107">
    <w:name w:val="标题 Char1"/>
    <w:basedOn w:val="37"/>
    <w:qFormat/>
    <w:uiPriority w:val="10"/>
    <w:rPr>
      <w:rFonts w:ascii="Cambria" w:hAnsi="Cambria" w:cs="Times New Roman"/>
      <w:b/>
      <w:bCs/>
      <w:kern w:val="2"/>
      <w:sz w:val="32"/>
      <w:szCs w:val="32"/>
    </w:rPr>
  </w:style>
  <w:style w:type="character" w:customStyle="1" w:styleId="108">
    <w:name w:val="eee Char"/>
    <w:link w:val="109"/>
    <w:qFormat/>
    <w:uiPriority w:val="0"/>
    <w:rPr>
      <w:rFonts w:ascii="宋体"/>
      <w:sz w:val="24"/>
      <w:szCs w:val="24"/>
    </w:rPr>
  </w:style>
  <w:style w:type="paragraph" w:customStyle="1" w:styleId="109">
    <w:name w:val="eee"/>
    <w:basedOn w:val="1"/>
    <w:link w:val="108"/>
    <w:qFormat/>
    <w:uiPriority w:val="0"/>
    <w:pPr>
      <w:autoSpaceDE w:val="0"/>
      <w:autoSpaceDN w:val="0"/>
      <w:adjustRightInd w:val="0"/>
      <w:spacing w:line="360" w:lineRule="auto"/>
      <w:ind w:firstLine="480" w:firstLineChars="200"/>
    </w:pPr>
    <w:rPr>
      <w:rFonts w:ascii="宋体"/>
      <w:kern w:val="0"/>
      <w:sz w:val="24"/>
      <w:szCs w:val="24"/>
      <w:lang w:val="zh-CN"/>
    </w:rPr>
  </w:style>
  <w:style w:type="paragraph" w:customStyle="1" w:styleId="110">
    <w:name w:val="SSE内容提要正文"/>
    <w:basedOn w:val="1"/>
    <w:link w:val="111"/>
    <w:qFormat/>
    <w:uiPriority w:val="0"/>
    <w:pPr>
      <w:ind w:firstLine="560" w:firstLineChars="200"/>
    </w:pPr>
    <w:rPr>
      <w:rFonts w:eastAsia="仿宋_GB2312"/>
      <w:kern w:val="0"/>
      <w:sz w:val="28"/>
      <w:lang w:val="zh-CN"/>
    </w:rPr>
  </w:style>
  <w:style w:type="character" w:customStyle="1" w:styleId="111">
    <w:name w:val="SSE内容提要正文 Char"/>
    <w:link w:val="110"/>
    <w:qFormat/>
    <w:locked/>
    <w:uiPriority w:val="0"/>
    <w:rPr>
      <w:rFonts w:eastAsia="仿宋_GB2312"/>
      <w:sz w:val="28"/>
      <w:lang w:val="zh-CN" w:eastAsia="zh-CN"/>
    </w:rPr>
  </w:style>
  <w:style w:type="paragraph" w:customStyle="1" w:styleId="112">
    <w:name w:val="SSE资料来源"/>
    <w:basedOn w:val="1"/>
    <w:link w:val="113"/>
    <w:qFormat/>
    <w:uiPriority w:val="0"/>
    <w:pPr>
      <w:spacing w:after="100" w:afterAutospacing="1"/>
      <w:ind w:firstLine="200" w:firstLineChars="200"/>
    </w:pPr>
    <w:rPr>
      <w:rFonts w:eastAsia="仿宋_GB2312"/>
      <w:color w:val="000000"/>
      <w:kern w:val="0"/>
      <w:lang w:val="zh-CN"/>
    </w:rPr>
  </w:style>
  <w:style w:type="character" w:customStyle="1" w:styleId="113">
    <w:name w:val="SSE资料来源 Char"/>
    <w:link w:val="112"/>
    <w:qFormat/>
    <w:locked/>
    <w:uiPriority w:val="0"/>
    <w:rPr>
      <w:rFonts w:eastAsia="仿宋_GB2312"/>
      <w:color w:val="000000"/>
      <w:sz w:val="21"/>
      <w:lang w:val="zh-CN" w:eastAsia="zh-CN"/>
    </w:rPr>
  </w:style>
  <w:style w:type="paragraph" w:customStyle="1" w:styleId="114">
    <w:name w:val="SSE标题0"/>
    <w:basedOn w:val="1"/>
    <w:link w:val="115"/>
    <w:qFormat/>
    <w:uiPriority w:val="0"/>
    <w:pPr>
      <w:spacing w:before="100" w:beforeAutospacing="1" w:after="100" w:afterAutospacing="1"/>
      <w:jc w:val="center"/>
    </w:pPr>
    <w:rPr>
      <w:rFonts w:eastAsia="华文中宋"/>
      <w:b/>
      <w:sz w:val="44"/>
      <w:szCs w:val="44"/>
    </w:rPr>
  </w:style>
  <w:style w:type="character" w:customStyle="1" w:styleId="115">
    <w:name w:val="SSE标题0 Char"/>
    <w:basedOn w:val="37"/>
    <w:link w:val="114"/>
    <w:qFormat/>
    <w:uiPriority w:val="0"/>
    <w:rPr>
      <w:rFonts w:eastAsia="华文中宋"/>
      <w:b/>
      <w:kern w:val="2"/>
      <w:sz w:val="44"/>
      <w:szCs w:val="44"/>
    </w:rPr>
  </w:style>
  <w:style w:type="paragraph" w:customStyle="1" w:styleId="116">
    <w:name w:val="SSE标题1"/>
    <w:basedOn w:val="2"/>
    <w:link w:val="117"/>
    <w:qFormat/>
    <w:uiPriority w:val="0"/>
    <w:pPr>
      <w:spacing w:before="0" w:after="120" w:line="240" w:lineRule="auto"/>
    </w:pPr>
    <w:rPr>
      <w:rFonts w:eastAsia="黑体"/>
      <w:sz w:val="30"/>
      <w:szCs w:val="30"/>
    </w:rPr>
  </w:style>
  <w:style w:type="character" w:customStyle="1" w:styleId="117">
    <w:name w:val="SSE标题1 Char"/>
    <w:basedOn w:val="37"/>
    <w:link w:val="116"/>
    <w:qFormat/>
    <w:uiPriority w:val="0"/>
    <w:rPr>
      <w:rFonts w:eastAsia="黑体"/>
      <w:b/>
      <w:bCs/>
      <w:kern w:val="44"/>
      <w:sz w:val="30"/>
      <w:szCs w:val="30"/>
      <w:lang w:val="zh-CN" w:eastAsia="zh-CN"/>
    </w:rPr>
  </w:style>
  <w:style w:type="paragraph" w:customStyle="1" w:styleId="118">
    <w:name w:val="SSE标题2"/>
    <w:basedOn w:val="3"/>
    <w:link w:val="119"/>
    <w:qFormat/>
    <w:uiPriority w:val="0"/>
    <w:pPr>
      <w:spacing w:beforeLines="50" w:after="0" w:line="240" w:lineRule="auto"/>
    </w:pPr>
    <w:rPr>
      <w:rFonts w:ascii="Times New Roman" w:hAnsi="Times New Roman" w:eastAsia="仿宋_GB2312"/>
      <w:kern w:val="2"/>
      <w:sz w:val="28"/>
      <w:szCs w:val="28"/>
    </w:rPr>
  </w:style>
  <w:style w:type="character" w:customStyle="1" w:styleId="119">
    <w:name w:val="SSE标题2 Char"/>
    <w:basedOn w:val="37"/>
    <w:link w:val="118"/>
    <w:qFormat/>
    <w:uiPriority w:val="0"/>
    <w:rPr>
      <w:rFonts w:eastAsia="仿宋_GB2312"/>
      <w:b/>
      <w:bCs/>
      <w:kern w:val="2"/>
      <w:sz w:val="28"/>
      <w:szCs w:val="28"/>
      <w:lang w:val="zh-CN" w:eastAsia="zh-CN"/>
    </w:rPr>
  </w:style>
  <w:style w:type="paragraph" w:customStyle="1" w:styleId="120">
    <w:name w:val="SSE正文"/>
    <w:basedOn w:val="1"/>
    <w:link w:val="121"/>
    <w:qFormat/>
    <w:uiPriority w:val="0"/>
    <w:pPr>
      <w:ind w:firstLine="200" w:firstLineChars="200"/>
    </w:pPr>
    <w:rPr>
      <w:rFonts w:eastAsia="仿宋_GB2312"/>
      <w:sz w:val="28"/>
      <w:szCs w:val="28"/>
    </w:rPr>
  </w:style>
  <w:style w:type="character" w:customStyle="1" w:styleId="121">
    <w:name w:val="SSE正文 Char"/>
    <w:basedOn w:val="37"/>
    <w:link w:val="120"/>
    <w:qFormat/>
    <w:uiPriority w:val="0"/>
    <w:rPr>
      <w:rFonts w:eastAsia="仿宋_GB2312"/>
      <w:kern w:val="2"/>
      <w:sz w:val="28"/>
      <w:szCs w:val="28"/>
    </w:rPr>
  </w:style>
  <w:style w:type="character" w:customStyle="1" w:styleId="122">
    <w:name w:val="SSE表格文字 Char"/>
    <w:basedOn w:val="37"/>
    <w:link w:val="123"/>
    <w:qFormat/>
    <w:locked/>
    <w:uiPriority w:val="0"/>
    <w:rPr>
      <w:rFonts w:ascii="仿宋_GB2312" w:eastAsia="仿宋_GB2312"/>
      <w:color w:val="000000"/>
      <w:sz w:val="24"/>
      <w:szCs w:val="24"/>
    </w:rPr>
  </w:style>
  <w:style w:type="paragraph" w:customStyle="1" w:styleId="123">
    <w:name w:val="SSE表格文字"/>
    <w:basedOn w:val="1"/>
    <w:link w:val="122"/>
    <w:qFormat/>
    <w:uiPriority w:val="0"/>
    <w:pPr>
      <w:widowControl/>
      <w:jc w:val="center"/>
    </w:pPr>
    <w:rPr>
      <w:rFonts w:ascii="仿宋_GB2312" w:eastAsia="仿宋_GB2312"/>
      <w:color w:val="000000"/>
      <w:kern w:val="0"/>
      <w:sz w:val="24"/>
      <w:szCs w:val="24"/>
    </w:rPr>
  </w:style>
  <w:style w:type="character" w:customStyle="1" w:styleId="124">
    <w:name w:val="SSE图表标题 Char"/>
    <w:basedOn w:val="37"/>
    <w:link w:val="125"/>
    <w:qFormat/>
    <w:locked/>
    <w:uiPriority w:val="0"/>
    <w:rPr>
      <w:rFonts w:ascii="仿宋_GB2312" w:eastAsia="仿宋_GB2312"/>
      <w:b/>
      <w:bCs/>
      <w:color w:val="000000"/>
      <w:sz w:val="24"/>
      <w:szCs w:val="24"/>
    </w:rPr>
  </w:style>
  <w:style w:type="paragraph" w:customStyle="1" w:styleId="125">
    <w:name w:val="SSE图表标题"/>
    <w:basedOn w:val="7"/>
    <w:link w:val="124"/>
    <w:qFormat/>
    <w:uiPriority w:val="0"/>
    <w:pPr>
      <w:spacing w:beforeLines="50" w:after="0" w:line="240" w:lineRule="auto"/>
      <w:jc w:val="center"/>
    </w:pPr>
    <w:rPr>
      <w:rFonts w:ascii="仿宋_GB2312" w:hAnsi="Times New Roman" w:eastAsia="仿宋_GB2312"/>
      <w:color w:val="000000"/>
      <w:kern w:val="0"/>
    </w:rPr>
  </w:style>
  <w:style w:type="character" w:customStyle="1" w:styleId="126">
    <w:name w:val="标题 5 字符"/>
    <w:basedOn w:val="37"/>
    <w:link w:val="6"/>
    <w:qFormat/>
    <w:uiPriority w:val="0"/>
    <w:rPr>
      <w:kern w:val="2"/>
      <w:sz w:val="21"/>
    </w:rPr>
  </w:style>
  <w:style w:type="character" w:customStyle="1" w:styleId="127">
    <w:name w:val="标题 7 字符"/>
    <w:basedOn w:val="37"/>
    <w:link w:val="8"/>
    <w:qFormat/>
    <w:uiPriority w:val="0"/>
    <w:rPr>
      <w:kern w:val="2"/>
      <w:sz w:val="21"/>
    </w:rPr>
  </w:style>
  <w:style w:type="character" w:customStyle="1" w:styleId="128">
    <w:name w:val="标题 8 字符"/>
    <w:basedOn w:val="37"/>
    <w:link w:val="9"/>
    <w:qFormat/>
    <w:uiPriority w:val="0"/>
    <w:rPr>
      <w:kern w:val="2"/>
      <w:sz w:val="21"/>
    </w:rPr>
  </w:style>
  <w:style w:type="character" w:customStyle="1" w:styleId="129">
    <w:name w:val="标题 9 字符"/>
    <w:basedOn w:val="37"/>
    <w:link w:val="10"/>
    <w:qFormat/>
    <w:uiPriority w:val="0"/>
    <w:rPr>
      <w:kern w:val="2"/>
      <w:sz w:val="21"/>
    </w:rPr>
  </w:style>
  <w:style w:type="paragraph" w:customStyle="1" w:styleId="130">
    <w:name w:val="1"/>
    <w:basedOn w:val="1"/>
    <w:next w:val="18"/>
    <w:qFormat/>
    <w:uiPriority w:val="0"/>
    <w:pPr>
      <w:spacing w:line="360" w:lineRule="auto"/>
      <w:ind w:left="840" w:leftChars="400" w:right="840" w:rightChars="400"/>
      <w:jc w:val="center"/>
    </w:pPr>
    <w:rPr>
      <w:sz w:val="36"/>
      <w:szCs w:val="24"/>
    </w:rPr>
  </w:style>
  <w:style w:type="character" w:customStyle="1" w:styleId="131">
    <w:name w:val="afont1"/>
    <w:basedOn w:val="37"/>
    <w:qFormat/>
    <w:uiPriority w:val="0"/>
  </w:style>
  <w:style w:type="paragraph" w:customStyle="1" w:styleId="132">
    <w:name w:val="Char1"/>
    <w:basedOn w:val="1"/>
    <w:qFormat/>
    <w:uiPriority w:val="0"/>
    <w:pPr>
      <w:widowControl/>
      <w:pBdr>
        <w:bottom w:val="single" w:color="auto" w:sz="6" w:space="1"/>
      </w:pBdr>
      <w:jc w:val="left"/>
    </w:pPr>
    <w:rPr>
      <w:rFonts w:ascii="Futura Bk" w:hAnsi="Futura Bk"/>
      <w:kern w:val="0"/>
      <w:sz w:val="20"/>
      <w:lang w:val="en-GB" w:eastAsia="en-US"/>
    </w:rPr>
  </w:style>
  <w:style w:type="character" w:customStyle="1" w:styleId="133">
    <w:name w:val="结束语 字符"/>
    <w:basedOn w:val="37"/>
    <w:link w:val="15"/>
    <w:qFormat/>
    <w:uiPriority w:val="0"/>
    <w:rPr>
      <w:kern w:val="2"/>
      <w:sz w:val="28"/>
      <w:szCs w:val="24"/>
    </w:rPr>
  </w:style>
  <w:style w:type="character" w:customStyle="1" w:styleId="134">
    <w:name w:val="font12px"/>
    <w:basedOn w:val="37"/>
    <w:qFormat/>
    <w:uiPriority w:val="0"/>
  </w:style>
  <w:style w:type="character" w:customStyle="1" w:styleId="135">
    <w:name w:val="title31"/>
    <w:qFormat/>
    <w:uiPriority w:val="0"/>
    <w:rPr>
      <w:b/>
      <w:bCs/>
      <w:sz w:val="21"/>
      <w:szCs w:val="21"/>
    </w:rPr>
  </w:style>
  <w:style w:type="character" w:customStyle="1" w:styleId="136">
    <w:name w:val="unnamed11"/>
    <w:qFormat/>
    <w:uiPriority w:val="0"/>
    <w:rPr>
      <w:spacing w:val="227"/>
      <w:sz w:val="20"/>
      <w:szCs w:val="20"/>
    </w:rPr>
  </w:style>
  <w:style w:type="character" w:customStyle="1" w:styleId="137">
    <w:name w:val="da"/>
    <w:basedOn w:val="37"/>
    <w:qFormat/>
    <w:uiPriority w:val="0"/>
  </w:style>
  <w:style w:type="paragraph" w:customStyle="1" w:styleId="138">
    <w:name w:val="textebold"/>
    <w:basedOn w:val="1"/>
    <w:qFormat/>
    <w:uiPriority w:val="0"/>
    <w:pPr>
      <w:widowControl/>
      <w:spacing w:before="100" w:beforeAutospacing="1" w:after="100" w:afterAutospacing="1" w:line="161" w:lineRule="atLeast"/>
      <w:jc w:val="left"/>
    </w:pPr>
    <w:rPr>
      <w:rFonts w:ascii="Verdana" w:hAnsi="Verdana" w:eastAsia="Arial Unicode MS" w:cs="Arial Unicode MS"/>
      <w:b/>
      <w:bCs/>
      <w:color w:val="000000"/>
      <w:kern w:val="0"/>
      <w:sz w:val="14"/>
      <w:szCs w:val="14"/>
    </w:rPr>
  </w:style>
  <w:style w:type="character" w:customStyle="1" w:styleId="139">
    <w:name w:val="apple-style-span"/>
    <w:basedOn w:val="37"/>
    <w:qFormat/>
    <w:uiPriority w:val="0"/>
  </w:style>
  <w:style w:type="paragraph" w:customStyle="1" w:styleId="140">
    <w:name w:val="样式 标题 41、1.1.1.1-C1.1.1.1四四级标题(一)技术标题 4Numbered Listl4+..."/>
    <w:basedOn w:val="5"/>
    <w:qFormat/>
    <w:uiPriority w:val="0"/>
    <w:pPr>
      <w:keepNext w:val="0"/>
      <w:keepLines w:val="0"/>
      <w:tabs>
        <w:tab w:val="left" w:pos="864"/>
      </w:tabs>
      <w:spacing w:before="0" w:after="0" w:line="360" w:lineRule="auto"/>
      <w:ind w:left="864" w:hanging="864"/>
    </w:pPr>
    <w:rPr>
      <w:rFonts w:ascii="宋体" w:hAnsi="宋体" w:cs="宋体"/>
      <w:b w:val="0"/>
      <w:bCs w:val="0"/>
      <w:sz w:val="22"/>
      <w:szCs w:val="20"/>
    </w:rPr>
  </w:style>
  <w:style w:type="paragraph" w:customStyle="1" w:styleId="141">
    <w:name w:val="Char Char Char Char"/>
    <w:basedOn w:val="1"/>
    <w:qFormat/>
    <w:uiPriority w:val="0"/>
    <w:pPr>
      <w:tabs>
        <w:tab w:val="left" w:pos="360"/>
      </w:tabs>
    </w:pPr>
    <w:rPr>
      <w:sz w:val="24"/>
      <w:szCs w:val="24"/>
    </w:rPr>
  </w:style>
  <w:style w:type="character" w:customStyle="1" w:styleId="142">
    <w:name w:val="Char Char3"/>
    <w:qFormat/>
    <w:locked/>
    <w:uiPriority w:val="0"/>
    <w:rPr>
      <w:rFonts w:eastAsia="宋体"/>
      <w:kern w:val="2"/>
      <w:sz w:val="18"/>
      <w:lang w:val="en-US" w:eastAsia="zh-CN" w:bidi="ar-SA"/>
    </w:rPr>
  </w:style>
  <w:style w:type="character" w:customStyle="1" w:styleId="143">
    <w:name w:val="Char Char2"/>
    <w:qFormat/>
    <w:uiPriority w:val="0"/>
    <w:rPr>
      <w:rFonts w:eastAsia="宋体"/>
      <w:kern w:val="2"/>
      <w:sz w:val="28"/>
      <w:szCs w:val="24"/>
      <w:lang w:val="en-US" w:eastAsia="zh-CN" w:bidi="ar-SA"/>
    </w:rPr>
  </w:style>
  <w:style w:type="paragraph" w:customStyle="1" w:styleId="144">
    <w:name w:val="修订1"/>
    <w:hidden/>
    <w:unhideWhenUsed/>
    <w:qFormat/>
    <w:uiPriority w:val="99"/>
    <w:rPr>
      <w:rFonts w:ascii="Times New Roman" w:hAnsi="Times New Roman" w:eastAsia="宋体" w:cs="Times New Roman"/>
      <w:kern w:val="2"/>
      <w:sz w:val="21"/>
      <w:lang w:val="en-US" w:eastAsia="zh-CN" w:bidi="ar-SA"/>
    </w:rPr>
  </w:style>
  <w:style w:type="paragraph" w:customStyle="1" w:styleId="145">
    <w:name w:val="Revision"/>
    <w:hidden/>
    <w:unhideWhenUsed/>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9EA3F3-2940-4CE9-A1F3-9D0A844C0561}">
  <ds:schemaRefs/>
</ds:datastoreItem>
</file>

<file path=docProps/app.xml><?xml version="1.0" encoding="utf-8"?>
<Properties xmlns="http://schemas.openxmlformats.org/officeDocument/2006/extended-properties" xmlns:vt="http://schemas.openxmlformats.org/officeDocument/2006/docPropsVTypes">
  <Template>Normal.dotm</Template>
  <Pages>50</Pages>
  <Words>24021</Words>
  <Characters>24142</Characters>
  <Lines>169</Lines>
  <Paragraphs>47</Paragraphs>
  <TotalTime>51</TotalTime>
  <ScaleCrop>false</ScaleCrop>
  <LinksUpToDate>false</LinksUpToDate>
  <CharactersWithSpaces>24310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2018-01-12T12:24:00Z</dcterms:created>
  <dc:creator>ybjiang</dc:creator>
  <cp:lastModifiedBy>whxu</cp:lastModifiedBy>
  <cp:lastPrinted>2018-01-12T08:49:00Z</cp:lastPrinted>
  <dcterms:modified xsi:type="dcterms:W3CDTF">2025-09-11T01:37:55Z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C68EDB37DFFD474D862A97255B8E79CB_13</vt:lpwstr>
  </property>
  <property fmtid="{D5CDD505-2E9C-101B-9397-08002B2CF9AE}" pid="4" name="KSOTemplateDocerSaveRecord">
    <vt:lpwstr>eyJoZGlkIjoiODU1MjFmZWFjYWYyZmFkY2IwY2Q4ZjQwNWM1NjJkYzIiLCJ1c2VySWQiOiI0MTAwNTg2ODQifQ==</vt:lpwstr>
  </property>
</Properties>
</file>