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EE37D">
      <w:pPr>
        <w:spacing w:line="560" w:lineRule="exact"/>
        <w:rPr>
          <w:rFonts w:ascii="仿宋_GB2312" w:eastAsia="仿宋_GB2312"/>
          <w:b/>
          <w:bCs/>
          <w:color w:val="000000"/>
          <w:sz w:val="30"/>
          <w:szCs w:val="30"/>
        </w:rPr>
      </w:pPr>
    </w:p>
    <w:p w14:paraId="1C99FFE3">
      <w:pPr>
        <w:adjustRightInd w:val="0"/>
        <w:snapToGrid w:val="0"/>
        <w:spacing w:line="560" w:lineRule="exact"/>
        <w:rPr>
          <w:rFonts w:hint="eastAsia" w:ascii="华文中宋" w:hAnsi="华文中宋" w:eastAsia="华文中宋"/>
          <w:sz w:val="44"/>
          <w:szCs w:val="30"/>
        </w:rPr>
      </w:pPr>
    </w:p>
    <w:p w14:paraId="5AFA7A42">
      <w:pPr>
        <w:snapToGrid w:val="0"/>
        <w:spacing w:line="560" w:lineRule="exact"/>
        <w:jc w:val="center"/>
        <w:rPr>
          <w:rFonts w:hint="eastAsia" w:eastAsia="黑体"/>
          <w:b/>
          <w:bCs/>
          <w:sz w:val="42"/>
          <w:szCs w:val="42"/>
        </w:rPr>
      </w:pPr>
      <w:r>
        <w:rPr>
          <w:rFonts w:hint="eastAsia" w:eastAsia="黑体"/>
          <w:b/>
          <w:bCs/>
          <w:sz w:val="42"/>
          <w:szCs w:val="42"/>
        </w:rPr>
        <w:t>上海证券交易所科创板上市公司自律监管</w:t>
      </w:r>
    </w:p>
    <w:p w14:paraId="56312B2A">
      <w:pPr>
        <w:snapToGrid w:val="0"/>
        <w:spacing w:line="560" w:lineRule="exact"/>
        <w:jc w:val="center"/>
        <w:rPr>
          <w:rFonts w:hint="eastAsia" w:eastAsia="黑体"/>
          <w:b/>
          <w:bCs/>
          <w:sz w:val="42"/>
          <w:szCs w:val="42"/>
        </w:rPr>
      </w:pPr>
      <w:r>
        <w:rPr>
          <w:rFonts w:hint="eastAsia" w:eastAsia="黑体"/>
          <w:b/>
          <w:bCs/>
          <w:sz w:val="42"/>
          <w:szCs w:val="42"/>
        </w:rPr>
        <w:t>指引第2号——自愿信息披露</w:t>
      </w:r>
    </w:p>
    <w:p w14:paraId="3751C765">
      <w:pPr>
        <w:snapToGrid w:val="0"/>
        <w:spacing w:line="560" w:lineRule="exact"/>
        <w:jc w:val="center"/>
        <w:rPr>
          <w:rFonts w:hint="eastAsia" w:eastAsia="黑体"/>
          <w:b/>
          <w:bCs/>
          <w:sz w:val="42"/>
          <w:szCs w:val="42"/>
        </w:rPr>
      </w:pPr>
      <w:r>
        <w:rPr>
          <w:rFonts w:hint="eastAsia" w:eastAsia="黑体"/>
          <w:b/>
          <w:bCs/>
          <w:sz w:val="42"/>
          <w:szCs w:val="42"/>
        </w:rPr>
        <w:t>（2025年3月修订）</w:t>
      </w:r>
    </w:p>
    <w:p w14:paraId="575B3F10">
      <w:pPr>
        <w:adjustRightInd w:val="0"/>
        <w:snapToGrid w:val="0"/>
        <w:spacing w:line="560" w:lineRule="exact"/>
        <w:rPr>
          <w:rFonts w:hint="eastAsia" w:ascii="黑体" w:hAnsi="黑体" w:eastAsia="黑体"/>
          <w:sz w:val="32"/>
          <w:szCs w:val="32"/>
        </w:rPr>
      </w:pPr>
    </w:p>
    <w:p w14:paraId="628F2CB1">
      <w:pPr>
        <w:adjustRightInd w:val="0"/>
        <w:snapToGrid w:val="0"/>
        <w:spacing w:line="560" w:lineRule="exact"/>
        <w:ind w:firstLine="601" w:firstLineChars="200"/>
        <w:jc w:val="center"/>
        <w:outlineLvl w:val="0"/>
        <w:rPr>
          <w:rFonts w:hint="eastAsia" w:ascii="华文中宋" w:hAnsi="华文中宋" w:eastAsia="华文中宋"/>
          <w:b/>
          <w:sz w:val="30"/>
          <w:szCs w:val="30"/>
        </w:rPr>
      </w:pPr>
      <w:r>
        <w:rPr>
          <w:rFonts w:hint="eastAsia" w:ascii="华文中宋" w:hAnsi="华文中宋" w:eastAsia="华文中宋"/>
          <w:b/>
          <w:sz w:val="30"/>
          <w:szCs w:val="30"/>
        </w:rPr>
        <w:t>目 的</w:t>
      </w:r>
    </w:p>
    <w:p w14:paraId="29B26103">
      <w:pPr>
        <w:spacing w:line="560" w:lineRule="exact"/>
        <w:ind w:firstLine="600" w:firstLineChars="200"/>
        <w:rPr>
          <w:rFonts w:ascii="仿宋_GB2312" w:eastAsia="仿宋_GB2312"/>
          <w:sz w:val="30"/>
          <w:szCs w:val="30"/>
        </w:rPr>
      </w:pPr>
      <w:r>
        <w:rPr>
          <w:rFonts w:hint="eastAsia" w:ascii="仿宋_GB2312" w:eastAsia="仿宋_GB2312"/>
          <w:sz w:val="30"/>
          <w:szCs w:val="30"/>
        </w:rPr>
        <w:t>制定本</w:t>
      </w:r>
      <w:r>
        <w:rPr>
          <w:rFonts w:ascii="仿宋_GB2312" w:eastAsia="仿宋_GB2312"/>
          <w:sz w:val="30"/>
          <w:szCs w:val="30"/>
        </w:rPr>
        <w:t>指引</w:t>
      </w:r>
      <w:r>
        <w:rPr>
          <w:rFonts w:hint="eastAsia" w:ascii="仿宋_GB2312" w:eastAsia="仿宋_GB2312"/>
          <w:sz w:val="30"/>
          <w:szCs w:val="30"/>
        </w:rPr>
        <w:t>，主要出于三方面的考虑。</w:t>
      </w:r>
    </w:p>
    <w:p w14:paraId="3B407A58">
      <w:pPr>
        <w:spacing w:line="560" w:lineRule="exact"/>
        <w:ind w:firstLine="602" w:firstLineChars="200"/>
        <w:rPr>
          <w:rFonts w:ascii="仿宋_GB2312" w:eastAsia="仿宋_GB2312"/>
          <w:sz w:val="30"/>
          <w:szCs w:val="30"/>
        </w:rPr>
      </w:pPr>
      <w:r>
        <w:rPr>
          <w:rFonts w:hint="eastAsia" w:ascii="仿宋_GB2312" w:eastAsia="仿宋_GB2312"/>
          <w:b/>
          <w:sz w:val="30"/>
          <w:szCs w:val="30"/>
        </w:rPr>
        <w:t>一是贯彻落实修订后《证券法》的</w:t>
      </w:r>
      <w:r>
        <w:rPr>
          <w:rFonts w:ascii="仿宋_GB2312" w:eastAsia="仿宋_GB2312"/>
          <w:b/>
          <w:sz w:val="30"/>
          <w:szCs w:val="30"/>
        </w:rPr>
        <w:t>相关</w:t>
      </w:r>
      <w:r>
        <w:rPr>
          <w:rFonts w:hint="eastAsia" w:ascii="仿宋_GB2312" w:eastAsia="仿宋_GB2312"/>
          <w:b/>
          <w:sz w:val="30"/>
          <w:szCs w:val="30"/>
        </w:rPr>
        <w:t>要求。</w:t>
      </w:r>
      <w:r>
        <w:rPr>
          <w:rFonts w:hint="eastAsia" w:ascii="仿宋_GB2312" w:eastAsia="仿宋_GB2312"/>
          <w:sz w:val="30"/>
          <w:szCs w:val="30"/>
        </w:rPr>
        <w:t>修订后</w:t>
      </w:r>
      <w:r>
        <w:rPr>
          <w:rFonts w:ascii="仿宋_GB2312" w:eastAsia="仿宋_GB2312"/>
          <w:sz w:val="30"/>
          <w:szCs w:val="30"/>
        </w:rPr>
        <w:t>的</w:t>
      </w:r>
      <w:r>
        <w:rPr>
          <w:rFonts w:hint="eastAsia" w:ascii="仿宋_GB2312" w:eastAsia="仿宋_GB2312"/>
          <w:sz w:val="30"/>
          <w:szCs w:val="30"/>
        </w:rPr>
        <w:t>《证券法》明确规定，除依法需要披露的信息之外，信息披露义务人可以自愿披露与投资者作出价值判断和投资决策有关的信息，但不得与依法披露的信息相冲突，不得误导投资者。与之相衔接，中国证监会部门规章、</w:t>
      </w:r>
      <w:r>
        <w:rPr>
          <w:rFonts w:ascii="仿宋_GB2312" w:eastAsia="仿宋_GB2312"/>
          <w:sz w:val="30"/>
          <w:szCs w:val="30"/>
        </w:rPr>
        <w:t>规范性文件</w:t>
      </w:r>
      <w:r>
        <w:rPr>
          <w:rFonts w:hint="eastAsia" w:ascii="仿宋_GB2312" w:eastAsia="仿宋_GB2312"/>
          <w:sz w:val="30"/>
          <w:szCs w:val="30"/>
        </w:rPr>
        <w:t>和本所业务规则，明确了自愿信息披露的原则性规定。为推动股票</w:t>
      </w:r>
      <w:r>
        <w:rPr>
          <w:rFonts w:ascii="仿宋_GB2312" w:eastAsia="仿宋_GB2312"/>
          <w:sz w:val="30"/>
          <w:szCs w:val="30"/>
        </w:rPr>
        <w:t>、</w:t>
      </w:r>
      <w:r>
        <w:rPr>
          <w:rFonts w:hint="eastAsia" w:ascii="仿宋_GB2312" w:eastAsia="仿宋_GB2312"/>
          <w:sz w:val="30"/>
          <w:szCs w:val="30"/>
        </w:rPr>
        <w:t>存托凭证</w:t>
      </w:r>
      <w:r>
        <w:rPr>
          <w:rFonts w:ascii="仿宋_GB2312" w:eastAsia="仿宋_GB2312"/>
          <w:sz w:val="30"/>
          <w:szCs w:val="30"/>
        </w:rPr>
        <w:t>在</w:t>
      </w:r>
      <w:r>
        <w:rPr>
          <w:rFonts w:hint="eastAsia" w:ascii="仿宋_GB2312" w:eastAsia="仿宋_GB2312"/>
          <w:sz w:val="30"/>
          <w:szCs w:val="30"/>
        </w:rPr>
        <w:t>科创板上市的公司（以下简称科创公司）更好地实践这一法定要求，还需要从如何开展自愿信息披露的角度，进一步明确自愿信息披露的具体要求、披露内容和注意事项，以提供更有针对性和指导性的规范建议。编制本指引，即是为了落实《证券法》和配套部门规章、业务规则的规定，制定科创板自愿信息披露制度体系的“操作手册”，方便科创公司参考使用。本所后续将根据科创公司自愿信息披露实践，不断丰富和更新本指</w:t>
      </w:r>
      <w:r>
        <w:rPr>
          <w:rFonts w:ascii="仿宋_GB2312" w:eastAsia="仿宋_GB2312"/>
          <w:sz w:val="30"/>
          <w:szCs w:val="30"/>
        </w:rPr>
        <w:t>引</w:t>
      </w:r>
      <w:r>
        <w:rPr>
          <w:rFonts w:hint="eastAsia" w:ascii="仿宋_GB2312" w:eastAsia="仿宋_GB2312"/>
          <w:sz w:val="30"/>
          <w:szCs w:val="30"/>
        </w:rPr>
        <w:t>。</w:t>
      </w:r>
    </w:p>
    <w:p w14:paraId="33A25C09">
      <w:pPr>
        <w:spacing w:line="560" w:lineRule="exact"/>
        <w:ind w:firstLine="602" w:firstLineChars="200"/>
        <w:rPr>
          <w:rFonts w:ascii="仿宋_GB2312" w:eastAsia="仿宋_GB2312"/>
          <w:sz w:val="30"/>
          <w:szCs w:val="30"/>
        </w:rPr>
      </w:pPr>
      <w:r>
        <w:rPr>
          <w:rFonts w:hint="eastAsia" w:ascii="仿宋_GB2312" w:eastAsia="仿宋_GB2312"/>
          <w:b/>
          <w:sz w:val="30"/>
          <w:szCs w:val="30"/>
        </w:rPr>
        <w:t>二是促进科创公司提高信息披露的有效性。</w:t>
      </w:r>
      <w:r>
        <w:rPr>
          <w:rFonts w:hint="eastAsia" w:ascii="仿宋_GB2312" w:eastAsia="仿宋_GB2312"/>
          <w:sz w:val="30"/>
          <w:szCs w:val="30"/>
        </w:rPr>
        <w:t>信息披露是证券市场有效配置资源和投资者作出投资决策的基础，也发挥着督促上市公司规范运行、保护投资者合法权益的重要功能。从市场实践看，上市公司履行信息披露义务，既包括法律法规强制披露的信息，也包括公司自愿披露的信息。其中，战略规划、盈利预测、公司治理、环境保护、社会责任、人力资本等方面自愿披露的信息，作为强制披露信息的有益和必要补充，提升了信息披露有效性。科创板开市以来，一批代表新经济、新业态、新模式的科技创新企业登陆科创板。这些企业，在盈利模式、资产结构、企业估值、成长路径等方面，与传统型企业存在显著差别，其科创属性、成长属性、价值属性需要从更多角度进行解读和呈现，自愿披露信息的重要性日益凸显。不少上市企业在以往常见自愿信息披露类型的基础上，主动披露行业变化、研发进展、运营数据、业务合作、非会计准则下的财务指标、董事长致投资者的沟通信函等信息，自愿信息披露的类型也由此更加丰富。本指引即顺应这一变化趋势，推动科创公司为投资者提供更具针对性和有效性的决策信息，满足投资者多元化的信息需求。</w:t>
      </w:r>
    </w:p>
    <w:p w14:paraId="76B1857B">
      <w:pPr>
        <w:spacing w:line="560" w:lineRule="exact"/>
        <w:ind w:firstLine="602" w:firstLineChars="200"/>
        <w:rPr>
          <w:rFonts w:ascii="仿宋_GB2312" w:eastAsia="仿宋_GB2312"/>
          <w:sz w:val="30"/>
          <w:szCs w:val="30"/>
        </w:rPr>
      </w:pPr>
      <w:r>
        <w:rPr>
          <w:rFonts w:hint="eastAsia" w:ascii="仿宋_GB2312" w:eastAsia="仿宋_GB2312"/>
          <w:b/>
          <w:sz w:val="30"/>
          <w:szCs w:val="30"/>
        </w:rPr>
        <w:t>三是防范自愿信息披露中的不当行为。</w:t>
      </w:r>
      <w:r>
        <w:rPr>
          <w:rFonts w:hint="eastAsia" w:ascii="仿宋_GB2312" w:eastAsia="仿宋_GB2312"/>
          <w:sz w:val="30"/>
          <w:szCs w:val="30"/>
        </w:rPr>
        <w:t>自愿信息披露主要由科创公司自主决策，但也会影响投资者的投资决策和股票交易秩序，因此同样需要遵守必要的规范。市场实践中，出现了一些利用自愿信息披露，发布“蹭热点”类公告的不当行为，误导了投资者，引起市场关注。需要强调的是，自愿披露不是随意披露和任性披露，科创公司在自主判断和决策的同时，也需要遵循信息披露的基本要求，防范自愿披露中不当行为的发生。本指引结合自愿信息披露的监管实践，通过原则阐述和案例示范，进一步明确了自愿信息披露的一般要求，并指导公司建立有助于遵守上述原则和要求的内部制度，保障自愿信息披露的目标和价值得到准确把握和充分实现。</w:t>
      </w:r>
    </w:p>
    <w:p w14:paraId="135AB314">
      <w:pPr>
        <w:spacing w:line="560" w:lineRule="exact"/>
        <w:ind w:firstLine="600" w:firstLineChars="200"/>
        <w:rPr>
          <w:rFonts w:ascii="仿宋_GB2312" w:eastAsia="仿宋_GB2312"/>
          <w:sz w:val="30"/>
          <w:szCs w:val="30"/>
        </w:rPr>
      </w:pPr>
    </w:p>
    <w:p w14:paraId="1994AF41">
      <w:pPr>
        <w:spacing w:line="560" w:lineRule="exact"/>
        <w:ind w:firstLine="601" w:firstLineChars="200"/>
        <w:outlineLvl w:val="0"/>
        <w:rPr>
          <w:rFonts w:hint="eastAsia" w:ascii="华文中宋" w:hAnsi="华文中宋" w:eastAsia="华文中宋"/>
          <w:b/>
          <w:sz w:val="30"/>
          <w:szCs w:val="30"/>
        </w:rPr>
      </w:pPr>
      <w:r>
        <w:rPr>
          <w:rFonts w:hint="eastAsia" w:ascii="华文中宋" w:hAnsi="华文中宋" w:eastAsia="华文中宋"/>
          <w:b/>
          <w:sz w:val="30"/>
          <w:szCs w:val="30"/>
        </w:rPr>
        <w:t>一、准确把握自愿信息披露的范围</w:t>
      </w:r>
    </w:p>
    <w:p w14:paraId="781411CC">
      <w:pPr>
        <w:spacing w:line="560" w:lineRule="exact"/>
        <w:ind w:firstLine="600" w:firstLineChars="200"/>
        <w:rPr>
          <w:rFonts w:ascii="仿宋_GB2312" w:eastAsia="仿宋_GB2312"/>
          <w:b/>
          <w:sz w:val="30"/>
          <w:szCs w:val="30"/>
        </w:rPr>
      </w:pPr>
      <w:r>
        <w:rPr>
          <w:rFonts w:hint="eastAsia" w:ascii="仿宋_GB2312" w:eastAsia="仿宋_GB2312"/>
          <w:sz w:val="30"/>
          <w:szCs w:val="30"/>
        </w:rPr>
        <w:t>科创公司自愿披露的信息，应当服务于投资者决策需要，基于一定的客观事实，或者具备实施的基础条件。不宜披露与投资者决策关联不大的信息，更不应</w:t>
      </w:r>
      <w:r>
        <w:rPr>
          <w:rFonts w:ascii="仿宋_GB2312" w:eastAsia="仿宋_GB2312"/>
          <w:sz w:val="30"/>
          <w:szCs w:val="30"/>
        </w:rPr>
        <w:t>披露可能误导投资者错误估计公司</w:t>
      </w:r>
      <w:r>
        <w:rPr>
          <w:rFonts w:hint="eastAsia" w:ascii="仿宋_GB2312" w:eastAsia="仿宋_GB2312"/>
          <w:sz w:val="30"/>
          <w:szCs w:val="30"/>
        </w:rPr>
        <w:t>价值的</w:t>
      </w:r>
      <w:r>
        <w:rPr>
          <w:rFonts w:ascii="仿宋_GB2312" w:eastAsia="仿宋_GB2312"/>
          <w:sz w:val="30"/>
          <w:szCs w:val="30"/>
        </w:rPr>
        <w:t>市场热点</w:t>
      </w:r>
      <w:r>
        <w:rPr>
          <w:rFonts w:hint="eastAsia" w:ascii="仿宋_GB2312" w:eastAsia="仿宋_GB2312"/>
          <w:sz w:val="30"/>
          <w:szCs w:val="30"/>
        </w:rPr>
        <w:t>相</w:t>
      </w:r>
      <w:r>
        <w:rPr>
          <w:rFonts w:ascii="仿宋_GB2312" w:eastAsia="仿宋_GB2312"/>
          <w:sz w:val="30"/>
          <w:szCs w:val="30"/>
        </w:rPr>
        <w:t>关信息，不</w:t>
      </w:r>
      <w:r>
        <w:rPr>
          <w:rFonts w:hint="eastAsia" w:ascii="仿宋_GB2312" w:eastAsia="仿宋_GB2312"/>
          <w:sz w:val="30"/>
          <w:szCs w:val="30"/>
        </w:rPr>
        <w:t>能</w:t>
      </w:r>
      <w:r>
        <w:rPr>
          <w:rFonts w:ascii="仿宋_GB2312" w:eastAsia="仿宋_GB2312"/>
          <w:sz w:val="30"/>
          <w:szCs w:val="30"/>
        </w:rPr>
        <w:t>以重大风险提示替代应有的事实基础。</w:t>
      </w:r>
    </w:p>
    <w:p w14:paraId="34FBC05D">
      <w:pPr>
        <w:spacing w:line="560" w:lineRule="exact"/>
        <w:ind w:firstLine="600" w:firstLineChars="200"/>
        <w:rPr>
          <w:rFonts w:ascii="仿宋_GB2312" w:eastAsia="仿宋_GB2312"/>
          <w:sz w:val="30"/>
          <w:szCs w:val="30"/>
        </w:rPr>
      </w:pPr>
      <w:r>
        <w:rPr>
          <w:rFonts w:hint="eastAsia" w:ascii="仿宋_GB2312" w:eastAsia="仿宋_GB2312"/>
          <w:sz w:val="30"/>
          <w:szCs w:val="30"/>
        </w:rPr>
        <w:t>一般而言，自愿信息披露包含以下常见类型。</w:t>
      </w:r>
    </w:p>
    <w:p w14:paraId="390F7000">
      <w:pPr>
        <w:pStyle w:val="66"/>
        <w:numPr>
          <w:ilvl w:val="0"/>
          <w:numId w:val="0"/>
        </w:numPr>
        <w:tabs>
          <w:tab w:val="left" w:pos="851"/>
          <w:tab w:val="left" w:pos="993"/>
        </w:tabs>
        <w:spacing w:line="560" w:lineRule="exact"/>
        <w:ind w:left="0" w:leftChars="0" w:firstLine="602" w:firstLineChars="200"/>
        <w:rPr>
          <w:rFonts w:ascii="仿宋_GB2312" w:eastAsia="仿宋_GB2312"/>
          <w:sz w:val="30"/>
          <w:szCs w:val="30"/>
        </w:rPr>
      </w:pPr>
      <w:r>
        <w:rPr>
          <w:rFonts w:hint="default" w:ascii="仿宋_GB2312" w:hAnsi="Times New Roman" w:eastAsia="仿宋_GB2312" w:cs="Times New Roman"/>
          <w:b/>
          <w:bCs/>
          <w:kern w:val="2"/>
          <w:sz w:val="30"/>
          <w:szCs w:val="30"/>
          <w:lang w:val="en-US" w:eastAsia="zh-CN" w:bidi="ar-SA"/>
        </w:rPr>
        <w:t>1.</w:t>
      </w:r>
      <w:r>
        <w:rPr>
          <w:rFonts w:hint="eastAsia" w:ascii="仿宋_GB2312" w:eastAsia="仿宋_GB2312"/>
          <w:sz w:val="30"/>
          <w:szCs w:val="30"/>
        </w:rPr>
        <w:t>战略信息，指与公司长期发展目标和规划相关的信息，例如三年规划或者向某个领域拓展的发展战略。</w:t>
      </w:r>
    </w:p>
    <w:p w14:paraId="20487D07">
      <w:pPr>
        <w:pStyle w:val="66"/>
        <w:numPr>
          <w:ilvl w:val="0"/>
          <w:numId w:val="0"/>
        </w:numPr>
        <w:tabs>
          <w:tab w:val="left" w:pos="851"/>
          <w:tab w:val="left" w:pos="993"/>
        </w:tabs>
        <w:spacing w:line="560" w:lineRule="exact"/>
        <w:ind w:left="0" w:leftChars="0" w:firstLine="602" w:firstLineChars="200"/>
        <w:rPr>
          <w:rFonts w:ascii="仿宋_GB2312" w:eastAsia="仿宋_GB2312"/>
          <w:sz w:val="30"/>
          <w:szCs w:val="30"/>
        </w:rPr>
      </w:pPr>
      <w:r>
        <w:rPr>
          <w:rFonts w:hint="default" w:ascii="仿宋_GB2312" w:hAnsi="Times New Roman" w:eastAsia="仿宋_GB2312" w:cs="Times New Roman"/>
          <w:b/>
          <w:bCs/>
          <w:kern w:val="2"/>
          <w:sz w:val="30"/>
          <w:szCs w:val="30"/>
          <w:lang w:val="en-US" w:eastAsia="zh-CN" w:bidi="ar-SA"/>
        </w:rPr>
        <w:t>2.</w:t>
      </w:r>
      <w:r>
        <w:rPr>
          <w:rFonts w:hint="eastAsia" w:ascii="仿宋_GB2312" w:eastAsia="仿宋_GB2312"/>
          <w:sz w:val="30"/>
          <w:szCs w:val="30"/>
        </w:rPr>
        <w:t>财务信息，指能够反映公司财务状况及经营成果的数据及其分析信息，例如非会计准则下的财务信息。</w:t>
      </w:r>
    </w:p>
    <w:p w14:paraId="17F144E5">
      <w:pPr>
        <w:pStyle w:val="66"/>
        <w:numPr>
          <w:ilvl w:val="0"/>
          <w:numId w:val="0"/>
        </w:numPr>
        <w:tabs>
          <w:tab w:val="left" w:pos="851"/>
          <w:tab w:val="left" w:pos="993"/>
        </w:tabs>
        <w:spacing w:line="560" w:lineRule="exact"/>
        <w:ind w:left="0" w:leftChars="0" w:firstLine="602" w:firstLineChars="200"/>
        <w:rPr>
          <w:rFonts w:ascii="仿宋_GB2312" w:eastAsia="仿宋_GB2312"/>
          <w:sz w:val="30"/>
          <w:szCs w:val="30"/>
        </w:rPr>
      </w:pPr>
      <w:r>
        <w:rPr>
          <w:rFonts w:hint="default" w:ascii="仿宋_GB2312" w:hAnsi="Times New Roman" w:eastAsia="仿宋_GB2312" w:cs="Times New Roman"/>
          <w:b/>
          <w:bCs/>
          <w:kern w:val="2"/>
          <w:sz w:val="30"/>
          <w:szCs w:val="30"/>
          <w:lang w:val="en-US" w:eastAsia="zh-CN" w:bidi="ar-SA"/>
        </w:rPr>
        <w:t>3.</w:t>
      </w:r>
      <w:r>
        <w:rPr>
          <w:rFonts w:hint="eastAsia" w:ascii="仿宋_GB2312" w:eastAsia="仿宋_GB2312"/>
          <w:sz w:val="30"/>
          <w:szCs w:val="30"/>
        </w:rPr>
        <w:t>预测信息，指基于现有事实作出的对未来的判断和预测，例如对技术发展趋势或者某个产品市场开拓的前瞻性预测、盈利预测。</w:t>
      </w:r>
    </w:p>
    <w:p w14:paraId="1DECC662">
      <w:pPr>
        <w:pStyle w:val="66"/>
        <w:numPr>
          <w:ilvl w:val="0"/>
          <w:numId w:val="0"/>
        </w:numPr>
        <w:tabs>
          <w:tab w:val="left" w:pos="851"/>
          <w:tab w:val="left" w:pos="993"/>
        </w:tabs>
        <w:spacing w:line="560" w:lineRule="exact"/>
        <w:ind w:left="0" w:leftChars="0" w:firstLine="602" w:firstLineChars="200"/>
        <w:rPr>
          <w:rFonts w:ascii="仿宋_GB2312" w:eastAsia="仿宋_GB2312"/>
          <w:sz w:val="30"/>
          <w:szCs w:val="30"/>
        </w:rPr>
      </w:pPr>
      <w:r>
        <w:rPr>
          <w:rFonts w:hint="default" w:ascii="仿宋_GB2312" w:hAnsi="Times New Roman" w:eastAsia="仿宋_GB2312" w:cs="Times New Roman"/>
          <w:b/>
          <w:bCs/>
          <w:kern w:val="2"/>
          <w:sz w:val="30"/>
          <w:szCs w:val="30"/>
          <w:lang w:val="en-US" w:eastAsia="zh-CN" w:bidi="ar-SA"/>
        </w:rPr>
        <w:t>4.</w:t>
      </w:r>
      <w:r>
        <w:rPr>
          <w:rFonts w:hint="eastAsia" w:ascii="仿宋_GB2312" w:eastAsia="仿宋_GB2312"/>
          <w:sz w:val="30"/>
          <w:szCs w:val="30"/>
        </w:rPr>
        <w:t>研发信息，指反映公司新技术、新产品研究开发进展，以及所取得成果的信息，例如生物医药公司新药研发进展。</w:t>
      </w:r>
    </w:p>
    <w:p w14:paraId="1F835221">
      <w:pPr>
        <w:pStyle w:val="66"/>
        <w:numPr>
          <w:ilvl w:val="0"/>
          <w:numId w:val="0"/>
        </w:numPr>
        <w:tabs>
          <w:tab w:val="left" w:pos="851"/>
          <w:tab w:val="left" w:pos="993"/>
        </w:tabs>
        <w:spacing w:line="560" w:lineRule="exact"/>
        <w:ind w:left="0" w:leftChars="0" w:firstLine="602" w:firstLineChars="200"/>
        <w:rPr>
          <w:rFonts w:ascii="仿宋_GB2312" w:eastAsia="仿宋_GB2312"/>
          <w:sz w:val="30"/>
          <w:szCs w:val="30"/>
        </w:rPr>
      </w:pPr>
      <w:r>
        <w:rPr>
          <w:rFonts w:hint="default" w:ascii="仿宋_GB2312" w:hAnsi="Times New Roman" w:eastAsia="仿宋_GB2312" w:cs="Times New Roman"/>
          <w:b/>
          <w:bCs/>
          <w:kern w:val="2"/>
          <w:sz w:val="30"/>
          <w:szCs w:val="30"/>
          <w:lang w:val="en-US" w:eastAsia="zh-CN" w:bidi="ar-SA"/>
        </w:rPr>
        <w:t>5.</w:t>
      </w:r>
      <w:r>
        <w:rPr>
          <w:rFonts w:hint="eastAsia" w:ascii="仿宋_GB2312" w:eastAsia="仿宋_GB2312"/>
          <w:sz w:val="30"/>
          <w:szCs w:val="30"/>
        </w:rPr>
        <w:t>业务信息，指财务信息之外能够反映公司业务发展、经营情况及其趋势的信息，例如</w:t>
      </w:r>
      <w:r>
        <w:rPr>
          <w:rFonts w:ascii="仿宋_GB2312" w:eastAsia="仿宋_GB2312"/>
          <w:sz w:val="30"/>
          <w:szCs w:val="30"/>
        </w:rPr>
        <w:t>按月度披露的主要经营数据</w:t>
      </w:r>
      <w:r>
        <w:rPr>
          <w:rFonts w:hint="eastAsia" w:ascii="仿宋_GB2312" w:eastAsia="仿宋_GB2312"/>
          <w:sz w:val="30"/>
          <w:szCs w:val="30"/>
        </w:rPr>
        <w:t>。</w:t>
      </w:r>
    </w:p>
    <w:p w14:paraId="0BF27C21">
      <w:pPr>
        <w:pStyle w:val="66"/>
        <w:numPr>
          <w:ilvl w:val="0"/>
          <w:numId w:val="0"/>
        </w:numPr>
        <w:tabs>
          <w:tab w:val="left" w:pos="851"/>
          <w:tab w:val="left" w:pos="993"/>
        </w:tabs>
        <w:spacing w:line="560" w:lineRule="exact"/>
        <w:ind w:left="0" w:leftChars="0" w:firstLine="602" w:firstLineChars="200"/>
        <w:rPr>
          <w:rFonts w:ascii="仿宋_GB2312" w:eastAsia="仿宋_GB2312"/>
          <w:sz w:val="30"/>
          <w:szCs w:val="30"/>
        </w:rPr>
      </w:pPr>
      <w:r>
        <w:rPr>
          <w:rFonts w:hint="default" w:ascii="仿宋_GB2312" w:hAnsi="Times New Roman" w:eastAsia="仿宋_GB2312" w:cs="Times New Roman"/>
          <w:b/>
          <w:bCs/>
          <w:kern w:val="2"/>
          <w:sz w:val="30"/>
          <w:szCs w:val="30"/>
          <w:lang w:val="en-US" w:eastAsia="zh-CN" w:bidi="ar-SA"/>
        </w:rPr>
        <w:t>6.</w:t>
      </w:r>
      <w:r>
        <w:rPr>
          <w:rFonts w:hint="eastAsia" w:ascii="仿宋_GB2312" w:eastAsia="仿宋_GB2312"/>
          <w:sz w:val="30"/>
          <w:szCs w:val="30"/>
        </w:rPr>
        <w:t>行业信息，指公司所处行业发生的对公司经营发展具有影响的行业信息，例如国家对于相关行业的重点支持或者鼓励性政策。</w:t>
      </w:r>
    </w:p>
    <w:p w14:paraId="7090C40B">
      <w:pPr>
        <w:pStyle w:val="66"/>
        <w:numPr>
          <w:ilvl w:val="0"/>
          <w:numId w:val="0"/>
        </w:numPr>
        <w:tabs>
          <w:tab w:val="left" w:pos="851"/>
          <w:tab w:val="left" w:pos="993"/>
        </w:tabs>
        <w:spacing w:line="560" w:lineRule="exact"/>
        <w:ind w:left="0" w:leftChars="0" w:firstLine="602" w:firstLineChars="200"/>
        <w:rPr>
          <w:rFonts w:ascii="仿宋_GB2312" w:eastAsia="仿宋_GB2312"/>
          <w:sz w:val="30"/>
          <w:szCs w:val="30"/>
        </w:rPr>
      </w:pPr>
      <w:r>
        <w:rPr>
          <w:rFonts w:hint="default" w:ascii="仿宋_GB2312" w:hAnsi="Times New Roman" w:eastAsia="仿宋_GB2312" w:cs="Times New Roman"/>
          <w:b/>
          <w:bCs/>
          <w:kern w:val="2"/>
          <w:sz w:val="30"/>
          <w:szCs w:val="30"/>
          <w:lang w:val="en-US" w:eastAsia="zh-CN" w:bidi="ar-SA"/>
        </w:rPr>
        <w:t>7.</w:t>
      </w:r>
      <w:r>
        <w:rPr>
          <w:rFonts w:hint="eastAsia" w:ascii="仿宋_GB2312" w:eastAsia="仿宋_GB2312"/>
          <w:sz w:val="30"/>
          <w:szCs w:val="30"/>
        </w:rPr>
        <w:t>社会责任信息，指公司承担的对消费者、员工、社会环境等方面的责任情况，例如重大突发公共事件中公司发挥的作用。</w:t>
      </w:r>
    </w:p>
    <w:p w14:paraId="7CBDD3D3">
      <w:pPr>
        <w:spacing w:line="560" w:lineRule="exact"/>
        <w:ind w:firstLine="600" w:firstLineChars="200"/>
        <w:rPr>
          <w:rFonts w:ascii="仿宋_GB2312" w:eastAsia="仿宋_GB2312"/>
          <w:sz w:val="30"/>
          <w:szCs w:val="30"/>
        </w:rPr>
      </w:pPr>
    </w:p>
    <w:p w14:paraId="19745358">
      <w:pPr>
        <w:spacing w:line="560" w:lineRule="exact"/>
        <w:ind w:firstLine="601" w:firstLineChars="200"/>
        <w:outlineLvl w:val="0"/>
        <w:rPr>
          <w:rFonts w:ascii="仿宋_GB2312" w:eastAsia="仿宋_GB2312"/>
          <w:sz w:val="30"/>
          <w:szCs w:val="30"/>
        </w:rPr>
      </w:pPr>
      <w:r>
        <w:rPr>
          <w:rFonts w:hint="eastAsia" w:ascii="华文中宋" w:hAnsi="华文中宋" w:eastAsia="华文中宋"/>
          <w:b/>
          <w:sz w:val="30"/>
          <w:szCs w:val="30"/>
        </w:rPr>
        <w:t>二、自愿信息披露的基本要求</w:t>
      </w:r>
    </w:p>
    <w:p w14:paraId="1EAE1D07">
      <w:pPr>
        <w:spacing w:line="560" w:lineRule="exact"/>
        <w:ind w:firstLine="600" w:firstLineChars="200"/>
        <w:rPr>
          <w:rFonts w:ascii="仿宋_GB2312" w:eastAsia="仿宋_GB2312"/>
          <w:b/>
          <w:sz w:val="30"/>
          <w:szCs w:val="30"/>
        </w:rPr>
      </w:pPr>
      <w:r>
        <w:rPr>
          <w:rFonts w:hint="eastAsia" w:ascii="仿宋_GB2312" w:eastAsia="仿宋_GB2312"/>
          <w:sz w:val="30"/>
          <w:szCs w:val="30"/>
        </w:rPr>
        <w:t xml:space="preserve">自愿披露信息，主要由科创公司自主决策，但同样需要遵守法律规则关于信息披露的一般规定，不得与依法披露的信息相冲突，不得误导投资者。科创公司应注意从以下方面，遵守自愿信息披露的原则和要求。 </w:t>
      </w:r>
    </w:p>
    <w:p w14:paraId="189C6904">
      <w:pPr>
        <w:spacing w:line="560" w:lineRule="exact"/>
        <w:ind w:firstLine="602" w:firstLineChars="200"/>
        <w:outlineLvl w:val="2"/>
        <w:rPr>
          <w:rFonts w:ascii="仿宋_GB2312" w:eastAsia="仿宋_GB2312"/>
          <w:b/>
          <w:sz w:val="30"/>
          <w:szCs w:val="30"/>
        </w:rPr>
      </w:pPr>
      <w:r>
        <w:rPr>
          <w:rFonts w:hint="eastAsia" w:ascii="仿宋_GB2312" w:eastAsia="仿宋_GB2312"/>
          <w:b/>
          <w:sz w:val="30"/>
          <w:szCs w:val="30"/>
        </w:rPr>
        <w:t>（一）严格遵守真实、准确、完整的一般要求</w:t>
      </w:r>
    </w:p>
    <w:p w14:paraId="43757F44">
      <w:pPr>
        <w:spacing w:line="560" w:lineRule="exact"/>
        <w:ind w:firstLine="600" w:firstLineChars="200"/>
        <w:rPr>
          <w:rFonts w:ascii="仿宋_GB2312" w:eastAsia="仿宋_GB2312"/>
          <w:sz w:val="30"/>
          <w:szCs w:val="30"/>
        </w:rPr>
      </w:pPr>
      <w:r>
        <w:rPr>
          <w:rFonts w:ascii="仿宋_GB2312" w:eastAsia="仿宋_GB2312"/>
          <w:sz w:val="30"/>
          <w:szCs w:val="30"/>
        </w:rPr>
        <w:t>真实、准确、完整，是</w:t>
      </w:r>
      <w:r>
        <w:rPr>
          <w:rFonts w:hint="eastAsia" w:ascii="仿宋_GB2312" w:eastAsia="仿宋_GB2312"/>
          <w:sz w:val="30"/>
          <w:szCs w:val="30"/>
        </w:rPr>
        <w:t>《证券法》规定的</w:t>
      </w:r>
      <w:r>
        <w:rPr>
          <w:rFonts w:ascii="仿宋_GB2312" w:eastAsia="仿宋_GB2312"/>
          <w:sz w:val="30"/>
          <w:szCs w:val="30"/>
        </w:rPr>
        <w:t>信息披露的基本要求。自愿信息披露虽然不属于</w:t>
      </w:r>
      <w:r>
        <w:rPr>
          <w:rFonts w:hint="eastAsia" w:ascii="仿宋_GB2312" w:eastAsia="仿宋_GB2312"/>
          <w:sz w:val="30"/>
          <w:szCs w:val="30"/>
        </w:rPr>
        <w:t>强制</w:t>
      </w:r>
      <w:r>
        <w:rPr>
          <w:rFonts w:ascii="仿宋_GB2312" w:eastAsia="仿宋_GB2312"/>
          <w:sz w:val="30"/>
          <w:szCs w:val="30"/>
        </w:rPr>
        <w:t>披露，但</w:t>
      </w:r>
      <w:r>
        <w:rPr>
          <w:rFonts w:hint="eastAsia" w:ascii="仿宋_GB2312" w:eastAsia="仿宋_GB2312"/>
          <w:sz w:val="30"/>
          <w:szCs w:val="30"/>
        </w:rPr>
        <w:t>构成持续信息披露的组成部分</w:t>
      </w:r>
      <w:r>
        <w:rPr>
          <w:rFonts w:ascii="仿宋_GB2312" w:eastAsia="仿宋_GB2312"/>
          <w:sz w:val="30"/>
          <w:szCs w:val="30"/>
        </w:rPr>
        <w:t>，同样需要遵循</w:t>
      </w:r>
      <w:r>
        <w:rPr>
          <w:rFonts w:hint="eastAsia" w:ascii="仿宋_GB2312" w:eastAsia="仿宋_GB2312"/>
          <w:sz w:val="30"/>
          <w:szCs w:val="30"/>
        </w:rPr>
        <w:t>上述</w:t>
      </w:r>
      <w:r>
        <w:rPr>
          <w:rFonts w:ascii="仿宋_GB2312" w:eastAsia="仿宋_GB2312"/>
          <w:sz w:val="30"/>
          <w:szCs w:val="30"/>
        </w:rPr>
        <w:t>原则，不得有虚假记载，不得有误导性称述，不得有重大遗漏。</w:t>
      </w:r>
      <w:r>
        <w:rPr>
          <w:rFonts w:hint="eastAsia" w:ascii="仿宋_GB2312" w:eastAsia="仿宋_GB2312"/>
          <w:sz w:val="30"/>
          <w:szCs w:val="30"/>
        </w:rPr>
        <w:t>科创公司进行自愿信息披露，应按照</w:t>
      </w:r>
      <w:r>
        <w:rPr>
          <w:rFonts w:ascii="仿宋_GB2312" w:eastAsia="仿宋_GB2312"/>
          <w:sz w:val="30"/>
          <w:szCs w:val="30"/>
        </w:rPr>
        <w:t>《科创板股票上市规则》</w:t>
      </w:r>
      <w:r>
        <w:rPr>
          <w:rFonts w:hint="eastAsia" w:ascii="仿宋_GB2312" w:eastAsia="仿宋_GB2312"/>
          <w:sz w:val="30"/>
          <w:szCs w:val="30"/>
        </w:rPr>
        <w:t>关于信息披露基本原则的具体要求，保证所披露信息</w:t>
      </w:r>
      <w:r>
        <w:rPr>
          <w:rFonts w:ascii="仿宋_GB2312" w:eastAsia="仿宋_GB2312"/>
          <w:sz w:val="30"/>
          <w:szCs w:val="30"/>
        </w:rPr>
        <w:t>真实、准确、完整</w:t>
      </w:r>
      <w:r>
        <w:rPr>
          <w:rFonts w:hint="eastAsia" w:ascii="仿宋_GB2312" w:eastAsia="仿宋_GB2312"/>
          <w:sz w:val="30"/>
          <w:szCs w:val="30"/>
        </w:rPr>
        <w:t>，尤其要注意充分披露相关事项可能存在的不确定性或者其他重大风险，不能“报喜不报忧”。</w:t>
      </w:r>
    </w:p>
    <w:p w14:paraId="0DA0321E">
      <w:pPr>
        <w:spacing w:line="560" w:lineRule="exact"/>
        <w:ind w:firstLine="602" w:firstLineChars="200"/>
        <w:outlineLvl w:val="2"/>
        <w:rPr>
          <w:rFonts w:ascii="仿宋_GB2312" w:eastAsia="仿宋_GB2312"/>
          <w:b/>
          <w:sz w:val="30"/>
          <w:szCs w:val="30"/>
        </w:rPr>
      </w:pPr>
      <w:r>
        <w:rPr>
          <w:rFonts w:hint="eastAsia" w:ascii="仿宋_GB2312" w:eastAsia="仿宋_GB2312"/>
          <w:b/>
          <w:sz w:val="30"/>
          <w:szCs w:val="30"/>
        </w:rPr>
        <w:t>（二）披露形式力求简明友好</w:t>
      </w:r>
    </w:p>
    <w:p w14:paraId="55AF5747">
      <w:pPr>
        <w:spacing w:line="560" w:lineRule="exact"/>
        <w:ind w:firstLine="600" w:firstLineChars="200"/>
        <w:rPr>
          <w:rFonts w:ascii="仿宋_GB2312" w:eastAsia="仿宋_GB2312"/>
          <w:sz w:val="30"/>
          <w:szCs w:val="30"/>
        </w:rPr>
      </w:pPr>
      <w:r>
        <w:rPr>
          <w:rFonts w:hint="eastAsia" w:ascii="仿宋_GB2312" w:eastAsia="仿宋_GB2312"/>
          <w:sz w:val="30"/>
          <w:szCs w:val="30"/>
        </w:rPr>
        <w:t>自愿</w:t>
      </w:r>
      <w:r>
        <w:rPr>
          <w:rFonts w:ascii="仿宋_GB2312" w:eastAsia="仿宋_GB2312"/>
          <w:sz w:val="30"/>
          <w:szCs w:val="30"/>
        </w:rPr>
        <w:t>信息披露的基本目标，是</w:t>
      </w:r>
      <w:r>
        <w:rPr>
          <w:rFonts w:hint="eastAsia" w:ascii="仿宋_GB2312" w:eastAsia="仿宋_GB2312"/>
          <w:sz w:val="30"/>
          <w:szCs w:val="30"/>
        </w:rPr>
        <w:t>为了帮助</w:t>
      </w:r>
      <w:r>
        <w:rPr>
          <w:rFonts w:ascii="仿宋_GB2312" w:eastAsia="仿宋_GB2312"/>
          <w:sz w:val="30"/>
          <w:szCs w:val="30"/>
        </w:rPr>
        <w:t>投资者更加充分地理解、判断公司价值。</w:t>
      </w:r>
      <w:r>
        <w:rPr>
          <w:rFonts w:hint="eastAsia" w:ascii="仿宋_GB2312" w:eastAsia="仿宋_GB2312"/>
          <w:sz w:val="30"/>
          <w:szCs w:val="30"/>
        </w:rPr>
        <w:t>《证券法》强调了信息披露应当简明清晰、通俗易懂。按照这一要求，自愿披露也要注意把握好可理解性</w:t>
      </w:r>
      <w:r>
        <w:rPr>
          <w:rFonts w:ascii="仿宋_GB2312" w:eastAsia="仿宋_GB2312"/>
          <w:sz w:val="30"/>
          <w:szCs w:val="30"/>
        </w:rPr>
        <w:t>，</w:t>
      </w:r>
      <w:r>
        <w:rPr>
          <w:rFonts w:hint="eastAsia" w:ascii="仿宋_GB2312" w:eastAsia="仿宋_GB2312"/>
          <w:sz w:val="30"/>
          <w:szCs w:val="30"/>
        </w:rPr>
        <w:t>语言表述力求平实，清晰易懂，力戒空洞化、模板化的披露</w:t>
      </w:r>
      <w:r>
        <w:rPr>
          <w:rFonts w:ascii="仿宋_GB2312" w:eastAsia="仿宋_GB2312"/>
          <w:sz w:val="30"/>
          <w:szCs w:val="30"/>
        </w:rPr>
        <w:t>。</w:t>
      </w:r>
      <w:r>
        <w:rPr>
          <w:rFonts w:hint="eastAsia" w:ascii="仿宋_GB2312" w:eastAsia="仿宋_GB2312"/>
          <w:sz w:val="30"/>
          <w:szCs w:val="30"/>
        </w:rPr>
        <w:t>对于</w:t>
      </w:r>
      <w:r>
        <w:rPr>
          <w:rFonts w:ascii="仿宋_GB2312" w:eastAsia="仿宋_GB2312"/>
          <w:sz w:val="30"/>
          <w:szCs w:val="30"/>
        </w:rPr>
        <w:t>科创公司</w:t>
      </w:r>
      <w:r>
        <w:rPr>
          <w:rFonts w:hint="eastAsia" w:ascii="仿宋_GB2312" w:eastAsia="仿宋_GB2312"/>
          <w:sz w:val="30"/>
          <w:szCs w:val="30"/>
        </w:rPr>
        <w:t>而言，由于多处于新兴行业，所披露的商业</w:t>
      </w:r>
      <w:r>
        <w:rPr>
          <w:rFonts w:ascii="仿宋_GB2312" w:eastAsia="仿宋_GB2312"/>
          <w:sz w:val="30"/>
          <w:szCs w:val="30"/>
        </w:rPr>
        <w:t>模式、产品、研发等信息，往往涉及创新科技或者专业术语，普通投资者不容易理解</w:t>
      </w:r>
      <w:r>
        <w:rPr>
          <w:rFonts w:hint="eastAsia" w:ascii="仿宋_GB2312" w:eastAsia="仿宋_GB2312"/>
          <w:sz w:val="30"/>
          <w:szCs w:val="30"/>
        </w:rPr>
        <w:t>，更加需要重视这一披露要求，</w:t>
      </w:r>
      <w:r>
        <w:rPr>
          <w:rFonts w:ascii="仿宋_GB2312" w:eastAsia="仿宋_GB2312"/>
          <w:sz w:val="30"/>
          <w:szCs w:val="30"/>
        </w:rPr>
        <w:t>避免使用大量的专业术语、过于晦涩的表达方式和外文及其缩写</w:t>
      </w:r>
      <w:r>
        <w:rPr>
          <w:rFonts w:hint="eastAsia" w:ascii="仿宋_GB2312" w:eastAsia="仿宋_GB2312"/>
          <w:sz w:val="30"/>
          <w:szCs w:val="30"/>
        </w:rPr>
        <w:t>。</w:t>
      </w:r>
      <w:r>
        <w:rPr>
          <w:rFonts w:ascii="仿宋_GB2312" w:eastAsia="仿宋_GB2312"/>
          <w:sz w:val="30"/>
          <w:szCs w:val="30"/>
        </w:rPr>
        <w:t>确需</w:t>
      </w:r>
      <w:r>
        <w:rPr>
          <w:rFonts w:hint="eastAsia" w:ascii="仿宋_GB2312" w:eastAsia="仿宋_GB2312"/>
          <w:sz w:val="30"/>
          <w:szCs w:val="30"/>
        </w:rPr>
        <w:t>使用</w:t>
      </w:r>
      <w:r>
        <w:rPr>
          <w:rFonts w:ascii="仿宋_GB2312" w:eastAsia="仿宋_GB2312"/>
          <w:sz w:val="30"/>
          <w:szCs w:val="30"/>
        </w:rPr>
        <w:t>专业术语</w:t>
      </w:r>
      <w:r>
        <w:rPr>
          <w:rFonts w:hint="eastAsia" w:ascii="仿宋_GB2312" w:eastAsia="仿宋_GB2312"/>
          <w:sz w:val="30"/>
          <w:szCs w:val="30"/>
        </w:rPr>
        <w:t>的，</w:t>
      </w:r>
      <w:r>
        <w:rPr>
          <w:rFonts w:ascii="仿宋_GB2312" w:eastAsia="仿宋_GB2312"/>
          <w:sz w:val="30"/>
          <w:szCs w:val="30"/>
        </w:rPr>
        <w:t>应当配以必要的解释，</w:t>
      </w:r>
      <w:r>
        <w:rPr>
          <w:rFonts w:hint="eastAsia" w:ascii="仿宋_GB2312" w:eastAsia="仿宋_GB2312"/>
          <w:sz w:val="30"/>
          <w:szCs w:val="30"/>
        </w:rPr>
        <w:t>对其中的</w:t>
      </w:r>
      <w:r>
        <w:rPr>
          <w:rFonts w:ascii="仿宋_GB2312" w:eastAsia="仿宋_GB2312"/>
          <w:sz w:val="30"/>
          <w:szCs w:val="30"/>
        </w:rPr>
        <w:t>重点</w:t>
      </w:r>
      <w:r>
        <w:rPr>
          <w:rFonts w:hint="eastAsia" w:ascii="仿宋_GB2312" w:eastAsia="仿宋_GB2312"/>
          <w:sz w:val="30"/>
          <w:szCs w:val="30"/>
        </w:rPr>
        <w:t>、关键</w:t>
      </w:r>
      <w:r>
        <w:rPr>
          <w:rFonts w:ascii="仿宋_GB2312" w:eastAsia="仿宋_GB2312"/>
          <w:sz w:val="30"/>
          <w:szCs w:val="30"/>
        </w:rPr>
        <w:t>信息可以着重</w:t>
      </w:r>
      <w:r>
        <w:rPr>
          <w:rFonts w:hint="eastAsia" w:ascii="仿宋_GB2312" w:eastAsia="仿宋_GB2312"/>
          <w:sz w:val="30"/>
          <w:szCs w:val="30"/>
        </w:rPr>
        <w:t>列明和显示，以便于投资者掌握；对披露事项</w:t>
      </w:r>
      <w:r>
        <w:rPr>
          <w:rFonts w:ascii="仿宋_GB2312" w:eastAsia="仿宋_GB2312"/>
          <w:sz w:val="30"/>
          <w:szCs w:val="30"/>
        </w:rPr>
        <w:t>尽可能</w:t>
      </w:r>
      <w:r>
        <w:rPr>
          <w:rFonts w:hint="eastAsia" w:ascii="仿宋_GB2312" w:eastAsia="仿宋_GB2312"/>
          <w:sz w:val="30"/>
          <w:szCs w:val="30"/>
        </w:rPr>
        <w:t>采用</w:t>
      </w:r>
      <w:r>
        <w:rPr>
          <w:rFonts w:ascii="仿宋_GB2312" w:eastAsia="仿宋_GB2312"/>
          <w:sz w:val="30"/>
          <w:szCs w:val="30"/>
        </w:rPr>
        <w:t>定量分析或作出有针对性</w:t>
      </w:r>
      <w:r>
        <w:rPr>
          <w:rFonts w:hint="eastAsia" w:ascii="仿宋_GB2312" w:eastAsia="仿宋_GB2312"/>
          <w:sz w:val="30"/>
          <w:szCs w:val="30"/>
        </w:rPr>
        <w:t>的</w:t>
      </w:r>
      <w:r>
        <w:rPr>
          <w:rFonts w:ascii="仿宋_GB2312" w:eastAsia="仿宋_GB2312"/>
          <w:sz w:val="30"/>
          <w:szCs w:val="30"/>
        </w:rPr>
        <w:t>定性描述，必要时</w:t>
      </w:r>
      <w:r>
        <w:rPr>
          <w:rFonts w:hint="eastAsia" w:ascii="仿宋_GB2312" w:eastAsia="仿宋_GB2312"/>
          <w:sz w:val="30"/>
          <w:szCs w:val="30"/>
        </w:rPr>
        <w:t>可以</w:t>
      </w:r>
      <w:r>
        <w:rPr>
          <w:rFonts w:ascii="仿宋_GB2312" w:eastAsia="仿宋_GB2312"/>
          <w:sz w:val="30"/>
          <w:szCs w:val="30"/>
        </w:rPr>
        <w:t>采用图表辅助表达。</w:t>
      </w:r>
    </w:p>
    <w:p w14:paraId="42B42957">
      <w:pPr>
        <w:spacing w:line="560" w:lineRule="exact"/>
        <w:ind w:firstLine="600" w:firstLineChars="200"/>
        <w:rPr>
          <w:rFonts w:ascii="仿宋_GB2312" w:eastAsia="仿宋_GB2312"/>
          <w:sz w:val="30"/>
          <w:szCs w:val="30"/>
        </w:rPr>
      </w:pPr>
      <w:r>
        <w:rPr>
          <w:rFonts w:ascii="仿宋_GB2312" w:eastAsia="仿宋_GB2312"/>
          <w:sz w:val="30"/>
          <w:szCs w:val="30"/>
        </w:rPr>
        <w:t>例如，公司披露研发成功某项新技术时，</w:t>
      </w:r>
      <w:r>
        <w:rPr>
          <w:rFonts w:hint="eastAsia" w:ascii="仿宋_GB2312" w:eastAsia="仿宋_GB2312"/>
          <w:sz w:val="30"/>
          <w:szCs w:val="30"/>
        </w:rPr>
        <w:t>应</w:t>
      </w:r>
      <w:r>
        <w:rPr>
          <w:rFonts w:ascii="仿宋_GB2312" w:eastAsia="仿宋_GB2312"/>
          <w:sz w:val="30"/>
          <w:szCs w:val="30"/>
        </w:rPr>
        <w:t>尽可能描述新技术的基本功能、应用场景、主要改进和使用条件，</w:t>
      </w:r>
      <w:r>
        <w:rPr>
          <w:rFonts w:hint="eastAsia" w:ascii="仿宋_GB2312" w:eastAsia="仿宋_GB2312"/>
          <w:sz w:val="30"/>
          <w:szCs w:val="30"/>
        </w:rPr>
        <w:t>便于</w:t>
      </w:r>
      <w:r>
        <w:rPr>
          <w:rFonts w:ascii="仿宋_GB2312" w:eastAsia="仿宋_GB2312"/>
          <w:sz w:val="30"/>
          <w:szCs w:val="30"/>
        </w:rPr>
        <w:t>投资者</w:t>
      </w:r>
      <w:r>
        <w:rPr>
          <w:rFonts w:hint="eastAsia" w:ascii="仿宋_GB2312" w:eastAsia="仿宋_GB2312"/>
          <w:sz w:val="30"/>
          <w:szCs w:val="30"/>
        </w:rPr>
        <w:t>获得更加</w:t>
      </w:r>
      <w:r>
        <w:rPr>
          <w:rFonts w:ascii="仿宋_GB2312" w:eastAsia="仿宋_GB2312"/>
          <w:sz w:val="30"/>
          <w:szCs w:val="30"/>
        </w:rPr>
        <w:t>具体、直观、可感知的</w:t>
      </w:r>
      <w:r>
        <w:rPr>
          <w:rFonts w:hint="eastAsia" w:ascii="仿宋_GB2312" w:eastAsia="仿宋_GB2312"/>
          <w:sz w:val="30"/>
          <w:szCs w:val="30"/>
        </w:rPr>
        <w:t>理解</w:t>
      </w:r>
      <w:r>
        <w:rPr>
          <w:rFonts w:ascii="仿宋_GB2312" w:eastAsia="仿宋_GB2312"/>
          <w:sz w:val="30"/>
          <w:szCs w:val="30"/>
        </w:rPr>
        <w:t>；公司披露拟研发某项新药的适应症时，</w:t>
      </w:r>
      <w:r>
        <w:rPr>
          <w:rFonts w:hint="eastAsia" w:ascii="仿宋_GB2312" w:eastAsia="仿宋_GB2312"/>
          <w:sz w:val="30"/>
          <w:szCs w:val="30"/>
        </w:rPr>
        <w:t>要</w:t>
      </w:r>
      <w:r>
        <w:rPr>
          <w:rFonts w:ascii="仿宋_GB2312" w:eastAsia="仿宋_GB2312"/>
          <w:sz w:val="30"/>
          <w:szCs w:val="30"/>
        </w:rPr>
        <w:t>尽可能使用投资者可以理解的通俗化的疾病名称；公司披露新</w:t>
      </w:r>
      <w:r>
        <w:rPr>
          <w:rFonts w:hint="eastAsia" w:ascii="仿宋_GB2312" w:eastAsia="仿宋_GB2312"/>
          <w:sz w:val="30"/>
          <w:szCs w:val="30"/>
        </w:rPr>
        <w:t>产品</w:t>
      </w:r>
      <w:r>
        <w:rPr>
          <w:rFonts w:ascii="仿宋_GB2312" w:eastAsia="仿宋_GB2312"/>
          <w:sz w:val="30"/>
          <w:szCs w:val="30"/>
        </w:rPr>
        <w:t>对经营的影响时，建议披露新</w:t>
      </w:r>
      <w:r>
        <w:rPr>
          <w:rFonts w:hint="eastAsia" w:ascii="仿宋_GB2312" w:eastAsia="仿宋_GB2312"/>
          <w:sz w:val="30"/>
          <w:szCs w:val="30"/>
        </w:rPr>
        <w:t>产品</w:t>
      </w:r>
      <w:r>
        <w:rPr>
          <w:rFonts w:ascii="仿宋_GB2312" w:eastAsia="仿宋_GB2312"/>
          <w:sz w:val="30"/>
          <w:szCs w:val="30"/>
        </w:rPr>
        <w:t>产生的收入及占当期营业收入的比例，定量分析对公司的影响。</w:t>
      </w:r>
    </w:p>
    <w:p w14:paraId="14A2D3B0">
      <w:pPr>
        <w:spacing w:line="560" w:lineRule="exact"/>
        <w:ind w:firstLine="602" w:firstLineChars="200"/>
        <w:outlineLvl w:val="2"/>
        <w:rPr>
          <w:rFonts w:ascii="仿宋_GB2312" w:eastAsia="仿宋_GB2312"/>
          <w:b/>
          <w:sz w:val="30"/>
          <w:szCs w:val="30"/>
        </w:rPr>
      </w:pPr>
      <w:r>
        <w:rPr>
          <w:rFonts w:hint="eastAsia" w:ascii="仿宋_GB2312" w:eastAsia="仿宋_GB2312"/>
          <w:b/>
          <w:sz w:val="30"/>
          <w:szCs w:val="30"/>
        </w:rPr>
        <w:t>（三）保持必要的一致性与持续性</w:t>
      </w:r>
    </w:p>
    <w:p w14:paraId="459FBBB0">
      <w:pPr>
        <w:spacing w:line="560" w:lineRule="exact"/>
        <w:ind w:firstLine="600" w:firstLineChars="200"/>
        <w:rPr>
          <w:rFonts w:ascii="仿宋_GB2312" w:eastAsia="仿宋_GB2312"/>
          <w:sz w:val="30"/>
          <w:szCs w:val="30"/>
        </w:rPr>
      </w:pPr>
      <w:r>
        <w:rPr>
          <w:rFonts w:ascii="仿宋_GB2312" w:eastAsia="仿宋_GB2312"/>
          <w:sz w:val="30"/>
          <w:szCs w:val="30"/>
        </w:rPr>
        <w:t>为明确投资者预期，自愿信息披露有必要保持一致的</w:t>
      </w:r>
      <w:r>
        <w:rPr>
          <w:rFonts w:hint="eastAsia" w:ascii="仿宋_GB2312" w:eastAsia="仿宋_GB2312"/>
          <w:sz w:val="30"/>
          <w:szCs w:val="30"/>
        </w:rPr>
        <w:t>披露</w:t>
      </w:r>
      <w:r>
        <w:rPr>
          <w:rFonts w:ascii="仿宋_GB2312" w:eastAsia="仿宋_GB2312"/>
          <w:sz w:val="30"/>
          <w:szCs w:val="30"/>
        </w:rPr>
        <w:t>逻辑和标准，</w:t>
      </w:r>
      <w:r>
        <w:rPr>
          <w:rFonts w:hint="eastAsia" w:ascii="仿宋_GB2312" w:eastAsia="仿宋_GB2312"/>
          <w:sz w:val="30"/>
          <w:szCs w:val="30"/>
        </w:rPr>
        <w:t>不应进行选择性信息披露。一方面，</w:t>
      </w:r>
      <w:r>
        <w:rPr>
          <w:rFonts w:ascii="仿宋_GB2312" w:eastAsia="仿宋_GB2312"/>
          <w:sz w:val="30"/>
          <w:szCs w:val="30"/>
        </w:rPr>
        <w:t>自愿披露的</w:t>
      </w:r>
      <w:r>
        <w:rPr>
          <w:rFonts w:hint="eastAsia" w:ascii="仿宋_GB2312" w:eastAsia="仿宋_GB2312"/>
          <w:sz w:val="30"/>
          <w:szCs w:val="30"/>
        </w:rPr>
        <w:t>事项类型和披露标准</w:t>
      </w:r>
      <w:r>
        <w:rPr>
          <w:rFonts w:ascii="仿宋_GB2312" w:eastAsia="仿宋_GB2312"/>
          <w:sz w:val="30"/>
          <w:szCs w:val="30"/>
        </w:rPr>
        <w:t>要</w:t>
      </w:r>
      <w:r>
        <w:rPr>
          <w:rFonts w:hint="eastAsia" w:ascii="仿宋_GB2312" w:eastAsia="仿宋_GB2312"/>
          <w:sz w:val="30"/>
          <w:szCs w:val="30"/>
        </w:rPr>
        <w:t>有一致</w:t>
      </w:r>
      <w:r>
        <w:rPr>
          <w:rFonts w:ascii="仿宋_GB2312" w:eastAsia="仿宋_GB2312"/>
          <w:sz w:val="30"/>
          <w:szCs w:val="30"/>
        </w:rPr>
        <w:t>性，</w:t>
      </w:r>
      <w:r>
        <w:rPr>
          <w:rFonts w:hint="eastAsia" w:ascii="仿宋_GB2312" w:eastAsia="仿宋_GB2312"/>
          <w:sz w:val="30"/>
          <w:szCs w:val="30"/>
        </w:rPr>
        <w:t>不应</w:t>
      </w:r>
      <w:r>
        <w:rPr>
          <w:rFonts w:ascii="仿宋_GB2312" w:eastAsia="仿宋_GB2312"/>
          <w:sz w:val="30"/>
          <w:szCs w:val="30"/>
        </w:rPr>
        <w:t>基于个别主体的利益</w:t>
      </w:r>
      <w:r>
        <w:rPr>
          <w:rFonts w:hint="eastAsia" w:ascii="仿宋_GB2312" w:eastAsia="仿宋_GB2312"/>
          <w:sz w:val="30"/>
          <w:szCs w:val="30"/>
        </w:rPr>
        <w:t>，对同类事项</w:t>
      </w:r>
      <w:r>
        <w:rPr>
          <w:rFonts w:ascii="仿宋_GB2312" w:eastAsia="仿宋_GB2312"/>
          <w:sz w:val="30"/>
          <w:szCs w:val="30"/>
        </w:rPr>
        <w:t>进行选择性披露</w:t>
      </w:r>
      <w:r>
        <w:rPr>
          <w:rFonts w:hint="eastAsia" w:ascii="仿宋_GB2312" w:eastAsia="仿宋_GB2312"/>
          <w:sz w:val="30"/>
          <w:szCs w:val="30"/>
        </w:rPr>
        <w:t>；另一方面</w:t>
      </w:r>
      <w:r>
        <w:rPr>
          <w:rFonts w:ascii="仿宋_GB2312" w:eastAsia="仿宋_GB2312"/>
          <w:sz w:val="30"/>
          <w:szCs w:val="30"/>
        </w:rPr>
        <w:t>，</w:t>
      </w:r>
      <w:r>
        <w:rPr>
          <w:rFonts w:hint="eastAsia" w:ascii="仿宋_GB2312" w:eastAsia="仿宋_GB2312"/>
          <w:sz w:val="30"/>
          <w:szCs w:val="30"/>
        </w:rPr>
        <w:t>自愿披露的内容要有持续性，</w:t>
      </w:r>
      <w:r>
        <w:rPr>
          <w:rFonts w:ascii="仿宋_GB2312" w:eastAsia="仿宋_GB2312"/>
          <w:sz w:val="30"/>
          <w:szCs w:val="30"/>
        </w:rPr>
        <w:t>同一事件的重要进展应当持续披露</w:t>
      </w:r>
      <w:r>
        <w:rPr>
          <w:rFonts w:hint="eastAsia" w:ascii="仿宋_GB2312" w:eastAsia="仿宋_GB2312"/>
          <w:sz w:val="30"/>
          <w:szCs w:val="30"/>
        </w:rPr>
        <w:t>，既要披露正面、有利的进展</w:t>
      </w:r>
      <w:r>
        <w:rPr>
          <w:rFonts w:ascii="仿宋_GB2312" w:eastAsia="仿宋_GB2312"/>
          <w:sz w:val="30"/>
          <w:szCs w:val="30"/>
        </w:rPr>
        <w:t>，</w:t>
      </w:r>
      <w:r>
        <w:rPr>
          <w:rFonts w:hint="eastAsia" w:ascii="仿宋_GB2312" w:eastAsia="仿宋_GB2312"/>
          <w:sz w:val="30"/>
          <w:szCs w:val="30"/>
        </w:rPr>
        <w:t>也要披露负面、不利的进展</w:t>
      </w:r>
      <w:r>
        <w:rPr>
          <w:rFonts w:ascii="仿宋_GB2312" w:eastAsia="仿宋_GB2312"/>
          <w:sz w:val="30"/>
          <w:szCs w:val="30"/>
        </w:rPr>
        <w:t>。</w:t>
      </w:r>
    </w:p>
    <w:p w14:paraId="1BF023FC">
      <w:pPr>
        <w:spacing w:line="560" w:lineRule="exact"/>
        <w:ind w:firstLine="600" w:firstLineChars="200"/>
        <w:rPr>
          <w:rFonts w:ascii="仿宋_GB2312" w:eastAsia="仿宋_GB2312"/>
          <w:sz w:val="30"/>
          <w:szCs w:val="30"/>
        </w:rPr>
      </w:pPr>
      <w:r>
        <w:rPr>
          <w:rFonts w:ascii="仿宋_GB2312" w:eastAsia="仿宋_GB2312"/>
          <w:sz w:val="30"/>
          <w:szCs w:val="30"/>
        </w:rPr>
        <w:t>例如，公司自愿披露月度经营数据，那么后续无论经营数据同比是增加还是减少，公司一般都应当披露；公司自愿披露技术研发公告后，如果研发失败，或者研发进度严重未达预期，公司应当立即披露；公司</w:t>
      </w:r>
      <w:r>
        <w:rPr>
          <w:rFonts w:hint="eastAsia" w:ascii="仿宋_GB2312" w:eastAsia="仿宋_GB2312"/>
          <w:sz w:val="30"/>
          <w:szCs w:val="30"/>
        </w:rPr>
        <w:t>自愿</w:t>
      </w:r>
      <w:r>
        <w:rPr>
          <w:rFonts w:ascii="仿宋_GB2312" w:eastAsia="仿宋_GB2312"/>
          <w:sz w:val="30"/>
          <w:szCs w:val="30"/>
        </w:rPr>
        <w:t>披露关键指标时，应当保持前后前提假设、计算口径的一致性。</w:t>
      </w:r>
    </w:p>
    <w:p w14:paraId="66A1343D">
      <w:pPr>
        <w:spacing w:line="560" w:lineRule="exact"/>
        <w:ind w:firstLine="600" w:firstLineChars="200"/>
        <w:rPr>
          <w:rFonts w:ascii="仿宋_GB2312" w:eastAsia="仿宋_GB2312"/>
          <w:sz w:val="30"/>
          <w:szCs w:val="30"/>
        </w:rPr>
      </w:pPr>
      <w:r>
        <w:rPr>
          <w:rFonts w:ascii="仿宋_GB2312" w:eastAsia="仿宋_GB2312"/>
          <w:sz w:val="30"/>
          <w:szCs w:val="30"/>
        </w:rPr>
        <w:t>需要说明的是，公司基于保护投资者利益、信息获取</w:t>
      </w:r>
      <w:r>
        <w:rPr>
          <w:rFonts w:hint="eastAsia" w:ascii="仿宋_GB2312" w:eastAsia="仿宋_GB2312"/>
          <w:sz w:val="30"/>
          <w:szCs w:val="30"/>
        </w:rPr>
        <w:t>充分</w:t>
      </w:r>
      <w:r>
        <w:rPr>
          <w:rFonts w:ascii="仿宋_GB2312" w:eastAsia="仿宋_GB2312"/>
          <w:sz w:val="30"/>
          <w:szCs w:val="30"/>
        </w:rPr>
        <w:t>性、行业监管要求等</w:t>
      </w:r>
      <w:r>
        <w:rPr>
          <w:rFonts w:hint="eastAsia" w:ascii="仿宋_GB2312" w:eastAsia="仿宋_GB2312"/>
          <w:sz w:val="30"/>
          <w:szCs w:val="30"/>
        </w:rPr>
        <w:t>考虑，在特定情形下进行偶发性的自愿披露</w:t>
      </w:r>
      <w:r>
        <w:rPr>
          <w:rFonts w:ascii="仿宋_GB2312" w:eastAsia="仿宋_GB2312"/>
          <w:sz w:val="30"/>
          <w:szCs w:val="30"/>
        </w:rPr>
        <w:t>，</w:t>
      </w:r>
      <w:r>
        <w:rPr>
          <w:rFonts w:hint="eastAsia" w:ascii="仿宋_GB2312" w:eastAsia="仿宋_GB2312"/>
          <w:sz w:val="30"/>
          <w:szCs w:val="30"/>
        </w:rPr>
        <w:t>后续如未再出现相应特定情形的，可不对同类事项进行自愿披露</w:t>
      </w:r>
      <w:r>
        <w:rPr>
          <w:rFonts w:ascii="仿宋_GB2312" w:eastAsia="仿宋_GB2312"/>
          <w:sz w:val="30"/>
          <w:szCs w:val="30"/>
        </w:rPr>
        <w:t>。例如，当公司股东所持股份解禁时，公司半年报业绩出现了下滑，公司出于明确投资者预期的考虑</w:t>
      </w:r>
      <w:r>
        <w:rPr>
          <w:rFonts w:hint="eastAsia" w:ascii="仿宋_GB2312" w:eastAsia="仿宋_GB2312"/>
          <w:sz w:val="30"/>
          <w:szCs w:val="30"/>
        </w:rPr>
        <w:t>，</w:t>
      </w:r>
      <w:r>
        <w:rPr>
          <w:rFonts w:ascii="仿宋_GB2312" w:eastAsia="仿宋_GB2312"/>
          <w:sz w:val="30"/>
          <w:szCs w:val="30"/>
        </w:rPr>
        <w:t>自愿披露</w:t>
      </w:r>
      <w:r>
        <w:rPr>
          <w:rFonts w:hint="eastAsia" w:ascii="仿宋_GB2312" w:eastAsia="仿宋_GB2312"/>
          <w:sz w:val="30"/>
          <w:szCs w:val="30"/>
        </w:rPr>
        <w:t>了</w:t>
      </w:r>
      <w:r>
        <w:rPr>
          <w:rFonts w:ascii="仿宋_GB2312" w:eastAsia="仿宋_GB2312"/>
          <w:sz w:val="30"/>
          <w:szCs w:val="30"/>
        </w:rPr>
        <w:t>业绩预告，并不必然意味着公司触发了今后</w:t>
      </w:r>
      <w:r>
        <w:rPr>
          <w:rFonts w:hint="eastAsia" w:ascii="仿宋_GB2312" w:eastAsia="仿宋_GB2312"/>
          <w:sz w:val="30"/>
          <w:szCs w:val="30"/>
        </w:rPr>
        <w:t>持续</w:t>
      </w:r>
      <w:r>
        <w:rPr>
          <w:rFonts w:ascii="仿宋_GB2312" w:eastAsia="仿宋_GB2312"/>
          <w:sz w:val="30"/>
          <w:szCs w:val="30"/>
        </w:rPr>
        <w:t>的半年报业绩预告义务。</w:t>
      </w:r>
    </w:p>
    <w:p w14:paraId="515E031E">
      <w:pPr>
        <w:spacing w:line="560" w:lineRule="exact"/>
        <w:ind w:firstLine="600" w:firstLineChars="200"/>
        <w:rPr>
          <w:rFonts w:ascii="仿宋_GB2312" w:eastAsia="仿宋_GB2312"/>
          <w:sz w:val="30"/>
          <w:szCs w:val="30"/>
        </w:rPr>
      </w:pPr>
    </w:p>
    <w:p w14:paraId="1EAA7283">
      <w:pPr>
        <w:adjustRightInd w:val="0"/>
        <w:snapToGrid w:val="0"/>
        <w:spacing w:line="560" w:lineRule="exact"/>
        <w:ind w:firstLine="601" w:firstLineChars="200"/>
        <w:jc w:val="left"/>
        <w:outlineLvl w:val="0"/>
        <w:rPr>
          <w:rFonts w:hint="eastAsia" w:ascii="华文中宋" w:hAnsi="华文中宋" w:eastAsia="华文中宋"/>
          <w:b/>
          <w:sz w:val="30"/>
          <w:szCs w:val="30"/>
        </w:rPr>
      </w:pPr>
      <w:r>
        <w:rPr>
          <w:rFonts w:hint="eastAsia" w:ascii="华文中宋" w:hAnsi="华文中宋" w:eastAsia="华文中宋"/>
          <w:b/>
          <w:sz w:val="30"/>
          <w:szCs w:val="30"/>
        </w:rPr>
        <w:t>三、建立自愿信息披露的决策机制与流程</w:t>
      </w:r>
    </w:p>
    <w:p w14:paraId="0BF7D28D">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建议科创公司建立自愿信息披露管理制度，统筹管理自愿披露信息的确定、公告编写、内容审核与发布决策。公司董事、高级管理人员应</w:t>
      </w:r>
      <w:r>
        <w:rPr>
          <w:rFonts w:ascii="仿宋_GB2312" w:eastAsia="仿宋_GB2312"/>
          <w:sz w:val="30"/>
          <w:szCs w:val="30"/>
        </w:rPr>
        <w:t>采取必要的措施促使</w:t>
      </w:r>
      <w:r>
        <w:rPr>
          <w:rFonts w:hint="eastAsia" w:ascii="仿宋_GB2312" w:eastAsia="仿宋_GB2312"/>
          <w:sz w:val="30"/>
          <w:szCs w:val="30"/>
        </w:rPr>
        <w:t>自愿信息披露的管理制度得到有效执行，以确保公司开展自愿信息披露符合法律规则的要求。在制定相关管理制度时，公司可以参考下列要点。</w:t>
      </w:r>
    </w:p>
    <w:p w14:paraId="3D551F39">
      <w:pPr>
        <w:spacing w:line="560" w:lineRule="exact"/>
        <w:ind w:firstLine="602" w:firstLineChars="200"/>
        <w:jc w:val="left"/>
        <w:outlineLvl w:val="1"/>
        <w:rPr>
          <w:rFonts w:ascii="仿宋_GB2312" w:eastAsia="仿宋_GB2312"/>
          <w:b/>
          <w:bCs/>
          <w:sz w:val="30"/>
          <w:szCs w:val="30"/>
        </w:rPr>
      </w:pPr>
      <w:r>
        <w:rPr>
          <w:rFonts w:hint="eastAsia" w:ascii="仿宋_GB2312" w:eastAsia="仿宋_GB2312"/>
          <w:b/>
          <w:bCs/>
          <w:sz w:val="30"/>
          <w:szCs w:val="30"/>
        </w:rPr>
        <w:t>1</w:t>
      </w:r>
      <w:r>
        <w:rPr>
          <w:rFonts w:ascii="仿宋_GB2312" w:eastAsia="仿宋_GB2312"/>
          <w:b/>
          <w:bCs/>
          <w:sz w:val="30"/>
          <w:szCs w:val="30"/>
        </w:rPr>
        <w:t>.</w:t>
      </w:r>
      <w:r>
        <w:rPr>
          <w:rFonts w:hint="eastAsia" w:ascii="仿宋_GB2312" w:eastAsia="仿宋_GB2312"/>
          <w:b/>
          <w:bCs/>
          <w:sz w:val="30"/>
          <w:szCs w:val="30"/>
        </w:rPr>
        <w:t>公司董事长、董事会秘书、管理层、股东等主要人员应当就自愿信息披露各负其责</w:t>
      </w:r>
    </w:p>
    <w:p w14:paraId="059BA9CC">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董事长作为信息披露第一责任人，应当对公司的自愿信息披露承担主要责任，确保公司自愿信息披露符合相关法律规则的要求。</w:t>
      </w:r>
    </w:p>
    <w:p w14:paraId="3FCDB3A7">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董事会秘书作为公司信息披露事务的具体负责人，应当具体负责公司自愿信息披露的组织和把关，保障公司制定的自愿信息披露管理制度得到有效执行。</w:t>
      </w:r>
    </w:p>
    <w:p w14:paraId="5171DE84">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总经理作为公司经营管理主要人员，原则上对涉及经营</w:t>
      </w:r>
      <w:r>
        <w:rPr>
          <w:rFonts w:ascii="仿宋_GB2312" w:eastAsia="仿宋_GB2312"/>
          <w:sz w:val="30"/>
          <w:szCs w:val="30"/>
        </w:rPr>
        <w:t>决策事项</w:t>
      </w:r>
      <w:r>
        <w:rPr>
          <w:rFonts w:hint="eastAsia" w:ascii="仿宋_GB2312" w:eastAsia="仿宋_GB2312"/>
          <w:sz w:val="30"/>
          <w:szCs w:val="30"/>
        </w:rPr>
        <w:t>自愿披露公告的真实、准确、完整承担责任。</w:t>
      </w:r>
    </w:p>
    <w:p w14:paraId="1872476C">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财务总监作为公司财务负责人，应当对自愿信息披露公告的财务信息进行把关，确保自愿信息披露公告中相关财务信息符合法律规则的要求。</w:t>
      </w:r>
    </w:p>
    <w:p w14:paraId="732AA910">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公司其他董事和高级管理人员，应在其职责范围内对公司自愿披露的信息尽到应有的注意义务。</w:t>
      </w:r>
    </w:p>
    <w:p w14:paraId="46A4B8CF">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科创公司的实际控制人、股东不得滥用其支配地位、股东权利，要求科创公司不当利用自愿信息披露配合实施违法违规行为。</w:t>
      </w:r>
    </w:p>
    <w:p w14:paraId="3852A98D">
      <w:pPr>
        <w:spacing w:line="560" w:lineRule="exact"/>
        <w:ind w:firstLine="602" w:firstLineChars="200"/>
        <w:jc w:val="left"/>
        <w:outlineLvl w:val="1"/>
        <w:rPr>
          <w:rFonts w:ascii="仿宋_GB2312" w:eastAsia="仿宋_GB2312"/>
          <w:b/>
          <w:bCs/>
          <w:sz w:val="30"/>
          <w:szCs w:val="30"/>
        </w:rPr>
      </w:pPr>
      <w:r>
        <w:rPr>
          <w:rFonts w:hint="eastAsia" w:ascii="仿宋_GB2312" w:eastAsia="仿宋_GB2312"/>
          <w:b/>
          <w:bCs/>
          <w:sz w:val="30"/>
          <w:szCs w:val="30"/>
        </w:rPr>
        <w:t>2</w:t>
      </w:r>
      <w:r>
        <w:rPr>
          <w:rFonts w:ascii="仿宋_GB2312" w:eastAsia="仿宋_GB2312"/>
          <w:b/>
          <w:bCs/>
          <w:sz w:val="30"/>
          <w:szCs w:val="30"/>
        </w:rPr>
        <w:t>.</w:t>
      </w:r>
      <w:r>
        <w:rPr>
          <w:rFonts w:hint="eastAsia" w:ascii="仿宋_GB2312" w:eastAsia="仿宋_GB2312"/>
          <w:b/>
          <w:bCs/>
          <w:sz w:val="30"/>
          <w:szCs w:val="30"/>
        </w:rPr>
        <w:t>明确自愿信息披露的一般标准</w:t>
      </w:r>
    </w:p>
    <w:p w14:paraId="563F6395">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科创公司的商业模式、治理结构、核心技术、产品特征差异较大，自愿披露信息的内容和类型也不尽相同。公司应当结合自身特点和实际情况，在自愿信息披露管理制度中明确自愿信息披露的事项范围及标准，以保证公司自愿信息披露遵循一定的原则和标准，在产生或者涉及相关信息时，能够快速判断是否需要进行自愿披露。</w:t>
      </w:r>
    </w:p>
    <w:p w14:paraId="58DC3168">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例如，生物医药企业，可以将药品研发的重要进展，列入自愿披露信息的范围；实施股权激励的企业，可以明确在年报中披露非会计准则核算的财务信息等。</w:t>
      </w:r>
    </w:p>
    <w:p w14:paraId="12603A4D">
      <w:pPr>
        <w:spacing w:line="560" w:lineRule="exact"/>
        <w:ind w:firstLine="602" w:firstLineChars="200"/>
        <w:jc w:val="left"/>
        <w:outlineLvl w:val="1"/>
        <w:rPr>
          <w:rFonts w:ascii="仿宋_GB2312" w:eastAsia="仿宋_GB2312"/>
          <w:b/>
          <w:bCs/>
          <w:sz w:val="30"/>
          <w:szCs w:val="30"/>
        </w:rPr>
      </w:pPr>
      <w:r>
        <w:rPr>
          <w:rFonts w:hint="eastAsia" w:ascii="仿宋_GB2312" w:eastAsia="仿宋_GB2312"/>
          <w:b/>
          <w:bCs/>
          <w:sz w:val="30"/>
          <w:szCs w:val="30"/>
        </w:rPr>
        <w:t>3</w:t>
      </w:r>
      <w:r>
        <w:rPr>
          <w:rFonts w:ascii="仿宋_GB2312" w:eastAsia="仿宋_GB2312"/>
          <w:b/>
          <w:bCs/>
          <w:sz w:val="30"/>
          <w:szCs w:val="30"/>
        </w:rPr>
        <w:t>.</w:t>
      </w:r>
      <w:r>
        <w:rPr>
          <w:rFonts w:hint="eastAsia" w:ascii="仿宋_GB2312" w:eastAsia="仿宋_GB2312"/>
          <w:b/>
          <w:bCs/>
          <w:sz w:val="30"/>
          <w:szCs w:val="30"/>
        </w:rPr>
        <w:t>设置必要的保密要求</w:t>
      </w:r>
    </w:p>
    <w:p w14:paraId="10A95572">
      <w:pPr>
        <w:tabs>
          <w:tab w:val="left" w:pos="993"/>
        </w:tabs>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为确保投资者公平获取信息，科创公司应当设置自愿披露信息的保密性要求。自愿披露的信息构成内幕信息的，应当按照法律规则的要求进行内幕信息管理。</w:t>
      </w:r>
    </w:p>
    <w:p w14:paraId="4B3FB61A">
      <w:pPr>
        <w:tabs>
          <w:tab w:val="left" w:pos="993"/>
        </w:tabs>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例如，公司可以对信息的接触人员设置权限，对相关资料的查阅设置审批程序，建立知情人名单，要求相关人员签署保密承诺或者协议等。</w:t>
      </w:r>
    </w:p>
    <w:p w14:paraId="6639EC6B">
      <w:pPr>
        <w:spacing w:line="560" w:lineRule="exact"/>
        <w:ind w:firstLine="602" w:firstLineChars="200"/>
        <w:jc w:val="left"/>
        <w:outlineLvl w:val="1"/>
        <w:rPr>
          <w:rFonts w:ascii="仿宋_GB2312" w:eastAsia="仿宋_GB2312"/>
          <w:b/>
          <w:bCs/>
          <w:sz w:val="30"/>
          <w:szCs w:val="30"/>
        </w:rPr>
      </w:pPr>
      <w:r>
        <w:rPr>
          <w:rFonts w:hint="eastAsia" w:ascii="仿宋_GB2312" w:eastAsia="仿宋_GB2312"/>
          <w:b/>
          <w:bCs/>
          <w:sz w:val="30"/>
          <w:szCs w:val="30"/>
        </w:rPr>
        <w:t>4</w:t>
      </w:r>
      <w:r>
        <w:rPr>
          <w:rFonts w:ascii="仿宋_GB2312" w:eastAsia="仿宋_GB2312"/>
          <w:b/>
          <w:bCs/>
          <w:sz w:val="30"/>
          <w:szCs w:val="30"/>
        </w:rPr>
        <w:t>.</w:t>
      </w:r>
      <w:r>
        <w:rPr>
          <w:rFonts w:hint="eastAsia" w:ascii="仿宋_GB2312" w:eastAsia="仿宋_GB2312"/>
          <w:b/>
          <w:bCs/>
          <w:sz w:val="30"/>
          <w:szCs w:val="30"/>
        </w:rPr>
        <w:t>统一管理对外信息发布</w:t>
      </w:r>
    </w:p>
    <w:p w14:paraId="572FB111">
      <w:pPr>
        <w:tabs>
          <w:tab w:val="left" w:pos="993"/>
        </w:tabs>
        <w:spacing w:line="560" w:lineRule="exact"/>
        <w:ind w:firstLine="600" w:firstLineChars="200"/>
        <w:jc w:val="left"/>
        <w:rPr>
          <w:rFonts w:ascii="仿宋_GB2312" w:eastAsia="仿宋_GB2312"/>
          <w:sz w:val="30"/>
          <w:szCs w:val="30"/>
        </w:rPr>
      </w:pPr>
      <w:r>
        <w:rPr>
          <w:rFonts w:hint="eastAsia" w:ascii="仿宋_GB2312" w:eastAsia="仿宋_GB2312"/>
          <w:sz w:val="30"/>
          <w:szCs w:val="30"/>
        </w:rPr>
        <w:t>建议科创公司将“上证e互动”网络平台和其他渠道的信息发布行为纳入自愿信息披露管理制度，一并加以管理。</w:t>
      </w:r>
    </w:p>
    <w:p w14:paraId="5BA8BE1A">
      <w:pPr>
        <w:tabs>
          <w:tab w:val="left" w:pos="993"/>
        </w:tabs>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例如，科创公司及其董事、高级管理人员接受采访、调研的，事前与董事会秘书沟通访谈内容是否符合相关要求；公司通过官网或者其他自媒体渠道发布信息的，经董事会秘书审核后发布。</w:t>
      </w:r>
    </w:p>
    <w:p w14:paraId="7391DEFB">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科创公司制定自愿信息披露管理制度后，应对有关人员加强培训，确保制度得到有效执行。</w:t>
      </w:r>
    </w:p>
    <w:p w14:paraId="3E2446D5">
      <w:pPr>
        <w:spacing w:line="560" w:lineRule="exact"/>
        <w:ind w:firstLine="600" w:firstLineChars="200"/>
        <w:jc w:val="left"/>
        <w:rPr>
          <w:rFonts w:ascii="仿宋_GB2312" w:eastAsia="仿宋_GB2312"/>
          <w:sz w:val="30"/>
          <w:szCs w:val="30"/>
        </w:rPr>
      </w:pPr>
    </w:p>
    <w:p w14:paraId="10BE38C4">
      <w:pPr>
        <w:adjustRightInd w:val="0"/>
        <w:snapToGrid w:val="0"/>
        <w:spacing w:line="560" w:lineRule="exact"/>
        <w:ind w:firstLine="601" w:firstLineChars="200"/>
        <w:jc w:val="left"/>
        <w:outlineLvl w:val="0"/>
        <w:rPr>
          <w:rFonts w:hint="eastAsia" w:ascii="华文中宋" w:hAnsi="华文中宋"/>
          <w:b/>
          <w:sz w:val="30"/>
          <w:szCs w:val="30"/>
        </w:rPr>
      </w:pPr>
      <w:r>
        <w:rPr>
          <w:rFonts w:hint="eastAsia" w:ascii="华文中宋" w:hAnsi="华文中宋" w:eastAsia="华文中宋"/>
          <w:b/>
          <w:sz w:val="30"/>
          <w:szCs w:val="30"/>
        </w:rPr>
        <w:t>四、常见自愿信息披露事项及公告要点</w:t>
      </w:r>
    </w:p>
    <w:p w14:paraId="6C947371">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自愿信息披露属于持续信息披露，通过临时公告或定期报告披露相关内容的，需要符合信息披露文件的相关格式要求。目前，科创板对于法律规则列举的强制披露事项，已经制定了较为全面的信息披露公告格式指引，科创公司可参照适用。在此基础上，本指引结合科创公司自愿信息披露实践，针对不属于强制披露事项范围、实践中较为常见的自愿信息披露事项，列举了相应公告要点，以进一步丰富自愿信息披露的内容与格式参考。相关示例仅供参考，公司应当根据实际情况编制符合要求的公告。</w:t>
      </w:r>
    </w:p>
    <w:p w14:paraId="161DB7C1">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拟自愿披露的事项，属于法律规则列举的重大事项范围，但未达到规定的披露标准的，可以参考强制披露事项对应的公告格式指引的要点，制作自愿信息披露公告文件；拟自愿披露的事项，不属于法律规则列举的重大事项范围的，可以参考信息披露公告文件的一般格式以及本指引列示的公告要点，制作自愿信息披露公告文件。</w:t>
      </w:r>
    </w:p>
    <w:p w14:paraId="0D1F2AC7">
      <w:pPr>
        <w:spacing w:line="560" w:lineRule="exact"/>
        <w:ind w:firstLine="600" w:firstLineChars="200"/>
        <w:rPr>
          <w:rFonts w:ascii="仿宋_GB2312" w:eastAsia="仿宋_GB2312"/>
          <w:sz w:val="30"/>
          <w:szCs w:val="30"/>
        </w:rPr>
      </w:pPr>
      <w:r>
        <w:rPr>
          <w:rFonts w:hint="eastAsia" w:ascii="仿宋_GB2312" w:eastAsia="仿宋_GB2312"/>
          <w:sz w:val="30"/>
          <w:szCs w:val="30"/>
        </w:rPr>
        <w:t>此外，为了方便投资者知悉和识别，科创公司采用临时公告方式自愿披露信息的，应当在所披露的公告标题中标注“自愿披露”字样，公告题目应当有助于投资者理解自愿披露关键信息的类别。例如，公司自愿披露战略合作协议的，可以以“自愿披露</w:t>
      </w:r>
      <w:r>
        <w:rPr>
          <w:rFonts w:ascii="仿宋_GB2312" w:hAnsi="宋体" w:eastAsia="仿宋_GB2312"/>
          <w:bCs/>
          <w:sz w:val="30"/>
          <w:szCs w:val="30"/>
        </w:rPr>
        <w:t>签订</w:t>
      </w:r>
      <w:r>
        <w:rPr>
          <w:rFonts w:hint="eastAsia" w:ascii="仿宋_GB2312" w:eastAsia="仿宋_GB2312"/>
          <w:sz w:val="30"/>
          <w:szCs w:val="30"/>
        </w:rPr>
        <w:t>战略合作协议的公告”为公告题目。</w:t>
      </w:r>
    </w:p>
    <w:p w14:paraId="7FB8C897">
      <w:pPr>
        <w:spacing w:line="560" w:lineRule="exact"/>
        <w:ind w:firstLine="600" w:firstLineChars="200"/>
        <w:rPr>
          <w:rFonts w:ascii="仿宋_GB2312" w:eastAsia="仿宋_GB2312"/>
          <w:sz w:val="30"/>
          <w:szCs w:val="30"/>
        </w:rPr>
      </w:pPr>
    </w:p>
    <w:p w14:paraId="6EF440D0">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（一）</w:t>
      </w:r>
      <w:r>
        <w:rPr>
          <w:rFonts w:hint="eastAsia" w:ascii="仿宋_GB2312" w:eastAsia="仿宋_GB2312"/>
          <w:b/>
          <w:sz w:val="30"/>
          <w:szCs w:val="30"/>
        </w:rPr>
        <w:t>战略规划</w:t>
      </w:r>
    </w:p>
    <w:p w14:paraId="2B67646C">
      <w:pPr>
        <w:spacing w:line="560" w:lineRule="exact"/>
        <w:ind w:firstLine="600" w:firstLineChars="200"/>
        <w:rPr>
          <w:rFonts w:ascii="仿宋_GB2312" w:eastAsia="仿宋_GB2312"/>
          <w:sz w:val="30"/>
          <w:szCs w:val="30"/>
        </w:rPr>
      </w:pPr>
    </w:p>
    <w:p w14:paraId="38845CA0">
      <w:pPr>
        <w:tabs>
          <w:tab w:val="left" w:pos="1560"/>
        </w:tabs>
        <w:adjustRightInd w:val="0"/>
        <w:snapToGrid w:val="0"/>
        <w:spacing w:line="560" w:lineRule="exact"/>
        <w:ind w:firstLine="602" w:firstLineChars="200"/>
        <w:rPr>
          <w:rFonts w:ascii="仿宋_GB2312" w:eastAsia="仿宋_GB2312"/>
          <w:sz w:val="30"/>
          <w:szCs w:val="30"/>
        </w:rPr>
      </w:pPr>
      <w:r>
        <w:rPr>
          <w:rFonts w:hint="eastAsia" w:ascii="仿宋_GB2312" w:eastAsia="仿宋_GB2312"/>
          <w:b/>
          <w:sz w:val="30"/>
          <w:szCs w:val="30"/>
        </w:rPr>
        <w:t>战略规划是科创公司长远发展目标，及实现长远目标的策略。战略规划信息的披露，是公司现有经营状况和财务信息的有效补充，有利于投资者形成对企业长期发展的合理预期。科创公司还可以在披露战略规划的基础上，依据公司和所在行业的特点，进一步披露公司实现战略规划的具体步骤以及年度的经营计划等信息</w:t>
      </w:r>
      <w:r>
        <w:rPr>
          <w:rFonts w:hint="eastAsia" w:ascii="仿宋_GB2312" w:eastAsia="仿宋_GB2312"/>
          <w:sz w:val="30"/>
          <w:szCs w:val="30"/>
        </w:rPr>
        <w:t>。</w:t>
      </w:r>
    </w:p>
    <w:p w14:paraId="48E2345A">
      <w:pPr>
        <w:tabs>
          <w:tab w:val="left" w:pos="1560"/>
        </w:tabs>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科创公司披露的战略规划应当充分考虑公司发展阶段、外部环境，不应披露缺乏合理性和可行性的战略规划，避免披露将股票价格、市值作为战略规划目标的公告。</w:t>
      </w:r>
    </w:p>
    <w:p w14:paraId="28FF2C73">
      <w:pPr>
        <w:tabs>
          <w:tab w:val="left" w:pos="1560"/>
        </w:tabs>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公告内容可以考虑下列方面：</w:t>
      </w:r>
    </w:p>
    <w:p w14:paraId="605903C1">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1.战略规划的具体情况，与公司前期战略的关系和差异；</w:t>
      </w:r>
    </w:p>
    <w:p w14:paraId="51F1E3FF">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2.实施战略规划的背景和目的；</w:t>
      </w:r>
    </w:p>
    <w:p w14:paraId="47C48228">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3.实现战略规划的方式、计划、可行性和目前的进展；</w:t>
      </w:r>
    </w:p>
    <w:p w14:paraId="58C20E2C">
      <w:pPr>
        <w:spacing w:line="560" w:lineRule="exact"/>
        <w:ind w:firstLine="600" w:firstLineChars="200"/>
        <w:rPr>
          <w:rFonts w:ascii="仿宋_GB2312" w:eastAsia="仿宋_GB2312"/>
          <w:sz w:val="30"/>
          <w:szCs w:val="30"/>
        </w:rPr>
      </w:pPr>
      <w:r>
        <w:rPr>
          <w:rFonts w:hint="eastAsia" w:ascii="仿宋_GB2312" w:eastAsia="仿宋_GB2312"/>
          <w:sz w:val="30"/>
          <w:szCs w:val="30"/>
        </w:rPr>
        <w:t>4.可能存在的风险和不确定性。</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3E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A69F6D">
            <w:pPr>
              <w:spacing w:line="560" w:lineRule="exact"/>
              <w:ind w:firstLine="482" w:firstLineChars="200"/>
              <w:jc w:val="center"/>
              <w:rPr>
                <w:rFonts w:hint="eastAsia" w:ascii="宋体" w:hAnsi="宋体"/>
                <w:b/>
                <w:sz w:val="24"/>
                <w:szCs w:val="24"/>
              </w:rPr>
            </w:pPr>
            <w:r>
              <w:rPr>
                <w:rFonts w:hint="eastAsia" w:ascii="宋体" w:hAnsi="宋体"/>
                <w:b/>
                <w:sz w:val="24"/>
                <w:szCs w:val="24"/>
              </w:rPr>
              <w:t>示 例：年度报告中关于战略规划的披露</w:t>
            </w:r>
          </w:p>
        </w:tc>
      </w:tr>
      <w:tr w14:paraId="1C5A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FED441B">
            <w:pPr>
              <w:spacing w:line="560" w:lineRule="exact"/>
              <w:ind w:firstLine="480" w:firstLineChars="200"/>
              <w:rPr>
                <w:rFonts w:hint="eastAsia" w:ascii="宋体" w:hAnsi="宋体"/>
                <w:sz w:val="24"/>
                <w:szCs w:val="24"/>
              </w:rPr>
            </w:pPr>
            <w:r>
              <w:rPr>
                <w:rFonts w:hint="eastAsia" w:ascii="宋体" w:hAnsi="宋体"/>
                <w:sz w:val="24"/>
                <w:szCs w:val="24"/>
              </w:rPr>
              <w:t>医药研发服务公司A在年度报告中披露未来三至五年战略规划如下：技术方面，公司的业务依赖于甲技术，该技术虽然在效率和成本方面具有优势，但技术本身也存在局限性和不足，公司一方面加大研发投入弥补技术局限性，另一方面将保持对国内外行业相关先进技术的密切关注，在条件成熟时收购行业相关领域的创新型公司，通过外延并购进一步充实公司的研发实力，努力成为细分行业主导者；业务环节方面，公司的优势业务集中在研发环节，公司计划依托于客户需求，通过自行拓展或者寻找合作方向下游环节延伸，搭建新药研发服务的一体化、全流程服务平台；市场营销方面，公司也将加大开拓力度，强化海外营销服务网络的建设，以此保障主营业务收入的稳定提升。</w:t>
            </w:r>
            <w:r>
              <w:rPr>
                <w:rFonts w:ascii="宋体" w:hAnsi="宋体"/>
                <w:sz w:val="24"/>
                <w:szCs w:val="24"/>
              </w:rPr>
              <w:t>本规划中涉及的未来计划、目标等前瞻性陈述</w:t>
            </w:r>
            <w:r>
              <w:rPr>
                <w:rFonts w:hint="eastAsia" w:ascii="宋体" w:hAnsi="宋体"/>
                <w:sz w:val="24"/>
                <w:szCs w:val="24"/>
              </w:rPr>
              <w:t>，</w:t>
            </w:r>
            <w:r>
              <w:rPr>
                <w:rFonts w:ascii="宋体" w:hAnsi="宋体"/>
                <w:sz w:val="24"/>
                <w:szCs w:val="24"/>
              </w:rPr>
              <w:t>并非本公司</w:t>
            </w:r>
            <w:r>
              <w:rPr>
                <w:rFonts w:hint="eastAsia" w:ascii="宋体" w:hAnsi="宋体"/>
                <w:sz w:val="24"/>
                <w:szCs w:val="24"/>
              </w:rPr>
              <w:t>业绩</w:t>
            </w:r>
            <w:r>
              <w:rPr>
                <w:rFonts w:ascii="宋体" w:hAnsi="宋体"/>
                <w:sz w:val="24"/>
                <w:szCs w:val="24"/>
              </w:rPr>
              <w:t>表现的</w:t>
            </w:r>
            <w:r>
              <w:rPr>
                <w:rFonts w:hint="eastAsia" w:ascii="宋体" w:hAnsi="宋体"/>
                <w:sz w:val="24"/>
                <w:szCs w:val="24"/>
              </w:rPr>
              <w:t>保证</w:t>
            </w:r>
            <w:r>
              <w:rPr>
                <w:rFonts w:ascii="宋体" w:hAnsi="宋体"/>
                <w:sz w:val="24"/>
                <w:szCs w:val="24"/>
              </w:rPr>
              <w:t>。鉴于市场环境的不断变化，公司亦存在根据发展需要对本战略规划作相应调整的可能。</w:t>
            </w:r>
          </w:p>
        </w:tc>
      </w:tr>
    </w:tbl>
    <w:p w14:paraId="53B81831">
      <w:pPr>
        <w:spacing w:line="560" w:lineRule="exact"/>
        <w:ind w:firstLine="640" w:firstLineChars="200"/>
        <w:rPr>
          <w:rFonts w:ascii="仿宋_GB2312" w:eastAsia="仿宋_GB2312"/>
          <w:sz w:val="32"/>
          <w:szCs w:val="32"/>
        </w:rPr>
      </w:pPr>
    </w:p>
    <w:p w14:paraId="5884FADF">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（二）</w:t>
      </w:r>
      <w:r>
        <w:rPr>
          <w:rFonts w:hint="eastAsia" w:ascii="仿宋_GB2312" w:eastAsia="仿宋_GB2312"/>
          <w:b/>
          <w:sz w:val="30"/>
          <w:szCs w:val="30"/>
        </w:rPr>
        <w:t>行业经营性信息</w:t>
      </w:r>
    </w:p>
    <w:p w14:paraId="00992C82">
      <w:pPr>
        <w:spacing w:line="560" w:lineRule="exact"/>
        <w:ind w:firstLine="600" w:firstLineChars="200"/>
        <w:rPr>
          <w:rFonts w:ascii="仿宋_GB2312" w:eastAsia="仿宋_GB2312"/>
          <w:sz w:val="30"/>
          <w:szCs w:val="30"/>
        </w:rPr>
      </w:pPr>
    </w:p>
    <w:p w14:paraId="0F4D357F">
      <w:pPr>
        <w:spacing w:line="560" w:lineRule="exact"/>
        <w:ind w:firstLine="600" w:firstLineChars="200"/>
        <w:rPr>
          <w:rFonts w:ascii="仿宋_GB2312" w:eastAsia="仿宋_GB2312"/>
          <w:sz w:val="30"/>
          <w:szCs w:val="30"/>
        </w:rPr>
      </w:pPr>
      <w:r>
        <w:rPr>
          <w:rFonts w:ascii="仿宋_GB2312" w:eastAsia="仿宋_GB2312"/>
          <w:sz w:val="30"/>
          <w:szCs w:val="30"/>
        </w:rPr>
        <w:t>每个行业的运营均有其特别之处，投资者需要更多地了解科创公司所处行业，及科创公司在该行业内的运营情况，以便能够更加准确地判断公司的投资价值。但法律规则为确保普适性及灵活性，往往难以顾及投资者对不同行业公司的信息需求。因此，鼓励科创公司自愿披露科创公司所在行业相关信息。</w:t>
      </w:r>
    </w:p>
    <w:p w14:paraId="2009FA71">
      <w:pPr>
        <w:spacing w:line="560" w:lineRule="exact"/>
        <w:ind w:firstLine="602" w:firstLineChars="200"/>
        <w:rPr>
          <w:rFonts w:ascii="仿宋_GB2312" w:eastAsia="仿宋_GB2312"/>
          <w:b/>
          <w:sz w:val="30"/>
          <w:szCs w:val="30"/>
        </w:rPr>
      </w:pPr>
      <w:r>
        <w:rPr>
          <w:rFonts w:hint="eastAsia" w:ascii="仿宋_GB2312" w:eastAsia="仿宋_GB2312"/>
          <w:b/>
          <w:sz w:val="30"/>
          <w:szCs w:val="30"/>
        </w:rPr>
        <w:t>科创公司可以充分利用其对行业的理解与判断，自愿披露能够显示所在行业公司的运营特点、业务趋势或者对公司经营情况可能产生重大影响的政策、行业发展、技术等方面的信息，以便投资者评估公司价值。</w:t>
      </w:r>
    </w:p>
    <w:p w14:paraId="39D993F6">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科创公司在披露行业信息时，可以考虑以下方面。</w:t>
      </w:r>
    </w:p>
    <w:p w14:paraId="6B0E0A76">
      <w:pPr>
        <w:spacing w:line="560" w:lineRule="exact"/>
        <w:ind w:firstLine="600" w:firstLineChars="200"/>
        <w:rPr>
          <w:rFonts w:ascii="仿宋_GB2312" w:eastAsia="仿宋_GB2312"/>
          <w:sz w:val="30"/>
          <w:szCs w:val="30"/>
        </w:rPr>
      </w:pPr>
      <w:r>
        <w:rPr>
          <w:rFonts w:ascii="仿宋_GB2312" w:eastAsia="仿宋_GB2312"/>
          <w:sz w:val="30"/>
          <w:szCs w:val="30"/>
        </w:rPr>
        <w:t>1.政策环境。部分行业</w:t>
      </w:r>
      <w:r>
        <w:rPr>
          <w:rFonts w:hint="eastAsia" w:ascii="仿宋_GB2312" w:eastAsia="仿宋_GB2312"/>
          <w:sz w:val="30"/>
          <w:szCs w:val="30"/>
        </w:rPr>
        <w:t>存在较为严格的监管</w:t>
      </w:r>
      <w:r>
        <w:rPr>
          <w:rFonts w:ascii="仿宋_GB2312" w:eastAsia="仿宋_GB2312"/>
          <w:sz w:val="30"/>
          <w:szCs w:val="30"/>
        </w:rPr>
        <w:t>，监管政策的变化可能</w:t>
      </w:r>
      <w:r>
        <w:rPr>
          <w:rFonts w:hint="eastAsia" w:ascii="仿宋_GB2312" w:eastAsia="仿宋_GB2312"/>
          <w:sz w:val="30"/>
          <w:szCs w:val="30"/>
        </w:rPr>
        <w:t>影响</w:t>
      </w:r>
      <w:r>
        <w:rPr>
          <w:rFonts w:ascii="仿宋_GB2312" w:eastAsia="仿宋_GB2312"/>
          <w:sz w:val="30"/>
          <w:szCs w:val="30"/>
        </w:rPr>
        <w:t>公司</w:t>
      </w:r>
      <w:r>
        <w:rPr>
          <w:rFonts w:hint="eastAsia" w:ascii="仿宋_GB2312" w:eastAsia="仿宋_GB2312"/>
          <w:sz w:val="30"/>
          <w:szCs w:val="30"/>
        </w:rPr>
        <w:t>业绩或者发展。此类</w:t>
      </w:r>
      <w:r>
        <w:rPr>
          <w:rFonts w:ascii="仿宋_GB2312" w:eastAsia="仿宋_GB2312"/>
          <w:sz w:val="30"/>
          <w:szCs w:val="30"/>
        </w:rPr>
        <w:t>行业</w:t>
      </w:r>
      <w:r>
        <w:rPr>
          <w:rFonts w:hint="eastAsia" w:ascii="仿宋_GB2312" w:eastAsia="仿宋_GB2312"/>
          <w:sz w:val="30"/>
          <w:szCs w:val="30"/>
        </w:rPr>
        <w:t>的公司</w:t>
      </w:r>
      <w:r>
        <w:rPr>
          <w:rFonts w:ascii="仿宋_GB2312" w:eastAsia="仿宋_GB2312"/>
          <w:sz w:val="30"/>
          <w:szCs w:val="30"/>
        </w:rPr>
        <w:t>可以对其监管政策、趋势变化及可预见的影响进行提示。</w:t>
      </w:r>
      <w:r>
        <w:rPr>
          <w:rFonts w:hint="eastAsia" w:ascii="仿宋_GB2312" w:eastAsia="仿宋_GB2312"/>
          <w:sz w:val="30"/>
          <w:szCs w:val="30"/>
        </w:rPr>
        <w:t>例如，有些行业属于国家支持鼓励的行业，存在一定规模的政策性补贴，如果补贴政策的金额、期限、种类出现退坡或调整，将直接影响行业内或产业链条上企业的经营绩效，建议公司及时跟踪并披露这些变化。</w:t>
      </w:r>
    </w:p>
    <w:p w14:paraId="14B43AF8">
      <w:pPr>
        <w:spacing w:line="560" w:lineRule="exact"/>
        <w:ind w:firstLine="600" w:firstLineChars="200"/>
        <w:rPr>
          <w:rFonts w:ascii="仿宋_GB2312" w:eastAsia="仿宋_GB2312"/>
          <w:sz w:val="30"/>
          <w:szCs w:val="30"/>
        </w:rPr>
      </w:pPr>
      <w:r>
        <w:rPr>
          <w:rFonts w:ascii="仿宋_GB2312" w:eastAsia="仿宋_GB2312"/>
          <w:sz w:val="30"/>
          <w:szCs w:val="30"/>
        </w:rPr>
        <w:t>2.技术发展趋势。</w:t>
      </w:r>
      <w:r>
        <w:rPr>
          <w:rFonts w:hint="eastAsia" w:ascii="仿宋_GB2312" w:eastAsia="仿宋_GB2312"/>
          <w:sz w:val="30"/>
          <w:szCs w:val="30"/>
        </w:rPr>
        <w:t>科创公司通常</w:t>
      </w:r>
      <w:r>
        <w:rPr>
          <w:rFonts w:ascii="仿宋_GB2312" w:eastAsia="仿宋_GB2312"/>
          <w:sz w:val="30"/>
          <w:szCs w:val="30"/>
        </w:rPr>
        <w:t>高度依赖技术先进性以获得竞争优势，行业内技术的突破可能</w:t>
      </w:r>
      <w:r>
        <w:rPr>
          <w:rFonts w:hint="eastAsia" w:ascii="仿宋_GB2312" w:eastAsia="仿宋_GB2312"/>
          <w:sz w:val="30"/>
          <w:szCs w:val="30"/>
        </w:rPr>
        <w:t>强化、削弱或者颠覆公司的核心竞争力，是</w:t>
      </w:r>
      <w:r>
        <w:rPr>
          <w:rFonts w:ascii="仿宋_GB2312" w:eastAsia="仿宋_GB2312"/>
          <w:sz w:val="30"/>
          <w:szCs w:val="30"/>
        </w:rPr>
        <w:t>投资者</w:t>
      </w:r>
      <w:r>
        <w:rPr>
          <w:rFonts w:hint="eastAsia" w:ascii="仿宋_GB2312" w:eastAsia="仿宋_GB2312"/>
          <w:sz w:val="30"/>
          <w:szCs w:val="30"/>
        </w:rPr>
        <w:t>判断</w:t>
      </w:r>
      <w:r>
        <w:rPr>
          <w:rFonts w:ascii="仿宋_GB2312" w:eastAsia="仿宋_GB2312"/>
          <w:sz w:val="30"/>
          <w:szCs w:val="30"/>
        </w:rPr>
        <w:t>公司价值</w:t>
      </w:r>
      <w:r>
        <w:rPr>
          <w:rFonts w:hint="eastAsia" w:ascii="仿宋_GB2312" w:eastAsia="仿宋_GB2312"/>
          <w:sz w:val="30"/>
          <w:szCs w:val="30"/>
        </w:rPr>
        <w:t>的重要因素</w:t>
      </w:r>
      <w:r>
        <w:rPr>
          <w:rFonts w:ascii="仿宋_GB2312" w:eastAsia="仿宋_GB2312"/>
          <w:sz w:val="30"/>
          <w:szCs w:val="30"/>
        </w:rPr>
        <w:t>，</w:t>
      </w:r>
      <w:r>
        <w:rPr>
          <w:rFonts w:hint="eastAsia" w:ascii="仿宋_GB2312" w:eastAsia="仿宋_GB2312"/>
          <w:sz w:val="30"/>
          <w:szCs w:val="30"/>
        </w:rPr>
        <w:t>建议</w:t>
      </w:r>
      <w:r>
        <w:rPr>
          <w:rFonts w:ascii="仿宋_GB2312" w:eastAsia="仿宋_GB2312"/>
          <w:sz w:val="30"/>
          <w:szCs w:val="30"/>
        </w:rPr>
        <w:t>该类公司以通俗易懂的</w:t>
      </w:r>
      <w:r>
        <w:rPr>
          <w:rFonts w:hint="eastAsia" w:ascii="仿宋_GB2312" w:eastAsia="仿宋_GB2312"/>
          <w:sz w:val="30"/>
          <w:szCs w:val="30"/>
        </w:rPr>
        <w:t>语言</w:t>
      </w:r>
      <w:r>
        <w:rPr>
          <w:rFonts w:ascii="仿宋_GB2312" w:eastAsia="仿宋_GB2312"/>
          <w:sz w:val="30"/>
          <w:szCs w:val="30"/>
        </w:rPr>
        <w:t>披露技术变化情况</w:t>
      </w:r>
      <w:r>
        <w:rPr>
          <w:rFonts w:hint="eastAsia" w:ascii="仿宋_GB2312" w:eastAsia="仿宋_GB2312"/>
          <w:sz w:val="30"/>
          <w:szCs w:val="30"/>
        </w:rPr>
        <w:t>以</w:t>
      </w:r>
      <w:r>
        <w:rPr>
          <w:rFonts w:ascii="仿宋_GB2312" w:eastAsia="仿宋_GB2312"/>
          <w:sz w:val="30"/>
          <w:szCs w:val="30"/>
        </w:rPr>
        <w:t>及可能对公司产生的影响。</w:t>
      </w:r>
      <w:r>
        <w:rPr>
          <w:rFonts w:hint="eastAsia" w:ascii="仿宋_GB2312" w:eastAsia="仿宋_GB2312"/>
          <w:sz w:val="30"/>
          <w:szCs w:val="30"/>
        </w:rPr>
        <w:t>例如，通信设备类企业，可以密切关注5G技术的发展，及时研判和披露相关技术的发展对于公司产品和业务的影响。</w:t>
      </w:r>
    </w:p>
    <w:p w14:paraId="6146F75C">
      <w:pPr>
        <w:spacing w:line="560" w:lineRule="exact"/>
        <w:ind w:firstLine="600" w:firstLineChars="200"/>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.核心资源。科创</w:t>
      </w:r>
      <w:r>
        <w:rPr>
          <w:rFonts w:hint="eastAsia" w:ascii="仿宋_GB2312" w:eastAsia="仿宋_GB2312"/>
          <w:sz w:val="30"/>
          <w:szCs w:val="30"/>
        </w:rPr>
        <w:t>公司可以</w:t>
      </w:r>
      <w:r>
        <w:rPr>
          <w:rFonts w:ascii="仿宋_GB2312" w:eastAsia="仿宋_GB2312"/>
          <w:sz w:val="30"/>
          <w:szCs w:val="30"/>
        </w:rPr>
        <w:t>根据行业特点、竞争格局、</w:t>
      </w:r>
      <w:r>
        <w:rPr>
          <w:rFonts w:hint="eastAsia" w:ascii="仿宋_GB2312" w:eastAsia="仿宋_GB2312"/>
          <w:sz w:val="30"/>
          <w:szCs w:val="30"/>
        </w:rPr>
        <w:t>技术发展趋势，披露</w:t>
      </w:r>
      <w:r>
        <w:rPr>
          <w:rFonts w:ascii="仿宋_GB2312" w:eastAsia="仿宋_GB2312"/>
          <w:sz w:val="30"/>
          <w:szCs w:val="30"/>
        </w:rPr>
        <w:t>公司赖以生存的核心资源</w:t>
      </w:r>
      <w:r>
        <w:rPr>
          <w:rFonts w:hint="eastAsia" w:ascii="仿宋_GB2312" w:eastAsia="仿宋_GB2312"/>
          <w:sz w:val="30"/>
          <w:szCs w:val="30"/>
        </w:rPr>
        <w:t>。</w:t>
      </w:r>
      <w:r>
        <w:rPr>
          <w:rFonts w:ascii="仿宋_GB2312" w:eastAsia="仿宋_GB2312"/>
          <w:sz w:val="30"/>
          <w:szCs w:val="30"/>
        </w:rPr>
        <w:t>例如，</w:t>
      </w:r>
      <w:r>
        <w:rPr>
          <w:rFonts w:hint="eastAsia" w:ascii="仿宋_GB2312" w:eastAsia="仿宋_GB2312"/>
          <w:sz w:val="30"/>
          <w:szCs w:val="30"/>
        </w:rPr>
        <w:t>对于产品更新迭代比较迅速的</w:t>
      </w:r>
      <w:r>
        <w:rPr>
          <w:rFonts w:ascii="仿宋_GB2312" w:eastAsia="仿宋_GB2312"/>
          <w:sz w:val="30"/>
          <w:szCs w:val="30"/>
        </w:rPr>
        <w:t>行业</w:t>
      </w:r>
      <w:r>
        <w:rPr>
          <w:rFonts w:hint="eastAsia" w:ascii="仿宋_GB2312" w:eastAsia="仿宋_GB2312"/>
          <w:sz w:val="30"/>
          <w:szCs w:val="30"/>
        </w:rPr>
        <w:t>，</w:t>
      </w:r>
      <w:r>
        <w:rPr>
          <w:rFonts w:ascii="仿宋_GB2312" w:eastAsia="仿宋_GB2312"/>
          <w:sz w:val="30"/>
          <w:szCs w:val="30"/>
        </w:rPr>
        <w:t>公司</w:t>
      </w:r>
      <w:r>
        <w:rPr>
          <w:rFonts w:hint="eastAsia" w:ascii="仿宋_GB2312" w:eastAsia="仿宋_GB2312"/>
          <w:sz w:val="30"/>
          <w:szCs w:val="30"/>
        </w:rPr>
        <w:t>能否</w:t>
      </w:r>
      <w:r>
        <w:rPr>
          <w:rFonts w:ascii="仿宋_GB2312" w:eastAsia="仿宋_GB2312"/>
          <w:sz w:val="30"/>
          <w:szCs w:val="30"/>
        </w:rPr>
        <w:t>不断推出新产品维持竞争优势和业绩</w:t>
      </w:r>
      <w:r>
        <w:rPr>
          <w:rFonts w:hint="eastAsia" w:ascii="仿宋_GB2312" w:eastAsia="仿宋_GB2312"/>
          <w:sz w:val="30"/>
          <w:szCs w:val="30"/>
        </w:rPr>
        <w:t>最为关键，因此</w:t>
      </w:r>
      <w:r>
        <w:rPr>
          <w:rFonts w:ascii="仿宋_GB2312" w:eastAsia="仿宋_GB2312"/>
          <w:sz w:val="30"/>
          <w:szCs w:val="30"/>
        </w:rPr>
        <w:t>可以重点披露</w:t>
      </w:r>
      <w:r>
        <w:rPr>
          <w:rFonts w:hint="eastAsia" w:ascii="仿宋_GB2312" w:eastAsia="仿宋_GB2312"/>
          <w:sz w:val="30"/>
          <w:szCs w:val="30"/>
        </w:rPr>
        <w:t>研发</w:t>
      </w:r>
      <w:r>
        <w:rPr>
          <w:rFonts w:ascii="仿宋_GB2312" w:eastAsia="仿宋_GB2312"/>
          <w:sz w:val="30"/>
          <w:szCs w:val="30"/>
        </w:rPr>
        <w:t>人员、研发投入</w:t>
      </w:r>
      <w:r>
        <w:rPr>
          <w:rFonts w:hint="eastAsia" w:ascii="仿宋_GB2312" w:eastAsia="仿宋_GB2312"/>
          <w:sz w:val="30"/>
          <w:szCs w:val="30"/>
        </w:rPr>
        <w:t>、</w:t>
      </w:r>
      <w:r>
        <w:rPr>
          <w:rFonts w:ascii="仿宋_GB2312" w:eastAsia="仿宋_GB2312"/>
          <w:sz w:val="30"/>
          <w:szCs w:val="30"/>
        </w:rPr>
        <w:t>研发计划等信息。</w:t>
      </w:r>
      <w:r>
        <w:rPr>
          <w:rFonts w:hint="eastAsia" w:ascii="仿宋_GB2312" w:eastAsia="仿宋_GB2312"/>
          <w:sz w:val="30"/>
          <w:szCs w:val="30"/>
        </w:rPr>
        <w:t>有的科创公司处于所在产业链的中后端，较为依赖</w:t>
      </w:r>
      <w:r>
        <w:rPr>
          <w:rFonts w:ascii="仿宋_GB2312" w:eastAsia="仿宋_GB2312"/>
          <w:sz w:val="30"/>
          <w:szCs w:val="30"/>
        </w:rPr>
        <w:t>行业</w:t>
      </w:r>
      <w:r>
        <w:rPr>
          <w:rFonts w:hint="eastAsia" w:ascii="仿宋_GB2312" w:eastAsia="仿宋_GB2312"/>
          <w:sz w:val="30"/>
          <w:szCs w:val="30"/>
        </w:rPr>
        <w:t>龙头企业的订单，</w:t>
      </w:r>
      <w:r>
        <w:rPr>
          <w:rFonts w:ascii="仿宋_GB2312" w:eastAsia="仿宋_GB2312"/>
          <w:sz w:val="30"/>
          <w:szCs w:val="30"/>
        </w:rPr>
        <w:t>公司</w:t>
      </w:r>
      <w:r>
        <w:rPr>
          <w:rFonts w:hint="eastAsia" w:ascii="仿宋_GB2312" w:eastAsia="仿宋_GB2312"/>
          <w:sz w:val="30"/>
          <w:szCs w:val="30"/>
        </w:rPr>
        <w:t>可以侧重于披露龙头企业的供应商选择政策以及自身为维护供应商地位所做的努力。</w:t>
      </w:r>
    </w:p>
    <w:p w14:paraId="7A8C7842">
      <w:pPr>
        <w:spacing w:line="560" w:lineRule="exact"/>
        <w:ind w:firstLine="600" w:firstLineChars="200"/>
        <w:rPr>
          <w:rFonts w:ascii="仿宋_GB2312" w:eastAsia="仿宋_GB2312"/>
          <w:sz w:val="30"/>
          <w:szCs w:val="30"/>
        </w:rPr>
      </w:pPr>
      <w:r>
        <w:rPr>
          <w:rFonts w:hint="eastAsia" w:ascii="仿宋_GB2312" w:eastAsia="仿宋_GB2312"/>
          <w:sz w:val="30"/>
          <w:szCs w:val="30"/>
        </w:rPr>
        <w:t>我们建议科创公司根据所在行业特点，选择及拓展能够反映自身情况的行业经营性信息。以下为部分科创板典型行业可以考虑披露的行业信息。</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C10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EE7522">
            <w:pPr>
              <w:spacing w:line="560" w:lineRule="exact"/>
              <w:ind w:firstLine="482" w:firstLineChars="200"/>
              <w:jc w:val="center"/>
              <w:rPr>
                <w:rFonts w:hint="eastAsia" w:ascii="宋体" w:hAnsi="宋体"/>
                <w:b/>
                <w:sz w:val="24"/>
                <w:szCs w:val="24"/>
              </w:rPr>
            </w:pPr>
            <w:r>
              <w:rPr>
                <w:rFonts w:hint="eastAsia" w:ascii="宋体" w:hAnsi="宋体"/>
                <w:b/>
                <w:sz w:val="24"/>
                <w:szCs w:val="24"/>
              </w:rPr>
              <w:t>示 例：部分科创板典型行业的行业信息</w:t>
            </w:r>
          </w:p>
        </w:tc>
      </w:tr>
      <w:tr w14:paraId="67D6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23C0137">
            <w:pPr>
              <w:spacing w:line="560" w:lineRule="exact"/>
              <w:ind w:firstLine="482" w:firstLineChars="200"/>
              <w:rPr>
                <w:rFonts w:hint="eastAsia" w:ascii="宋体" w:hAnsi="宋体"/>
                <w:sz w:val="24"/>
                <w:szCs w:val="24"/>
              </w:rPr>
            </w:pPr>
            <w:r>
              <w:rPr>
                <w:rFonts w:hint="eastAsia" w:ascii="宋体" w:hAnsi="宋体"/>
                <w:b/>
                <w:sz w:val="24"/>
                <w:szCs w:val="24"/>
              </w:rPr>
              <w:t>集成电路：</w:t>
            </w:r>
            <w:r>
              <w:rPr>
                <w:rFonts w:ascii="宋体" w:hAnsi="宋体"/>
                <w:sz w:val="24"/>
                <w:szCs w:val="24"/>
              </w:rPr>
              <w:t>集成电路企业高度依赖产品或服务的竞争力和研发创新能力，市场壁垒高、少数大公司占据主导，同时可能面临知识产权、贸易政策、资金投入、产品质量等方面的风险。考虑到上述特点，集成电路企业可以重点考虑以下行业信息：</w:t>
            </w:r>
          </w:p>
          <w:p w14:paraId="43076F33">
            <w:pPr>
              <w:spacing w:line="560" w:lineRule="exact"/>
              <w:ind w:firstLine="480" w:firstLineChars="200"/>
              <w:rPr>
                <w:rFonts w:hint="eastAsia" w:ascii="宋体" w:hAnsi="宋体"/>
                <w:sz w:val="24"/>
                <w:szCs w:val="24"/>
              </w:rPr>
            </w:pPr>
            <w:r>
              <w:rPr>
                <w:rFonts w:ascii="宋体" w:hAnsi="宋体"/>
                <w:sz w:val="24"/>
                <w:szCs w:val="24"/>
              </w:rPr>
              <w:t>1.集成电路设计：经营模式，包括IDM（集成器件制造）、Fabless（无晶圆厂）等、委外生产情况、研发设计模式、销售模式；产品类别，包括产品所属细分行业（微处理器、逻辑集成电路、存储器、模拟电路等），主要产品的产量、销量、销售额，下游应用领域及应用示例；技术水平，包括行业主流技术水平、工艺节点、芯片性能，公司技术水平、新产品或新工艺开发情况</w:t>
            </w:r>
            <w:r>
              <w:rPr>
                <w:rFonts w:hint="eastAsia" w:ascii="宋体" w:hAnsi="宋体"/>
                <w:sz w:val="24"/>
                <w:szCs w:val="24"/>
              </w:rPr>
              <w:t>。</w:t>
            </w:r>
          </w:p>
          <w:p w14:paraId="0F41D7AA">
            <w:pPr>
              <w:spacing w:line="560" w:lineRule="exact"/>
              <w:ind w:firstLine="480" w:firstLineChars="200"/>
              <w:rPr>
                <w:rFonts w:hint="eastAsia" w:ascii="宋体" w:hAnsi="宋体"/>
                <w:sz w:val="24"/>
                <w:szCs w:val="24"/>
              </w:rPr>
            </w:pPr>
            <w:r>
              <w:rPr>
                <w:rFonts w:ascii="宋体" w:hAnsi="宋体"/>
                <w:sz w:val="24"/>
                <w:szCs w:val="24"/>
              </w:rPr>
              <w:t>2.集成电路制造：现有晶圆厂数量和生产线情况，包括不同晶圆尺寸的产线数量、产能、产量、制程、工艺（含特色工艺）、芯片种类（如有）、良率（或良率区间）等；在建晶圆厂或生产线情况，包括晶圆尺寸、产线数量、制程、工艺（含特色工艺）、预计产能、预计投资额、建设周期、预计投产时间等。</w:t>
            </w:r>
          </w:p>
          <w:p w14:paraId="6BFB49F4">
            <w:pPr>
              <w:spacing w:line="560" w:lineRule="exact"/>
              <w:ind w:firstLine="480" w:firstLineChars="200"/>
              <w:rPr>
                <w:rFonts w:hint="eastAsia" w:ascii="宋体" w:hAnsi="宋体"/>
                <w:sz w:val="24"/>
                <w:szCs w:val="24"/>
              </w:rPr>
            </w:pPr>
            <w:r>
              <w:rPr>
                <w:rFonts w:ascii="宋体" w:hAnsi="宋体"/>
                <w:sz w:val="24"/>
                <w:szCs w:val="24"/>
              </w:rPr>
              <w:t>3.集成电路封装测试：现有生产线情况，包括现有封装生产线及其采用的主要封装技术，现有测试生产线及其采用的主要测试技术，按产品类别或封装测试技术类别划分的产量、销售量、销售额；在建生产线情况，包括产线数量、工艺技术情况、预计产能、预计投资额、建设周期、预计投产时间等。</w:t>
            </w:r>
          </w:p>
          <w:p w14:paraId="2251147F">
            <w:pPr>
              <w:spacing w:line="560" w:lineRule="exact"/>
              <w:ind w:firstLine="480" w:firstLineChars="200"/>
              <w:rPr>
                <w:rFonts w:hint="eastAsia" w:ascii="宋体" w:hAnsi="宋体"/>
                <w:sz w:val="24"/>
                <w:szCs w:val="24"/>
              </w:rPr>
            </w:pPr>
            <w:r>
              <w:rPr>
                <w:rFonts w:ascii="宋体" w:hAnsi="宋体"/>
                <w:sz w:val="24"/>
                <w:szCs w:val="24"/>
              </w:rPr>
              <w:t>4.集成电路设备、材料：主要产品及其应用领域，产品的重要技术指标和核心竞争力。</w:t>
            </w:r>
          </w:p>
          <w:p w14:paraId="1B8C138C">
            <w:pPr>
              <w:spacing w:line="560" w:lineRule="exact"/>
              <w:ind w:firstLine="480" w:firstLineChars="200"/>
              <w:rPr>
                <w:rFonts w:hint="eastAsia" w:ascii="宋体" w:hAnsi="宋体"/>
                <w:b/>
                <w:sz w:val="24"/>
                <w:szCs w:val="24"/>
              </w:rPr>
            </w:pPr>
            <w:r>
              <w:rPr>
                <w:rFonts w:ascii="宋体" w:hAnsi="宋体"/>
                <w:sz w:val="24"/>
                <w:szCs w:val="24"/>
              </w:rPr>
              <w:t>5.风险事项：知识产权纠纷及对公司业务的影响</w:t>
            </w:r>
            <w:r>
              <w:rPr>
                <w:rFonts w:hint="eastAsia" w:ascii="宋体" w:hAnsi="宋体"/>
                <w:sz w:val="24"/>
                <w:szCs w:val="24"/>
              </w:rPr>
              <w:t>（</w:t>
            </w:r>
            <w:r>
              <w:rPr>
                <w:rFonts w:ascii="宋体" w:hAnsi="宋体"/>
                <w:sz w:val="24"/>
                <w:szCs w:val="24"/>
              </w:rPr>
              <w:t>如知识产权对应的产品及销售收入</w:t>
            </w:r>
            <w:r>
              <w:rPr>
                <w:rFonts w:hint="eastAsia" w:ascii="宋体" w:hAnsi="宋体"/>
                <w:sz w:val="24"/>
                <w:szCs w:val="24"/>
              </w:rPr>
              <w:t>）</w:t>
            </w:r>
            <w:r>
              <w:rPr>
                <w:rFonts w:ascii="宋体" w:hAnsi="宋体"/>
                <w:sz w:val="24"/>
                <w:szCs w:val="24"/>
              </w:rPr>
              <w:t>；国际贸易政策变化及对公司业务的影响。</w:t>
            </w:r>
          </w:p>
        </w:tc>
      </w:tr>
      <w:tr w14:paraId="4217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EC42F10">
            <w:pPr>
              <w:spacing w:line="560" w:lineRule="exact"/>
              <w:ind w:firstLine="482" w:firstLineChars="200"/>
              <w:rPr>
                <w:rFonts w:hint="eastAsia" w:ascii="宋体" w:hAnsi="宋体"/>
                <w:sz w:val="24"/>
                <w:szCs w:val="24"/>
              </w:rPr>
            </w:pPr>
            <w:r>
              <w:rPr>
                <w:rFonts w:hint="eastAsia" w:ascii="宋体" w:hAnsi="宋体"/>
                <w:b/>
                <w:sz w:val="24"/>
                <w:szCs w:val="24"/>
              </w:rPr>
              <w:t>新药研发：</w:t>
            </w:r>
            <w:r>
              <w:rPr>
                <w:rFonts w:hint="eastAsia" w:ascii="宋体" w:hAnsi="宋体"/>
                <w:sz w:val="24"/>
                <w:szCs w:val="24"/>
              </w:rPr>
              <w:t>新药研发企业具有高度依赖研发，产品准入及监管政策严格，市场壁垒高，少数大公司占据主导地位等特点，同时可能面临资金投入、商业化、知识产权保护、产品质量等方面的风险。考虑到上述特点，新药研发企业可以重点考虑以下行业信息：</w:t>
            </w:r>
          </w:p>
          <w:p w14:paraId="374E379A">
            <w:pPr>
              <w:spacing w:line="560" w:lineRule="exact"/>
              <w:ind w:firstLine="480" w:firstLineChars="200"/>
              <w:rPr>
                <w:rFonts w:hint="eastAsia" w:ascii="宋体" w:hAnsi="宋体"/>
                <w:sz w:val="24"/>
                <w:szCs w:val="24"/>
              </w:rPr>
            </w:pPr>
            <w:r>
              <w:rPr>
                <w:rFonts w:hint="eastAsia" w:ascii="宋体" w:hAnsi="宋体"/>
                <w:sz w:val="24"/>
                <w:szCs w:val="24"/>
              </w:rPr>
              <w:t>1.产品发展：产品市场规模及占有率、新产品研发管线及进展（适应症、研发阶段、预计完成时间）、商业化推广（如各级医院销售占比）或者准备（推广经验、销售网络布局等）、定价及竞品价格、医保政策等。</w:t>
            </w:r>
          </w:p>
          <w:p w14:paraId="4EB7F107">
            <w:pPr>
              <w:spacing w:line="560" w:lineRule="exact"/>
              <w:ind w:firstLine="480" w:firstLineChars="200"/>
              <w:rPr>
                <w:rFonts w:hint="eastAsia" w:ascii="宋体" w:hAnsi="宋体"/>
                <w:sz w:val="24"/>
                <w:szCs w:val="24"/>
              </w:rPr>
            </w:pPr>
            <w:r>
              <w:rPr>
                <w:rFonts w:hint="eastAsia" w:ascii="宋体" w:hAnsi="宋体"/>
                <w:sz w:val="24"/>
                <w:szCs w:val="24"/>
              </w:rPr>
              <w:t>2.研发实力：核心技术人员流失率、核心技术来源（采用许可引进方式的，考虑披露该种机制的可持续性等）、知识产权权属等。</w:t>
            </w:r>
          </w:p>
          <w:p w14:paraId="01A66A78">
            <w:pPr>
              <w:spacing w:line="560" w:lineRule="exact"/>
              <w:ind w:firstLine="480" w:firstLineChars="200"/>
              <w:rPr>
                <w:rFonts w:hint="eastAsia" w:ascii="宋体" w:hAnsi="宋体"/>
                <w:sz w:val="24"/>
                <w:szCs w:val="24"/>
              </w:rPr>
            </w:pPr>
            <w:r>
              <w:rPr>
                <w:rFonts w:hint="eastAsia" w:ascii="宋体" w:hAnsi="宋体"/>
                <w:sz w:val="24"/>
                <w:szCs w:val="24"/>
              </w:rPr>
              <w:t>3.风险管理：研发投入规模及维持流动资金充足的措施等。</w:t>
            </w:r>
          </w:p>
          <w:p w14:paraId="684F37A9">
            <w:pPr>
              <w:spacing w:line="560" w:lineRule="exact"/>
              <w:ind w:firstLine="480" w:firstLineChars="200"/>
              <w:rPr>
                <w:rFonts w:hint="eastAsia" w:ascii="宋体" w:hAnsi="宋体"/>
                <w:b/>
                <w:sz w:val="24"/>
                <w:szCs w:val="24"/>
              </w:rPr>
            </w:pPr>
            <w:r>
              <w:rPr>
                <w:rFonts w:hint="eastAsia" w:ascii="宋体" w:hAnsi="宋体"/>
                <w:sz w:val="24"/>
                <w:szCs w:val="24"/>
              </w:rPr>
              <w:t>4.监管政策：药品准入、流通、医保等政策变化及对公司的影响。</w:t>
            </w:r>
          </w:p>
        </w:tc>
      </w:tr>
      <w:tr w14:paraId="4F0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1DECFDA">
            <w:pPr>
              <w:spacing w:line="560" w:lineRule="exact"/>
              <w:ind w:firstLine="482" w:firstLineChars="200"/>
              <w:rPr>
                <w:rFonts w:hint="eastAsia" w:ascii="宋体" w:hAnsi="宋体"/>
                <w:sz w:val="24"/>
                <w:szCs w:val="24"/>
              </w:rPr>
            </w:pPr>
            <w:r>
              <w:rPr>
                <w:rFonts w:ascii="宋体" w:hAnsi="宋体"/>
                <w:b/>
                <w:sz w:val="24"/>
                <w:szCs w:val="24"/>
              </w:rPr>
              <w:t>工业机器人</w:t>
            </w:r>
            <w:r>
              <w:rPr>
                <w:rFonts w:hint="eastAsia" w:ascii="宋体" w:hAnsi="宋体"/>
                <w:b/>
                <w:sz w:val="24"/>
                <w:szCs w:val="24"/>
              </w:rPr>
              <w:t>：</w:t>
            </w:r>
            <w:r>
              <w:rPr>
                <w:rFonts w:hint="eastAsia" w:ascii="宋体" w:hAnsi="宋体"/>
                <w:sz w:val="24"/>
                <w:szCs w:val="24"/>
              </w:rPr>
              <w:t>工业机器人产业链包括核心零部件企业、机器人本体企业、系统集成企业等，具有国外垄断关键技术、国产化率低、应用领域集中于汽车及3C行业等特点，因此，可以重点考虑以下行业信息：</w:t>
            </w:r>
          </w:p>
          <w:p w14:paraId="2BD89F03">
            <w:pPr>
              <w:spacing w:line="560" w:lineRule="exact"/>
              <w:ind w:firstLine="480" w:firstLineChars="200"/>
              <w:rPr>
                <w:rFonts w:hint="eastAsia" w:ascii="宋体" w:hAnsi="宋体"/>
                <w:sz w:val="24"/>
                <w:szCs w:val="24"/>
              </w:rPr>
            </w:pPr>
            <w:r>
              <w:rPr>
                <w:rFonts w:hint="eastAsia" w:ascii="宋体" w:hAnsi="宋体"/>
                <w:sz w:val="24"/>
                <w:szCs w:val="24"/>
              </w:rPr>
              <w:t>1.技术进步：减速器的精度、寿命、转速等，伺服系统的控制精度、稳定性、功率质量比等，机器人本体的负载、精度、稳定性等，系统集成的自动化率、智能柔性水平、数字化率等。</w:t>
            </w:r>
          </w:p>
          <w:p w14:paraId="3058EE23">
            <w:pPr>
              <w:spacing w:line="560" w:lineRule="exact"/>
              <w:ind w:firstLine="480" w:firstLineChars="200"/>
              <w:rPr>
                <w:rFonts w:hint="eastAsia" w:ascii="宋体" w:hAnsi="宋体"/>
                <w:sz w:val="24"/>
                <w:szCs w:val="24"/>
              </w:rPr>
            </w:pPr>
            <w:r>
              <w:rPr>
                <w:rFonts w:hint="eastAsia" w:ascii="宋体" w:hAnsi="宋体"/>
                <w:sz w:val="24"/>
                <w:szCs w:val="24"/>
              </w:rPr>
              <w:t>2.业务拓展：新开拓重要客户或取得重要客户的供应商资质，在新应用领域获取重要订单的数量和金额，新建生产线试运行及正式投产情况。</w:t>
            </w:r>
          </w:p>
          <w:p w14:paraId="5EB48975">
            <w:pPr>
              <w:spacing w:line="560" w:lineRule="exact"/>
              <w:ind w:firstLine="480" w:firstLineChars="200"/>
              <w:rPr>
                <w:rFonts w:hint="eastAsia" w:ascii="宋体" w:hAnsi="宋体"/>
                <w:sz w:val="24"/>
                <w:szCs w:val="24"/>
              </w:rPr>
            </w:pPr>
            <w:r>
              <w:rPr>
                <w:rFonts w:hint="eastAsia" w:ascii="宋体" w:hAnsi="宋体"/>
                <w:sz w:val="24"/>
                <w:szCs w:val="24"/>
              </w:rPr>
              <w:t>3.下游变化：主要客户的固定资产投资、产销量、经营情况等变动，汽车、3C等重要下游行业的产业政策变化，以及前述变动对公司的具体影响。</w:t>
            </w:r>
          </w:p>
        </w:tc>
      </w:tr>
      <w:tr w14:paraId="258B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6152FCD">
            <w:pPr>
              <w:spacing w:line="560" w:lineRule="exact"/>
              <w:ind w:firstLine="482" w:firstLineChars="200"/>
              <w:rPr>
                <w:rFonts w:hint="eastAsia" w:ascii="宋体" w:hAnsi="宋体"/>
                <w:sz w:val="24"/>
                <w:szCs w:val="24"/>
              </w:rPr>
            </w:pPr>
            <w:r>
              <w:rPr>
                <w:rFonts w:hint="eastAsia" w:ascii="宋体" w:hAnsi="宋体"/>
                <w:b/>
                <w:sz w:val="24"/>
                <w:szCs w:val="24"/>
              </w:rPr>
              <w:t>软件：</w:t>
            </w:r>
            <w:r>
              <w:rPr>
                <w:rFonts w:ascii="宋体" w:hAnsi="宋体"/>
                <w:sz w:val="24"/>
                <w:szCs w:val="24"/>
              </w:rPr>
              <w:t>软件企业普遍具有细分领域较多、客户类型多样、产品升级换代速度快等特点，可以重点考虑以下行业信息：</w:t>
            </w:r>
          </w:p>
          <w:p w14:paraId="05D7A697">
            <w:pPr>
              <w:spacing w:line="560" w:lineRule="exact"/>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经营情况：采用订阅模式开展业务的，</w:t>
            </w:r>
            <w:r>
              <w:rPr>
                <w:rFonts w:hint="eastAsia" w:ascii="宋体" w:hAnsi="宋体"/>
                <w:sz w:val="24"/>
                <w:szCs w:val="24"/>
              </w:rPr>
              <w:t>可</w:t>
            </w:r>
            <w:r>
              <w:rPr>
                <w:rFonts w:ascii="宋体" w:hAnsi="宋体"/>
                <w:sz w:val="24"/>
                <w:szCs w:val="24"/>
              </w:rPr>
              <w:t>着重披露主要产品的月度活跃用户数（区分PC端与移动端）、付费月度活跃用户数（区分PC端与移动端）、客均收入、年度经常性收入等信息，及其与同行业公司相应指标的对比。采用授权模式开展业务的，</w:t>
            </w:r>
            <w:r>
              <w:rPr>
                <w:rFonts w:hint="eastAsia" w:ascii="宋体" w:hAnsi="宋体"/>
                <w:sz w:val="24"/>
                <w:szCs w:val="24"/>
              </w:rPr>
              <w:t>可</w:t>
            </w:r>
            <w:r>
              <w:rPr>
                <w:rFonts w:ascii="宋体" w:hAnsi="宋体"/>
                <w:sz w:val="24"/>
                <w:szCs w:val="24"/>
              </w:rPr>
              <w:t>着重披露主要产品授权合同的数量、平均合同单价、市场占有率、主要客户情况及其变动等信息。</w:t>
            </w:r>
          </w:p>
          <w:p w14:paraId="3D1E9D89">
            <w:pPr>
              <w:spacing w:line="560" w:lineRule="exact"/>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产品情况：新产品或原有产品新版本的功能、盈利模式、与原来产品或服务的关系及收入情况。涉及到大数据、云计算、人工智能、区块链等前沿技术的，</w:t>
            </w:r>
            <w:r>
              <w:rPr>
                <w:rFonts w:hint="eastAsia" w:ascii="宋体" w:hAnsi="宋体"/>
                <w:sz w:val="24"/>
                <w:szCs w:val="24"/>
              </w:rPr>
              <w:t>建议</w:t>
            </w:r>
            <w:r>
              <w:rPr>
                <w:rFonts w:ascii="宋体" w:hAnsi="宋体"/>
                <w:sz w:val="24"/>
                <w:szCs w:val="24"/>
              </w:rPr>
              <w:t>详细说明相关技术在公司产品的具体运用领域、发挥的功能、该产品与公司主营业务的关系、公司的技术储备、是否直接产生收入及相关收入占公司营业收入的比重等情况。</w:t>
            </w:r>
          </w:p>
          <w:p w14:paraId="5A8E70D4">
            <w:pPr>
              <w:spacing w:line="560" w:lineRule="exact"/>
              <w:ind w:firstLine="480" w:firstLineChars="200"/>
              <w:rPr>
                <w:rFonts w:hint="eastAsia" w:ascii="宋体" w:hAnsi="宋体"/>
                <w:b/>
                <w:sz w:val="30"/>
                <w:szCs w:val="30"/>
              </w:rPr>
            </w:pPr>
            <w:r>
              <w:rPr>
                <w:rFonts w:hint="eastAsia" w:ascii="宋体" w:hAnsi="宋体"/>
                <w:sz w:val="24"/>
                <w:szCs w:val="24"/>
              </w:rPr>
              <w:t>3.</w:t>
            </w:r>
            <w:r>
              <w:rPr>
                <w:rFonts w:ascii="宋体" w:hAnsi="宋体"/>
                <w:sz w:val="24"/>
                <w:szCs w:val="24"/>
              </w:rPr>
              <w:t>监管政策：知识产权保护、隐私或个人信息保护、税收优惠等方面法律法规、政策对公司业务的影响。</w:t>
            </w:r>
          </w:p>
        </w:tc>
      </w:tr>
    </w:tbl>
    <w:p w14:paraId="6B93C248">
      <w:pPr>
        <w:spacing w:line="560" w:lineRule="exact"/>
        <w:ind w:firstLine="600" w:firstLineChars="200"/>
        <w:rPr>
          <w:rFonts w:ascii="仿宋_GB2312" w:eastAsia="仿宋_GB2312"/>
          <w:sz w:val="30"/>
          <w:szCs w:val="30"/>
        </w:rPr>
      </w:pPr>
    </w:p>
    <w:p w14:paraId="1E91317B">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（三）</w:t>
      </w:r>
      <w:r>
        <w:rPr>
          <w:rFonts w:hint="eastAsia" w:ascii="仿宋_GB2312" w:eastAsia="仿宋_GB2312"/>
          <w:b/>
          <w:sz w:val="30"/>
          <w:szCs w:val="30"/>
        </w:rPr>
        <w:t>业务运营数据</w:t>
      </w:r>
    </w:p>
    <w:p w14:paraId="4323EFC2">
      <w:pPr>
        <w:spacing w:line="560" w:lineRule="exact"/>
        <w:ind w:firstLine="602" w:firstLineChars="200"/>
        <w:jc w:val="center"/>
        <w:rPr>
          <w:rFonts w:ascii="仿宋_GB2312" w:eastAsia="仿宋_GB2312"/>
          <w:b/>
          <w:sz w:val="30"/>
          <w:szCs w:val="30"/>
        </w:rPr>
      </w:pPr>
    </w:p>
    <w:p w14:paraId="54B1C888">
      <w:pPr>
        <w:spacing w:line="560" w:lineRule="exact"/>
        <w:ind w:firstLine="602" w:firstLineChars="200"/>
        <w:rPr>
          <w:rFonts w:ascii="仿宋_GB2312" w:eastAsia="仿宋_GB2312"/>
          <w:b/>
          <w:sz w:val="30"/>
          <w:szCs w:val="30"/>
        </w:rPr>
      </w:pPr>
      <w:r>
        <w:rPr>
          <w:rFonts w:hint="eastAsia" w:ascii="仿宋_GB2312" w:eastAsia="仿宋_GB2312"/>
          <w:b/>
          <w:sz w:val="30"/>
          <w:szCs w:val="30"/>
        </w:rPr>
        <w:t>衡量科技创新型公司价值的指标，与传统企业有很大的区别。科创公司定期披露业务运营数据，有助于投资者及时了解公司的生产经营情况，判断和估计公司的业务变动趋势和未来发展潜力。</w:t>
      </w:r>
    </w:p>
    <w:p w14:paraId="4366E831">
      <w:pPr>
        <w:spacing w:line="560" w:lineRule="exact"/>
        <w:ind w:firstLine="600" w:firstLineChars="200"/>
        <w:rPr>
          <w:rFonts w:ascii="仿宋_GB2312" w:eastAsia="仿宋_GB2312"/>
          <w:b/>
          <w:sz w:val="30"/>
          <w:szCs w:val="30"/>
        </w:rPr>
      </w:pPr>
      <w:r>
        <w:rPr>
          <w:rFonts w:hint="eastAsia" w:ascii="仿宋_GB2312" w:eastAsia="仿宋_GB2312"/>
          <w:sz w:val="30"/>
          <w:szCs w:val="30"/>
        </w:rPr>
        <w:t>公告内容可以考虑下列因素。</w:t>
      </w:r>
    </w:p>
    <w:p w14:paraId="5DE67106">
      <w:pPr>
        <w:pStyle w:val="66"/>
        <w:tabs>
          <w:tab w:val="left" w:pos="0"/>
          <w:tab w:val="left" w:pos="1134"/>
        </w:tabs>
        <w:spacing w:line="560" w:lineRule="exact"/>
        <w:ind w:left="600" w:firstLine="0" w:firstLineChars="0"/>
        <w:rPr>
          <w:rFonts w:ascii="仿宋_GB2312" w:eastAsia="仿宋_GB2312"/>
          <w:sz w:val="30"/>
          <w:szCs w:val="30"/>
        </w:rPr>
      </w:pPr>
      <w:r>
        <w:rPr>
          <w:rFonts w:hint="eastAsia" w:ascii="仿宋_GB2312" w:eastAsia="仿宋_GB2312"/>
          <w:sz w:val="30"/>
          <w:szCs w:val="30"/>
        </w:rPr>
        <w:t>1.定期披露。例如以月度或者季度为披露周期。</w:t>
      </w:r>
    </w:p>
    <w:p w14:paraId="6C8AC91F">
      <w:pPr>
        <w:pStyle w:val="66"/>
        <w:tabs>
          <w:tab w:val="left" w:pos="0"/>
          <w:tab w:val="left" w:pos="1134"/>
        </w:tabs>
        <w:spacing w:line="560" w:lineRule="exact"/>
        <w:ind w:firstLine="600"/>
        <w:rPr>
          <w:rFonts w:ascii="仿宋_GB2312" w:eastAsia="仿宋_GB2312"/>
          <w:sz w:val="30"/>
          <w:szCs w:val="30"/>
        </w:rPr>
      </w:pPr>
      <w:r>
        <w:rPr>
          <w:rFonts w:hint="eastAsia" w:ascii="仿宋_GB2312" w:eastAsia="仿宋_GB2312"/>
          <w:sz w:val="30"/>
          <w:szCs w:val="30"/>
        </w:rPr>
        <w:t>2.计算口径保持一致。各期业务数据指标应当保持一致的前提假设以及统计、计算依据。相关口径发生变化的，建议充分说明原因和变化前后指标之间的差异。</w:t>
      </w:r>
    </w:p>
    <w:p w14:paraId="23529137">
      <w:pPr>
        <w:pStyle w:val="66"/>
        <w:tabs>
          <w:tab w:val="left" w:pos="0"/>
          <w:tab w:val="left" w:pos="1134"/>
        </w:tabs>
        <w:spacing w:line="560" w:lineRule="exact"/>
        <w:ind w:firstLine="600"/>
        <w:rPr>
          <w:rFonts w:ascii="仿宋_GB2312" w:eastAsia="仿宋_GB2312"/>
          <w:sz w:val="30"/>
          <w:szCs w:val="30"/>
        </w:rPr>
      </w:pPr>
      <w:r>
        <w:rPr>
          <w:rFonts w:hint="eastAsia" w:ascii="仿宋_GB2312" w:eastAsia="仿宋_GB2312"/>
          <w:sz w:val="30"/>
          <w:szCs w:val="30"/>
        </w:rPr>
        <w:t>3.业务指标含义。公司应当充分考虑所属</w:t>
      </w:r>
      <w:r>
        <w:rPr>
          <w:rFonts w:ascii="仿宋_GB2312" w:eastAsia="仿宋_GB2312"/>
          <w:sz w:val="30"/>
          <w:szCs w:val="30"/>
        </w:rPr>
        <w:t>行业专业术语</w:t>
      </w:r>
      <w:r>
        <w:rPr>
          <w:rFonts w:hint="eastAsia" w:ascii="仿宋_GB2312" w:eastAsia="仿宋_GB2312"/>
          <w:sz w:val="30"/>
          <w:szCs w:val="30"/>
        </w:rPr>
        <w:t>的可理解性</w:t>
      </w:r>
      <w:r>
        <w:rPr>
          <w:rFonts w:ascii="仿宋_GB2312" w:eastAsia="仿宋_GB2312"/>
          <w:sz w:val="30"/>
          <w:szCs w:val="30"/>
        </w:rPr>
        <w:t>，</w:t>
      </w:r>
      <w:r>
        <w:rPr>
          <w:rFonts w:hint="eastAsia" w:ascii="仿宋_GB2312" w:eastAsia="仿宋_GB2312"/>
          <w:sz w:val="30"/>
          <w:szCs w:val="30"/>
        </w:rPr>
        <w:t>力求从普通投资者的角度，解释业务指标的通用含义，并考虑是否需要详细解释指标的计算依据和假定条件。</w:t>
      </w:r>
    </w:p>
    <w:p w14:paraId="3199B4A3">
      <w:pPr>
        <w:pStyle w:val="66"/>
        <w:tabs>
          <w:tab w:val="left" w:pos="0"/>
          <w:tab w:val="left" w:pos="1134"/>
        </w:tabs>
        <w:spacing w:line="560" w:lineRule="exact"/>
        <w:ind w:firstLine="600"/>
        <w:rPr>
          <w:rFonts w:ascii="仿宋_GB2312" w:eastAsia="仿宋_GB2312"/>
          <w:sz w:val="30"/>
          <w:szCs w:val="30"/>
        </w:rPr>
      </w:pPr>
      <w:r>
        <w:rPr>
          <w:rFonts w:hint="eastAsia" w:ascii="仿宋_GB2312" w:eastAsia="仿宋_GB2312"/>
          <w:sz w:val="30"/>
          <w:szCs w:val="30"/>
        </w:rPr>
        <w:t>4.数据变动及其原因。数据变动较大的，建议公司充分说明原因，并提示可能存在的风险。</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523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0B399E5">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例：自愿披露月度运营数据的公告</w:t>
            </w:r>
          </w:p>
        </w:tc>
      </w:tr>
      <w:tr w14:paraId="189B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A477FB">
            <w:pPr>
              <w:spacing w:line="560" w:lineRule="exact"/>
              <w:ind w:firstLine="480" w:firstLineChars="200"/>
              <w:rPr>
                <w:rFonts w:hint="eastAsia" w:ascii="宋体" w:hAnsi="宋体"/>
                <w:sz w:val="24"/>
                <w:szCs w:val="24"/>
              </w:rPr>
            </w:pPr>
            <w:r>
              <w:rPr>
                <w:rFonts w:hint="eastAsia" w:ascii="宋体" w:hAnsi="宋体"/>
                <w:sz w:val="24"/>
                <w:szCs w:val="24"/>
              </w:rPr>
              <w:t>互联网平台领域的公司F将月活跃用户数（MAU）和付费用户数（DAU）设为主要运营指标。F公司每季度就选定的运营指标披露下列内容：</w:t>
            </w:r>
            <w:r>
              <w:rPr>
                <w:rFonts w:ascii="宋体" w:hAnsi="宋体"/>
                <w:sz w:val="24"/>
                <w:szCs w:val="24"/>
              </w:rPr>
              <w:t>截至XX年12月30日，MAU为XX,DAU为XX,年度变动X%,季度变动X%。</w:t>
            </w:r>
            <w:r>
              <w:rPr>
                <w:rFonts w:hint="eastAsia" w:ascii="宋体" w:hAnsi="宋体"/>
                <w:sz w:val="24"/>
                <w:szCs w:val="24"/>
              </w:rPr>
              <w:t>月活跃</w:t>
            </w:r>
            <w:r>
              <w:rPr>
                <w:rFonts w:ascii="宋体" w:hAnsi="宋体"/>
                <w:sz w:val="24"/>
                <w:szCs w:val="24"/>
              </w:rPr>
              <w:t>用户数，</w:t>
            </w:r>
            <w:r>
              <w:rPr>
                <w:rFonts w:hint="eastAsia" w:ascii="宋体" w:hAnsi="宋体"/>
                <w:sz w:val="24"/>
                <w:szCs w:val="24"/>
              </w:rPr>
              <w:t>是指每月至少一次使用软件产品的用户数量。</w:t>
            </w:r>
            <w:r>
              <w:rPr>
                <w:rFonts w:ascii="宋体" w:hAnsi="宋体"/>
                <w:sz w:val="24"/>
                <w:szCs w:val="24"/>
              </w:rPr>
              <w:t>两项指标是基于在线场景进行统计，</w:t>
            </w:r>
            <w:r>
              <w:rPr>
                <w:rFonts w:hint="eastAsia" w:ascii="宋体" w:hAnsi="宋体"/>
                <w:sz w:val="24"/>
                <w:szCs w:val="24"/>
              </w:rPr>
              <w:t>公司存在多个平台的，上述数据为排重后数据。</w:t>
            </w:r>
            <w:r>
              <w:rPr>
                <w:rFonts w:ascii="宋体" w:hAnsi="宋体"/>
                <w:sz w:val="24"/>
                <w:szCs w:val="24"/>
              </w:rPr>
              <w:t>MAU和DAU大幅增长X%</w:t>
            </w:r>
            <w:r>
              <w:rPr>
                <w:rFonts w:hint="eastAsia" w:ascii="宋体" w:hAnsi="宋体"/>
                <w:sz w:val="24"/>
                <w:szCs w:val="24"/>
              </w:rPr>
              <w:t>，主要是由于</w:t>
            </w:r>
            <w:r>
              <w:rPr>
                <w:rFonts w:ascii="宋体" w:hAnsi="宋体"/>
                <w:sz w:val="24"/>
                <w:szCs w:val="24"/>
              </w:rPr>
              <w:t>短期内线上平台需求增长</w:t>
            </w:r>
            <w:r>
              <w:rPr>
                <w:rFonts w:hint="eastAsia" w:ascii="宋体" w:hAnsi="宋体"/>
                <w:sz w:val="24"/>
                <w:szCs w:val="24"/>
              </w:rPr>
              <w:t>。</w:t>
            </w:r>
            <w:r>
              <w:rPr>
                <w:rFonts w:ascii="宋体" w:hAnsi="宋体"/>
                <w:sz w:val="24"/>
                <w:szCs w:val="24"/>
              </w:rPr>
              <w:t>目前活跃用户转化为付费用户的比率较低、相关指标无法直接转化为营业收入、大幅增长情形不具有可持续性</w:t>
            </w:r>
            <w:r>
              <w:rPr>
                <w:rFonts w:hint="eastAsia" w:ascii="宋体" w:hAnsi="宋体"/>
                <w:sz w:val="24"/>
                <w:szCs w:val="24"/>
              </w:rPr>
              <w:t>，请投资者注意相关风险。</w:t>
            </w:r>
          </w:p>
        </w:tc>
      </w:tr>
    </w:tbl>
    <w:p w14:paraId="25FB5985">
      <w:pPr>
        <w:spacing w:line="560" w:lineRule="exact"/>
        <w:ind w:firstLine="600" w:firstLineChars="200"/>
        <w:rPr>
          <w:rFonts w:ascii="仿宋_GB2312" w:eastAsia="仿宋_GB2312"/>
          <w:sz w:val="30"/>
          <w:szCs w:val="30"/>
        </w:rPr>
      </w:pPr>
    </w:p>
    <w:p w14:paraId="36A60F98">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（四）</w:t>
      </w:r>
      <w:r>
        <w:rPr>
          <w:rFonts w:hint="eastAsia" w:ascii="仿宋_GB2312" w:eastAsia="仿宋_GB2312"/>
          <w:b/>
          <w:sz w:val="30"/>
          <w:szCs w:val="30"/>
        </w:rPr>
        <w:t>业务前瞻信息</w:t>
      </w:r>
    </w:p>
    <w:p w14:paraId="1BB1109D">
      <w:pPr>
        <w:spacing w:line="560" w:lineRule="exact"/>
        <w:ind w:firstLine="600" w:firstLineChars="200"/>
        <w:rPr>
          <w:rFonts w:ascii="仿宋_GB2312" w:eastAsia="仿宋_GB2312"/>
          <w:sz w:val="30"/>
          <w:szCs w:val="30"/>
        </w:rPr>
      </w:pPr>
    </w:p>
    <w:p w14:paraId="72D71B11">
      <w:pPr>
        <w:spacing w:line="560" w:lineRule="exact"/>
        <w:ind w:firstLine="602" w:firstLineChars="200"/>
        <w:rPr>
          <w:rFonts w:ascii="仿宋_GB2312" w:eastAsia="仿宋_GB2312"/>
          <w:sz w:val="30"/>
          <w:szCs w:val="30"/>
        </w:rPr>
      </w:pPr>
      <w:r>
        <w:rPr>
          <w:rFonts w:hint="eastAsia" w:ascii="仿宋_GB2312" w:eastAsia="仿宋_GB2312"/>
          <w:b/>
          <w:sz w:val="30"/>
          <w:szCs w:val="30"/>
        </w:rPr>
        <w:t>业务前瞻信息指对企业未来财务状况和经营成果的预测性信息，主要是对业务或者财务指标的定性及定量预测等，例如市场份额、现金流量、销售增长率。这些信息是公司依据现有情况作出的预期和推测，与公司未来价值相关联。</w:t>
      </w:r>
    </w:p>
    <w:p w14:paraId="413658AE">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科创公司披露业务前瞻信息，应当审慎考虑所披露信息的可靠性，所依赖的假设或者其他背景信息应当是合理的，避免让投资者产生不合理的预期。</w:t>
      </w:r>
    </w:p>
    <w:p w14:paraId="5CF4EEA4">
      <w:pPr>
        <w:spacing w:line="560" w:lineRule="exact"/>
        <w:ind w:firstLine="600" w:firstLineChars="200"/>
        <w:rPr>
          <w:rFonts w:ascii="仿宋_GB2312" w:eastAsia="仿宋_GB2312"/>
          <w:sz w:val="30"/>
          <w:szCs w:val="30"/>
        </w:rPr>
      </w:pPr>
      <w:r>
        <w:rPr>
          <w:rFonts w:hint="eastAsia" w:ascii="仿宋_GB2312" w:eastAsia="仿宋_GB2312"/>
          <w:sz w:val="30"/>
          <w:szCs w:val="30"/>
        </w:rPr>
        <w:t>公告中可以重点提示下列事项：</w:t>
      </w:r>
    </w:p>
    <w:p w14:paraId="3B73E4D7">
      <w:pPr>
        <w:spacing w:line="560" w:lineRule="exact"/>
        <w:ind w:firstLine="600" w:firstLineChars="200"/>
        <w:rPr>
          <w:rFonts w:ascii="仿宋_GB2312" w:eastAsia="仿宋_GB2312"/>
          <w:sz w:val="30"/>
          <w:szCs w:val="30"/>
        </w:rPr>
      </w:pPr>
      <w:r>
        <w:rPr>
          <w:rFonts w:hint="eastAsia" w:ascii="仿宋_GB2312" w:eastAsia="仿宋_GB2312"/>
          <w:sz w:val="30"/>
          <w:szCs w:val="30"/>
        </w:rPr>
        <w:t>1.相关信息的预测性质及存在的不确定性；</w:t>
      </w:r>
    </w:p>
    <w:p w14:paraId="681EEF15">
      <w:pPr>
        <w:spacing w:line="560" w:lineRule="exact"/>
        <w:ind w:firstLine="600" w:firstLineChars="200"/>
        <w:rPr>
          <w:rFonts w:ascii="仿宋_GB2312" w:eastAsia="仿宋_GB2312"/>
          <w:sz w:val="30"/>
          <w:szCs w:val="30"/>
        </w:rPr>
      </w:pPr>
      <w:r>
        <w:rPr>
          <w:rFonts w:hint="eastAsia" w:ascii="仿宋_GB2312" w:eastAsia="仿宋_GB2312"/>
          <w:sz w:val="30"/>
          <w:szCs w:val="30"/>
        </w:rPr>
        <w:t>2.作出相关预测所依赖的假设或者其他背景信息，及可能导致预测结果出现重大差异的因素及具体信息；</w:t>
      </w:r>
    </w:p>
    <w:p w14:paraId="05C6F6D0">
      <w:pPr>
        <w:spacing w:line="56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.投资者准确解读前瞻信息所需了解的其他信息。</w:t>
      </w:r>
    </w:p>
    <w:p w14:paraId="3CF7388B">
      <w:pPr>
        <w:spacing w:line="560" w:lineRule="exact"/>
        <w:ind w:firstLine="600" w:firstLineChars="200"/>
        <w:rPr>
          <w:rFonts w:ascii="仿宋_GB2312" w:eastAsia="仿宋_GB2312"/>
          <w:sz w:val="30"/>
          <w:szCs w:val="30"/>
        </w:rPr>
      </w:pPr>
      <w:r>
        <w:rPr>
          <w:rFonts w:hint="eastAsia" w:ascii="仿宋_GB2312" w:eastAsia="仿宋_GB2312"/>
          <w:sz w:val="30"/>
          <w:szCs w:val="30"/>
        </w:rPr>
        <w:t>如果前瞻性信息发生重大变化，或者所依赖的假设或者背景信息出现重大变化，导致前瞻信息可能发生重大变化，科创公司应当立即披露。</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F9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410210">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例：自愿披露2</w:t>
            </w:r>
            <w:r>
              <w:rPr>
                <w:rFonts w:ascii="宋体" w:hAnsi="宋体"/>
                <w:b/>
                <w:sz w:val="24"/>
                <w:szCs w:val="24"/>
              </w:rPr>
              <w:t>021年</w:t>
            </w:r>
            <w:r>
              <w:rPr>
                <w:rFonts w:hint="eastAsia" w:ascii="宋体" w:hAnsi="宋体"/>
                <w:b/>
                <w:sz w:val="24"/>
                <w:szCs w:val="24"/>
              </w:rPr>
              <w:t>甲业务</w:t>
            </w:r>
            <w:r>
              <w:rPr>
                <w:rFonts w:ascii="宋体" w:hAnsi="宋体"/>
                <w:b/>
                <w:sz w:val="24"/>
                <w:szCs w:val="24"/>
              </w:rPr>
              <w:t>销售</w:t>
            </w:r>
            <w:r>
              <w:rPr>
                <w:rFonts w:hint="eastAsia" w:ascii="宋体" w:hAnsi="宋体"/>
                <w:b/>
                <w:sz w:val="24"/>
                <w:szCs w:val="24"/>
              </w:rPr>
              <w:t>预测的</w:t>
            </w:r>
            <w:r>
              <w:rPr>
                <w:rFonts w:ascii="宋体" w:hAnsi="宋体"/>
                <w:b/>
                <w:sz w:val="24"/>
                <w:szCs w:val="24"/>
              </w:rPr>
              <w:t>公告</w:t>
            </w:r>
          </w:p>
        </w:tc>
      </w:tr>
      <w:tr w14:paraId="684C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00C70B5">
            <w:pPr>
              <w:spacing w:line="560" w:lineRule="exact"/>
              <w:ind w:firstLine="480" w:firstLineChars="200"/>
              <w:rPr>
                <w:rFonts w:hint="eastAsia" w:ascii="宋体" w:hAnsi="宋体"/>
                <w:sz w:val="24"/>
                <w:szCs w:val="24"/>
              </w:rPr>
            </w:pPr>
            <w:r>
              <w:rPr>
                <w:rFonts w:hint="eastAsia" w:ascii="宋体" w:hAnsi="宋体"/>
                <w:sz w:val="24"/>
                <w:szCs w:val="24"/>
              </w:rPr>
              <w:t>甲业务为新材料公司M的重点发展业务，M公司自愿提供甲</w:t>
            </w:r>
            <w:r>
              <w:rPr>
                <w:rFonts w:ascii="宋体" w:hAnsi="宋体"/>
                <w:sz w:val="24"/>
                <w:szCs w:val="24"/>
              </w:rPr>
              <w:t>业务运营近况</w:t>
            </w:r>
            <w:r>
              <w:rPr>
                <w:rFonts w:hint="eastAsia" w:ascii="宋体" w:hAnsi="宋体"/>
                <w:sz w:val="24"/>
                <w:szCs w:val="24"/>
              </w:rPr>
              <w:t>，公司在公告中重点披露：基于对2021年5</w:t>
            </w:r>
            <w:r>
              <w:rPr>
                <w:rFonts w:ascii="宋体" w:hAnsi="宋体"/>
                <w:sz w:val="24"/>
                <w:szCs w:val="24"/>
              </w:rPr>
              <w:t>G</w:t>
            </w:r>
            <w:r>
              <w:rPr>
                <w:rFonts w:hint="eastAsia" w:ascii="宋体" w:hAnsi="宋体"/>
                <w:sz w:val="24"/>
                <w:szCs w:val="24"/>
              </w:rPr>
              <w:t>材料国产化</w:t>
            </w:r>
            <w:r>
              <w:rPr>
                <w:rFonts w:ascii="宋体" w:hAnsi="宋体"/>
                <w:sz w:val="24"/>
                <w:szCs w:val="24"/>
              </w:rPr>
              <w:t>需求</w:t>
            </w:r>
            <w:r>
              <w:rPr>
                <w:rFonts w:hint="eastAsia" w:ascii="宋体" w:hAnsi="宋体"/>
                <w:sz w:val="24"/>
                <w:szCs w:val="24"/>
              </w:rPr>
              <w:t>的预判</w:t>
            </w:r>
            <w:r>
              <w:rPr>
                <w:rFonts w:ascii="宋体" w:hAnsi="宋体"/>
                <w:sz w:val="24"/>
                <w:szCs w:val="24"/>
              </w:rPr>
              <w:t>和本公司</w:t>
            </w:r>
            <w:r>
              <w:rPr>
                <w:rFonts w:hint="eastAsia" w:ascii="宋体" w:hAnsi="宋体"/>
                <w:sz w:val="24"/>
                <w:szCs w:val="24"/>
              </w:rPr>
              <w:t>在手订单金额，董事会预计甲业务2021年销售金额可达到4亿元</w:t>
            </w:r>
            <w:r>
              <w:rPr>
                <w:rFonts w:ascii="宋体" w:hAnsi="宋体"/>
                <w:sz w:val="24"/>
                <w:szCs w:val="24"/>
              </w:rPr>
              <w:t>人民币</w:t>
            </w:r>
            <w:r>
              <w:rPr>
                <w:rFonts w:hint="eastAsia" w:ascii="宋体" w:hAnsi="宋体"/>
                <w:sz w:val="24"/>
                <w:szCs w:val="24"/>
              </w:rPr>
              <w:t>，</w:t>
            </w:r>
            <w:r>
              <w:rPr>
                <w:rFonts w:ascii="宋体" w:hAnsi="宋体"/>
                <w:sz w:val="24"/>
                <w:szCs w:val="24"/>
              </w:rPr>
              <w:t>相比</w:t>
            </w:r>
            <w:r>
              <w:rPr>
                <w:rFonts w:hint="eastAsia" w:ascii="宋体" w:hAnsi="宋体"/>
                <w:sz w:val="24"/>
                <w:szCs w:val="24"/>
              </w:rPr>
              <w:t>2020年</w:t>
            </w:r>
            <w:r>
              <w:rPr>
                <w:rFonts w:ascii="宋体" w:hAnsi="宋体"/>
                <w:sz w:val="24"/>
                <w:szCs w:val="24"/>
              </w:rPr>
              <w:t>增长</w:t>
            </w:r>
            <w:r>
              <w:rPr>
                <w:rFonts w:hint="eastAsia" w:ascii="宋体" w:hAnsi="宋体"/>
                <w:sz w:val="24"/>
                <w:szCs w:val="24"/>
              </w:rPr>
              <w:t>10</w:t>
            </w:r>
            <w:r>
              <w:rPr>
                <w:rFonts w:ascii="宋体" w:hAnsi="宋体"/>
                <w:sz w:val="24"/>
                <w:szCs w:val="24"/>
              </w:rPr>
              <w:t>%</w:t>
            </w:r>
            <w:r>
              <w:rPr>
                <w:rFonts w:hint="eastAsia" w:ascii="宋体" w:hAnsi="宋体"/>
                <w:sz w:val="24"/>
                <w:szCs w:val="24"/>
              </w:rPr>
              <w:t>；该增长预期</w:t>
            </w:r>
            <w:r>
              <w:rPr>
                <w:rFonts w:ascii="宋体" w:hAnsi="宋体"/>
                <w:sz w:val="24"/>
                <w:szCs w:val="24"/>
              </w:rPr>
              <w:t>基于本公司</w:t>
            </w:r>
            <w:r>
              <w:rPr>
                <w:rFonts w:hint="eastAsia" w:ascii="宋体" w:hAnsi="宋体"/>
                <w:sz w:val="24"/>
                <w:szCs w:val="24"/>
              </w:rPr>
              <w:t>募投</w:t>
            </w:r>
            <w:r>
              <w:rPr>
                <w:rFonts w:ascii="宋体" w:hAnsi="宋体"/>
                <w:sz w:val="24"/>
                <w:szCs w:val="24"/>
              </w:rPr>
              <w:t>项目顺利</w:t>
            </w:r>
            <w:r>
              <w:rPr>
                <w:rFonts w:hint="eastAsia" w:ascii="宋体" w:hAnsi="宋体"/>
                <w:sz w:val="24"/>
                <w:szCs w:val="24"/>
              </w:rPr>
              <w:t>建成投产、在手订单顺利执行；上述预计</w:t>
            </w:r>
            <w:r>
              <w:rPr>
                <w:rFonts w:ascii="宋体" w:hAnsi="宋体"/>
                <w:sz w:val="24"/>
                <w:szCs w:val="24"/>
              </w:rPr>
              <w:t>销售</w:t>
            </w:r>
            <w:r>
              <w:rPr>
                <w:rFonts w:hint="eastAsia" w:ascii="宋体" w:hAnsi="宋体"/>
                <w:sz w:val="24"/>
                <w:szCs w:val="24"/>
              </w:rPr>
              <w:t>金额乃根据现时可获数据及目前对本公司甲业务未来业绩及销售的评估而作出</w:t>
            </w:r>
            <w:r>
              <w:rPr>
                <w:rFonts w:ascii="宋体" w:hAnsi="宋体"/>
                <w:sz w:val="24"/>
                <w:szCs w:val="24"/>
              </w:rPr>
              <w:t>，</w:t>
            </w:r>
            <w:r>
              <w:rPr>
                <w:rFonts w:hint="eastAsia" w:ascii="宋体" w:hAnsi="宋体"/>
                <w:sz w:val="24"/>
                <w:szCs w:val="24"/>
              </w:rPr>
              <w:t>并不代表本公司总收益或财务表现的全面情况，也不代表公司对未来业绩的承诺，所披露的数据可能会予以修改及调整。</w:t>
            </w:r>
          </w:p>
        </w:tc>
      </w:tr>
    </w:tbl>
    <w:p w14:paraId="5C2D8AC4">
      <w:pPr>
        <w:spacing w:line="560" w:lineRule="exact"/>
        <w:ind w:firstLine="600" w:firstLineChars="200"/>
        <w:rPr>
          <w:rFonts w:ascii="仿宋_GB2312" w:eastAsia="仿宋_GB2312"/>
          <w:sz w:val="30"/>
          <w:szCs w:val="30"/>
        </w:rPr>
      </w:pPr>
    </w:p>
    <w:p w14:paraId="5A316528">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（五）</w:t>
      </w:r>
      <w:r>
        <w:rPr>
          <w:rFonts w:hint="eastAsia" w:ascii="仿宋_GB2312" w:eastAsia="仿宋_GB2312"/>
          <w:b/>
          <w:sz w:val="30"/>
          <w:szCs w:val="30"/>
        </w:rPr>
        <w:t>盈利预测</w:t>
      </w:r>
    </w:p>
    <w:p w14:paraId="34029536">
      <w:pPr>
        <w:spacing w:line="560" w:lineRule="exact"/>
        <w:ind w:firstLine="600" w:firstLineChars="200"/>
        <w:rPr>
          <w:rFonts w:ascii="仿宋_GB2312" w:eastAsia="仿宋_GB2312"/>
          <w:sz w:val="30"/>
          <w:szCs w:val="30"/>
        </w:rPr>
      </w:pPr>
    </w:p>
    <w:p w14:paraId="6222FEC0">
      <w:pPr>
        <w:spacing w:line="560" w:lineRule="exact"/>
        <w:ind w:firstLine="602" w:firstLineChars="200"/>
        <w:rPr>
          <w:rFonts w:ascii="仿宋_GB2312" w:eastAsia="仿宋_GB2312"/>
          <w:b/>
          <w:sz w:val="30"/>
          <w:szCs w:val="30"/>
        </w:rPr>
      </w:pPr>
      <w:r>
        <w:rPr>
          <w:rFonts w:hint="eastAsia" w:ascii="仿宋_GB2312" w:eastAsia="仿宋_GB2312"/>
          <w:b/>
          <w:sz w:val="30"/>
          <w:szCs w:val="30"/>
        </w:rPr>
        <w:t>盈利预测指科创公司提供的关于未来财务盈亏水平的预测信息，例如收购资产项目中对标的资产所做的盈利预测、对公司或者某个重要子公司在下一会计期间的盈亏金额进行的预测等。这里所说的盈利预测不包括公司对已期满会计期间作出的盈亏估计，该类估计应当遵守业绩预告、业绩快报相关规定。</w:t>
      </w:r>
    </w:p>
    <w:p w14:paraId="7393E630">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科创公司披露盈利预测的，除应当按照业务前瞻信息的要求进行披露外，还应当征询年审会计师的意见。法律规则对盈利预测有其他披露要求的，科创公司应当遵守相关法律规则。</w:t>
      </w:r>
    </w:p>
    <w:p w14:paraId="0BF2A27F">
      <w:pPr>
        <w:spacing w:line="560" w:lineRule="exact"/>
        <w:ind w:firstLine="600" w:firstLineChars="200"/>
        <w:rPr>
          <w:rFonts w:ascii="仿宋_GB2312" w:eastAsia="仿宋_GB2312"/>
          <w:sz w:val="30"/>
          <w:szCs w:val="30"/>
        </w:rPr>
      </w:pPr>
      <w:r>
        <w:rPr>
          <w:rFonts w:hint="eastAsia" w:ascii="仿宋_GB2312" w:eastAsia="仿宋_GB2312"/>
          <w:sz w:val="30"/>
          <w:szCs w:val="30"/>
        </w:rPr>
        <w:t>预测期间结束的，科创公司应当披露盈利预测实现情况。最终实现的财务数据和指标差异幅度超过20%的，公司应当披露差异原因。如果盈利预测期间发生可能导致该项盈利预测所依据的假设或者信息出现重大改变的事项，科创公司应当立即披露该等事项及对盈利预测的影响。</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4B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509AB4">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例：自愿披露某业务XX年盈利预测的</w:t>
            </w:r>
            <w:r>
              <w:rPr>
                <w:rFonts w:ascii="宋体" w:hAnsi="宋体"/>
                <w:b/>
                <w:sz w:val="24"/>
                <w:szCs w:val="24"/>
              </w:rPr>
              <w:t>公告</w:t>
            </w:r>
          </w:p>
        </w:tc>
      </w:tr>
      <w:tr w14:paraId="7DB6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660EDC">
            <w:pPr>
              <w:spacing w:line="560" w:lineRule="exact"/>
              <w:ind w:firstLine="480" w:firstLineChars="200"/>
              <w:rPr>
                <w:rFonts w:hint="eastAsia" w:ascii="宋体" w:hAnsi="宋体"/>
                <w:sz w:val="24"/>
                <w:szCs w:val="24"/>
              </w:rPr>
            </w:pPr>
            <w:r>
              <w:rPr>
                <w:rFonts w:hint="eastAsia" w:ascii="宋体" w:hAnsi="宋体"/>
                <w:sz w:val="24"/>
                <w:szCs w:val="24"/>
              </w:rPr>
              <w:t>物联网公司C就重要子公司甲披露</w:t>
            </w:r>
            <w:r>
              <w:rPr>
                <w:rFonts w:ascii="宋体" w:hAnsi="宋体"/>
                <w:sz w:val="24"/>
                <w:szCs w:val="24"/>
              </w:rPr>
              <w:t>盈利预测</w:t>
            </w:r>
            <w:r>
              <w:rPr>
                <w:rFonts w:hint="eastAsia" w:ascii="宋体" w:hAnsi="宋体"/>
                <w:sz w:val="24"/>
                <w:szCs w:val="24"/>
              </w:rPr>
              <w:t>，公司在公告中重点披露：预计甲公司下一年度归母</w:t>
            </w:r>
            <w:r>
              <w:rPr>
                <w:rFonts w:ascii="宋体" w:hAnsi="宋体"/>
                <w:sz w:val="24"/>
                <w:szCs w:val="24"/>
              </w:rPr>
              <w:t>净利润</w:t>
            </w:r>
            <w:r>
              <w:rPr>
                <w:rFonts w:hint="eastAsia" w:ascii="宋体" w:hAnsi="宋体"/>
                <w:sz w:val="24"/>
                <w:szCs w:val="24"/>
              </w:rPr>
              <w:t>增长</w:t>
            </w:r>
            <w:r>
              <w:rPr>
                <w:rFonts w:ascii="宋体" w:hAnsi="宋体"/>
                <w:sz w:val="24"/>
                <w:szCs w:val="24"/>
              </w:rPr>
              <w:t>不少于50%</w:t>
            </w:r>
            <w:r>
              <w:rPr>
                <w:rFonts w:hint="eastAsia" w:ascii="宋体" w:hAnsi="宋体"/>
                <w:sz w:val="24"/>
                <w:szCs w:val="24"/>
              </w:rPr>
              <w:t>，将达到3000万元；该项盈利预测是基于在手订单金额、预计完成订单时间及收入确认时点等当前所获资料的初步评估，大幅增长</w:t>
            </w:r>
            <w:r>
              <w:rPr>
                <w:rFonts w:ascii="宋体" w:hAnsi="宋体"/>
                <w:sz w:val="24"/>
                <w:szCs w:val="24"/>
              </w:rPr>
              <w:t>主要由于客户对信息科技基础设施解决方案的需求上升、</w:t>
            </w:r>
            <w:r>
              <w:rPr>
                <w:rFonts w:hint="eastAsia" w:ascii="宋体" w:hAnsi="宋体"/>
                <w:sz w:val="24"/>
                <w:szCs w:val="24"/>
              </w:rPr>
              <w:t>公司</w:t>
            </w:r>
            <w:r>
              <w:rPr>
                <w:rFonts w:ascii="宋体" w:hAnsi="宋体"/>
                <w:sz w:val="24"/>
                <w:szCs w:val="24"/>
              </w:rPr>
              <w:t>改善销售组合以及积极向供货商争取更优惠条款</w:t>
            </w:r>
            <w:r>
              <w:rPr>
                <w:rFonts w:hint="eastAsia" w:ascii="宋体" w:hAnsi="宋体"/>
                <w:sz w:val="24"/>
                <w:szCs w:val="24"/>
              </w:rPr>
              <w:t>；本次盈利预测的基本假设包括预测期内经济形势无重大变化、行业政策不会发生重大改变、各项业务合同能够顺利推进，无重大争议或纠纷，否则该盈利预测的准确性会受到影响。目前在手订单均按计划履行，不存在取消订单或者进度延迟的情形。经征询会计师意见，本次作出的盈利预测是依据管理层确定的假设恰当编制。</w:t>
            </w:r>
          </w:p>
          <w:p w14:paraId="2754DD33">
            <w:pPr>
              <w:spacing w:line="560" w:lineRule="exact"/>
              <w:ind w:firstLine="480" w:firstLineChars="200"/>
              <w:rPr>
                <w:rFonts w:hint="eastAsia" w:ascii="宋体" w:hAnsi="宋体"/>
                <w:sz w:val="24"/>
                <w:szCs w:val="24"/>
              </w:rPr>
            </w:pPr>
            <w:r>
              <w:rPr>
                <w:rFonts w:hint="eastAsia" w:ascii="宋体" w:hAnsi="宋体"/>
                <w:sz w:val="24"/>
                <w:szCs w:val="24"/>
              </w:rPr>
              <w:t>公司所作的盈利预测已经综合考虑各方因素，但预测所依据的各种假设具有不确定性，投资者进行投资决策不应过分依赖预测资料。</w:t>
            </w:r>
          </w:p>
        </w:tc>
      </w:tr>
    </w:tbl>
    <w:p w14:paraId="634E2965">
      <w:pPr>
        <w:spacing w:line="560" w:lineRule="exact"/>
        <w:ind w:firstLine="600" w:firstLineChars="200"/>
        <w:rPr>
          <w:rFonts w:ascii="仿宋_GB2312" w:eastAsia="仿宋_GB2312"/>
          <w:sz w:val="30"/>
          <w:szCs w:val="30"/>
        </w:rPr>
      </w:pPr>
    </w:p>
    <w:p w14:paraId="4896EDD2">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（六）</w:t>
      </w:r>
      <w:r>
        <w:rPr>
          <w:rFonts w:hint="eastAsia" w:ascii="仿宋_GB2312" w:eastAsia="仿宋_GB2312"/>
          <w:b/>
          <w:sz w:val="30"/>
          <w:szCs w:val="30"/>
        </w:rPr>
        <w:t>研发及其进展</w:t>
      </w:r>
    </w:p>
    <w:p w14:paraId="612E5ADE">
      <w:pPr>
        <w:spacing w:line="560" w:lineRule="exact"/>
        <w:ind w:firstLine="602" w:firstLineChars="200"/>
        <w:jc w:val="center"/>
        <w:rPr>
          <w:rFonts w:ascii="仿宋_GB2312" w:eastAsia="仿宋_GB2312"/>
          <w:b/>
          <w:sz w:val="30"/>
          <w:szCs w:val="30"/>
        </w:rPr>
      </w:pPr>
    </w:p>
    <w:p w14:paraId="4A60DEB9">
      <w:pPr>
        <w:pStyle w:val="66"/>
        <w:spacing w:line="560" w:lineRule="exact"/>
        <w:ind w:firstLine="602"/>
        <w:rPr>
          <w:rFonts w:ascii="仿宋_GB2312" w:eastAsia="仿宋_GB2312"/>
          <w:b/>
          <w:sz w:val="30"/>
          <w:szCs w:val="30"/>
        </w:rPr>
      </w:pPr>
      <w:r>
        <w:rPr>
          <w:rFonts w:hint="eastAsia" w:ascii="仿宋_GB2312" w:eastAsia="仿宋_GB2312"/>
          <w:b/>
          <w:sz w:val="30"/>
          <w:szCs w:val="30"/>
        </w:rPr>
        <w:t>研发及其进展公告主要涉及在研产品或项目研发情况及其进展，披露重点是帮助投资者了解公司拟开展研发项目的具体情况，知悉在研项目的具体进展，以便于投资者判断研发项目价值及潜在风险，评估公司的研发实力和业务增长潜力。</w:t>
      </w:r>
    </w:p>
    <w:p w14:paraId="014D4484">
      <w:pPr>
        <w:pStyle w:val="66"/>
        <w:spacing w:line="560" w:lineRule="exact"/>
        <w:ind w:firstLine="600"/>
        <w:rPr>
          <w:rFonts w:ascii="仿宋_GB2312" w:eastAsia="仿宋_GB2312"/>
          <w:sz w:val="30"/>
          <w:szCs w:val="30"/>
        </w:rPr>
      </w:pPr>
      <w:r>
        <w:rPr>
          <w:rFonts w:hint="eastAsia" w:ascii="仿宋_GB2312" w:eastAsia="仿宋_GB2312"/>
          <w:sz w:val="30"/>
          <w:szCs w:val="30"/>
        </w:rPr>
        <w:t>研发项目通常分为技术研发（在研技术最终用于提高现有产品或者业务竞争力）和产品研发（在研技术最终将形成新的产品或者服务），公告内容可以考虑下列因素：</w:t>
      </w:r>
    </w:p>
    <w:p w14:paraId="0C4A1F3F">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1.研发的基本情况。</w:t>
      </w:r>
      <w:r>
        <w:rPr>
          <w:rFonts w:ascii="仿宋_GB2312" w:eastAsia="仿宋_GB2312"/>
          <w:sz w:val="30"/>
          <w:szCs w:val="30"/>
        </w:rPr>
        <w:t>除了研发项目名称</w:t>
      </w:r>
      <w:r>
        <w:rPr>
          <w:rFonts w:hint="eastAsia" w:ascii="仿宋_GB2312" w:eastAsia="仿宋_GB2312"/>
          <w:sz w:val="30"/>
          <w:szCs w:val="30"/>
        </w:rPr>
        <w:t>、</w:t>
      </w:r>
      <w:r>
        <w:rPr>
          <w:rFonts w:ascii="仿宋_GB2312" w:eastAsia="仿宋_GB2312"/>
          <w:sz w:val="30"/>
          <w:szCs w:val="30"/>
        </w:rPr>
        <w:t>用途等一般性信息，公司</w:t>
      </w:r>
      <w:r>
        <w:rPr>
          <w:rFonts w:hint="eastAsia" w:ascii="仿宋_GB2312" w:eastAsia="仿宋_GB2312"/>
          <w:sz w:val="30"/>
          <w:szCs w:val="30"/>
        </w:rPr>
        <w:t>可以</w:t>
      </w:r>
      <w:r>
        <w:rPr>
          <w:rFonts w:ascii="仿宋_GB2312" w:eastAsia="仿宋_GB2312"/>
          <w:sz w:val="30"/>
          <w:szCs w:val="30"/>
        </w:rPr>
        <w:t>结合研发项目对</w:t>
      </w:r>
      <w:r>
        <w:rPr>
          <w:rFonts w:hint="eastAsia" w:ascii="仿宋_GB2312" w:eastAsia="仿宋_GB2312"/>
          <w:sz w:val="30"/>
          <w:szCs w:val="30"/>
        </w:rPr>
        <w:t>公司</w:t>
      </w:r>
      <w:r>
        <w:rPr>
          <w:rFonts w:ascii="仿宋_GB2312" w:eastAsia="仿宋_GB2312"/>
          <w:sz w:val="30"/>
          <w:szCs w:val="30"/>
        </w:rPr>
        <w:t>现有产品</w:t>
      </w:r>
      <w:r>
        <w:rPr>
          <w:rFonts w:hint="eastAsia" w:ascii="仿宋_GB2312" w:eastAsia="仿宋_GB2312"/>
          <w:sz w:val="30"/>
          <w:szCs w:val="30"/>
        </w:rPr>
        <w:t>及</w:t>
      </w:r>
      <w:r>
        <w:rPr>
          <w:rFonts w:ascii="仿宋_GB2312" w:eastAsia="仿宋_GB2312"/>
          <w:sz w:val="30"/>
          <w:szCs w:val="30"/>
        </w:rPr>
        <w:t>业务</w:t>
      </w:r>
      <w:r>
        <w:rPr>
          <w:rFonts w:hint="eastAsia" w:ascii="仿宋_GB2312" w:eastAsia="仿宋_GB2312"/>
          <w:sz w:val="30"/>
          <w:szCs w:val="30"/>
        </w:rPr>
        <w:t>的</w:t>
      </w:r>
      <w:r>
        <w:rPr>
          <w:rFonts w:ascii="仿宋_GB2312" w:eastAsia="仿宋_GB2312"/>
          <w:sz w:val="30"/>
          <w:szCs w:val="30"/>
        </w:rPr>
        <w:t>可能改进</w:t>
      </w:r>
      <w:r>
        <w:rPr>
          <w:rFonts w:hint="eastAsia" w:ascii="仿宋_GB2312" w:eastAsia="仿宋_GB2312"/>
          <w:sz w:val="30"/>
          <w:szCs w:val="30"/>
        </w:rPr>
        <w:t>、</w:t>
      </w:r>
      <w:r>
        <w:rPr>
          <w:rFonts w:ascii="仿宋_GB2312" w:eastAsia="仿宋_GB2312"/>
          <w:sz w:val="30"/>
          <w:szCs w:val="30"/>
        </w:rPr>
        <w:t>目标市场及竞争</w:t>
      </w:r>
      <w:r>
        <w:rPr>
          <w:rFonts w:hint="eastAsia" w:ascii="仿宋_GB2312" w:eastAsia="仿宋_GB2312"/>
          <w:sz w:val="30"/>
          <w:szCs w:val="30"/>
        </w:rPr>
        <w:t>格局，说明</w:t>
      </w:r>
      <w:r>
        <w:rPr>
          <w:rFonts w:ascii="仿宋_GB2312" w:eastAsia="仿宋_GB2312"/>
          <w:sz w:val="30"/>
          <w:szCs w:val="30"/>
        </w:rPr>
        <w:t>研发的</w:t>
      </w:r>
      <w:r>
        <w:rPr>
          <w:rFonts w:hint="eastAsia" w:ascii="仿宋_GB2312" w:eastAsia="仿宋_GB2312"/>
          <w:sz w:val="30"/>
          <w:szCs w:val="30"/>
        </w:rPr>
        <w:t>主要目标，其中：</w:t>
      </w:r>
    </w:p>
    <w:p w14:paraId="129D7C92">
      <w:pPr>
        <w:pStyle w:val="66"/>
        <w:numPr>
          <w:ilvl w:val="0"/>
          <w:numId w:val="0"/>
        </w:numPr>
        <w:tabs>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（1）</w:t>
      </w:r>
      <w:r>
        <w:rPr>
          <w:rFonts w:hint="eastAsia" w:ascii="仿宋_GB2312" w:eastAsia="仿宋_GB2312"/>
          <w:sz w:val="30"/>
          <w:szCs w:val="30"/>
        </w:rPr>
        <w:t>自愿披露技术研发公告的，侧重于在研技术对公司产品或者服务的改进、在研技术相比现有技术的先进性等。</w:t>
      </w:r>
    </w:p>
    <w:p w14:paraId="3EC0B35C">
      <w:pPr>
        <w:pStyle w:val="66"/>
        <w:numPr>
          <w:ilvl w:val="0"/>
          <w:numId w:val="0"/>
        </w:numPr>
        <w:tabs>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（2）</w:t>
      </w:r>
      <w:r>
        <w:rPr>
          <w:rFonts w:hint="eastAsia" w:ascii="仿宋_GB2312" w:eastAsia="仿宋_GB2312"/>
          <w:sz w:val="30"/>
          <w:szCs w:val="30"/>
        </w:rPr>
        <w:t>自愿披露产品研发公告的，侧重于在研产品或者服务的市场前景、与现有同类产品的比较优势等。</w:t>
      </w:r>
    </w:p>
    <w:p w14:paraId="01ADA91B">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2.研发的可行性。一般</w:t>
      </w:r>
      <w:r>
        <w:rPr>
          <w:rFonts w:ascii="仿宋_GB2312" w:eastAsia="仿宋_GB2312"/>
          <w:sz w:val="30"/>
          <w:szCs w:val="30"/>
        </w:rPr>
        <w:t>投资者往往</w:t>
      </w:r>
      <w:r>
        <w:rPr>
          <w:rFonts w:hint="eastAsia" w:ascii="仿宋_GB2312" w:eastAsia="仿宋_GB2312"/>
          <w:sz w:val="30"/>
          <w:szCs w:val="30"/>
        </w:rPr>
        <w:t>不具备相关</w:t>
      </w:r>
      <w:r>
        <w:rPr>
          <w:rFonts w:ascii="仿宋_GB2312" w:eastAsia="仿宋_GB2312"/>
          <w:sz w:val="30"/>
          <w:szCs w:val="30"/>
        </w:rPr>
        <w:t>行业的专业能力，</w:t>
      </w:r>
      <w:r>
        <w:rPr>
          <w:rFonts w:hint="eastAsia" w:ascii="仿宋_GB2312" w:eastAsia="仿宋_GB2312"/>
          <w:sz w:val="30"/>
          <w:szCs w:val="30"/>
        </w:rPr>
        <w:t>仅</w:t>
      </w:r>
      <w:r>
        <w:rPr>
          <w:rFonts w:ascii="仿宋_GB2312" w:eastAsia="仿宋_GB2312"/>
          <w:sz w:val="30"/>
          <w:szCs w:val="30"/>
        </w:rPr>
        <w:t>通过披露研发基本情况，难以判断</w:t>
      </w:r>
      <w:r>
        <w:rPr>
          <w:rFonts w:hint="eastAsia" w:ascii="仿宋_GB2312" w:eastAsia="仿宋_GB2312"/>
          <w:sz w:val="30"/>
          <w:szCs w:val="30"/>
        </w:rPr>
        <w:t>研发</w:t>
      </w:r>
      <w:r>
        <w:rPr>
          <w:rFonts w:ascii="仿宋_GB2312" w:eastAsia="仿宋_GB2312"/>
          <w:sz w:val="30"/>
          <w:szCs w:val="30"/>
        </w:rPr>
        <w:t>项目的潜力及可行性</w:t>
      </w:r>
      <w:r>
        <w:rPr>
          <w:rFonts w:hint="eastAsia" w:ascii="仿宋_GB2312" w:eastAsia="仿宋_GB2312"/>
          <w:sz w:val="30"/>
          <w:szCs w:val="30"/>
        </w:rPr>
        <w:t>，因而难以</w:t>
      </w:r>
      <w:r>
        <w:rPr>
          <w:rFonts w:ascii="仿宋_GB2312" w:eastAsia="仿宋_GB2312"/>
          <w:sz w:val="30"/>
          <w:szCs w:val="30"/>
        </w:rPr>
        <w:t>评估研发对公司的</w:t>
      </w:r>
      <w:r>
        <w:rPr>
          <w:rFonts w:hint="eastAsia" w:ascii="仿宋_GB2312" w:eastAsia="仿宋_GB2312"/>
          <w:sz w:val="30"/>
          <w:szCs w:val="30"/>
        </w:rPr>
        <w:t>实际</w:t>
      </w:r>
      <w:r>
        <w:rPr>
          <w:rFonts w:ascii="仿宋_GB2312" w:eastAsia="仿宋_GB2312"/>
          <w:sz w:val="30"/>
          <w:szCs w:val="30"/>
        </w:rPr>
        <w:t>影响</w:t>
      </w:r>
      <w:r>
        <w:rPr>
          <w:rFonts w:hint="eastAsia" w:ascii="仿宋_GB2312" w:eastAsia="仿宋_GB2312"/>
          <w:sz w:val="30"/>
          <w:szCs w:val="30"/>
        </w:rPr>
        <w:t>，</w:t>
      </w:r>
      <w:r>
        <w:rPr>
          <w:rFonts w:ascii="仿宋_GB2312" w:eastAsia="仿宋_GB2312"/>
          <w:sz w:val="30"/>
          <w:szCs w:val="30"/>
        </w:rPr>
        <w:t>因此，公司</w:t>
      </w:r>
      <w:r>
        <w:rPr>
          <w:rFonts w:hint="eastAsia" w:ascii="仿宋_GB2312" w:eastAsia="仿宋_GB2312"/>
          <w:sz w:val="30"/>
          <w:szCs w:val="30"/>
        </w:rPr>
        <w:t>可以从以下方面，</w:t>
      </w:r>
      <w:r>
        <w:rPr>
          <w:rFonts w:ascii="仿宋_GB2312" w:eastAsia="仿宋_GB2312"/>
          <w:sz w:val="30"/>
          <w:szCs w:val="30"/>
        </w:rPr>
        <w:t>披露研发的可行性</w:t>
      </w:r>
      <w:r>
        <w:rPr>
          <w:rFonts w:hint="eastAsia" w:ascii="仿宋_GB2312" w:eastAsia="仿宋_GB2312"/>
          <w:sz w:val="30"/>
          <w:szCs w:val="30"/>
        </w:rPr>
        <w:t>：</w:t>
      </w:r>
    </w:p>
    <w:p w14:paraId="7E3D0FFA">
      <w:pPr>
        <w:pStyle w:val="66"/>
        <w:numPr>
          <w:ilvl w:val="0"/>
          <w:numId w:val="0"/>
        </w:numPr>
        <w:tabs>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（1）</w:t>
      </w:r>
      <w:r>
        <w:rPr>
          <w:rFonts w:hint="eastAsia" w:ascii="仿宋_GB2312" w:eastAsia="仿宋_GB2312"/>
          <w:sz w:val="30"/>
          <w:szCs w:val="30"/>
        </w:rPr>
        <w:t>技术、资金、人员等必要研发资源的准备及投入情况。</w:t>
      </w:r>
    </w:p>
    <w:p w14:paraId="079AD93F">
      <w:pPr>
        <w:pStyle w:val="66"/>
        <w:numPr>
          <w:ilvl w:val="0"/>
          <w:numId w:val="0"/>
        </w:numPr>
        <w:tabs>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（2）</w:t>
      </w:r>
      <w:r>
        <w:rPr>
          <w:rFonts w:hint="eastAsia" w:ascii="仿宋_GB2312" w:eastAsia="仿宋_GB2312"/>
          <w:sz w:val="30"/>
          <w:szCs w:val="30"/>
        </w:rPr>
        <w:t>当前研发进展。例如，生物医药公司在披露其在研新药研发项目时，可以披露其所处阶段、该阶段主要目标、无需保密且有意义的研究数据等。</w:t>
      </w:r>
    </w:p>
    <w:p w14:paraId="5A8CEDD2">
      <w:pPr>
        <w:pStyle w:val="66"/>
        <w:numPr>
          <w:ilvl w:val="0"/>
          <w:numId w:val="0"/>
        </w:numPr>
        <w:tabs>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（3）</w:t>
      </w:r>
      <w:r>
        <w:rPr>
          <w:rFonts w:hint="eastAsia" w:ascii="仿宋_GB2312" w:eastAsia="仿宋_GB2312"/>
          <w:sz w:val="30"/>
          <w:szCs w:val="30"/>
        </w:rPr>
        <w:t>在研技术投入应用，在研产品生产及商业化尚需经过的阶段及程序。例如生物医药公司在其研发公告中，说明在研药物完成研发至商业化尚需经过的研发阶段、审批程序、成功率等。</w:t>
      </w:r>
    </w:p>
    <w:p w14:paraId="6B8C8A5F">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3.必要的风险提示。考虑到研发通常存在很大不确定性，建议公司结合历史研发成功率、同行业的研发进展情况、商业化运营前须经过的关键节点等事项，向投资者提示可能存在的失败风险。</w:t>
      </w:r>
    </w:p>
    <w:p w14:paraId="09A54CBC">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4.研发对公司的影响。科创公司可以结合</w:t>
      </w:r>
      <w:r>
        <w:rPr>
          <w:rFonts w:ascii="仿宋_GB2312" w:eastAsia="仿宋_GB2312"/>
          <w:sz w:val="30"/>
          <w:szCs w:val="30"/>
        </w:rPr>
        <w:t>研发阶段、商业化前景</w:t>
      </w:r>
      <w:r>
        <w:rPr>
          <w:rFonts w:hint="eastAsia" w:ascii="仿宋_GB2312" w:eastAsia="仿宋_GB2312"/>
          <w:sz w:val="30"/>
          <w:szCs w:val="30"/>
        </w:rPr>
        <w:t>、</w:t>
      </w:r>
      <w:r>
        <w:rPr>
          <w:rFonts w:ascii="仿宋_GB2312" w:eastAsia="仿宋_GB2312"/>
          <w:sz w:val="30"/>
          <w:szCs w:val="30"/>
        </w:rPr>
        <w:t>市场需求</w:t>
      </w:r>
      <w:r>
        <w:rPr>
          <w:rFonts w:hint="eastAsia" w:ascii="仿宋_GB2312" w:eastAsia="仿宋_GB2312"/>
          <w:sz w:val="30"/>
          <w:szCs w:val="30"/>
        </w:rPr>
        <w:t>、是否存在替代性技术</w:t>
      </w:r>
      <w:r>
        <w:rPr>
          <w:rFonts w:ascii="仿宋_GB2312" w:eastAsia="仿宋_GB2312"/>
          <w:sz w:val="30"/>
          <w:szCs w:val="30"/>
        </w:rPr>
        <w:t>等因素</w:t>
      </w:r>
      <w:r>
        <w:rPr>
          <w:rFonts w:hint="eastAsia" w:ascii="仿宋_GB2312" w:eastAsia="仿宋_GB2312"/>
          <w:sz w:val="30"/>
          <w:szCs w:val="30"/>
        </w:rPr>
        <w:t>，披露在研项目对公司未来市场拓展、业务收入和净利润的影响，避免误导</w:t>
      </w:r>
      <w:r>
        <w:rPr>
          <w:rFonts w:ascii="仿宋_GB2312" w:eastAsia="仿宋_GB2312"/>
          <w:sz w:val="30"/>
          <w:szCs w:val="30"/>
        </w:rPr>
        <w:t>投资者形成</w:t>
      </w:r>
      <w:r>
        <w:rPr>
          <w:rFonts w:hint="eastAsia" w:ascii="仿宋_GB2312" w:eastAsia="仿宋_GB2312"/>
          <w:sz w:val="30"/>
          <w:szCs w:val="30"/>
        </w:rPr>
        <w:t>过于</w:t>
      </w:r>
      <w:r>
        <w:rPr>
          <w:rFonts w:ascii="仿宋_GB2312" w:eastAsia="仿宋_GB2312"/>
          <w:sz w:val="30"/>
          <w:szCs w:val="30"/>
        </w:rPr>
        <w:t>乐观</w:t>
      </w:r>
      <w:r>
        <w:rPr>
          <w:rFonts w:hint="eastAsia" w:ascii="仿宋_GB2312" w:eastAsia="仿宋_GB2312"/>
          <w:sz w:val="30"/>
          <w:szCs w:val="30"/>
        </w:rPr>
        <w:t>的</w:t>
      </w:r>
      <w:r>
        <w:rPr>
          <w:rFonts w:ascii="仿宋_GB2312" w:eastAsia="仿宋_GB2312"/>
          <w:sz w:val="30"/>
          <w:szCs w:val="30"/>
        </w:rPr>
        <w:t>预期。</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21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57D8344">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例：自愿披露产品</w:t>
            </w:r>
            <w:r>
              <w:rPr>
                <w:rFonts w:ascii="宋体" w:hAnsi="宋体"/>
                <w:b/>
                <w:sz w:val="24"/>
                <w:szCs w:val="24"/>
              </w:rPr>
              <w:t>研发进展</w:t>
            </w:r>
            <w:r>
              <w:rPr>
                <w:rFonts w:hint="eastAsia" w:ascii="宋体" w:hAnsi="宋体"/>
                <w:b/>
                <w:sz w:val="24"/>
                <w:szCs w:val="24"/>
              </w:rPr>
              <w:t>的</w:t>
            </w:r>
            <w:r>
              <w:rPr>
                <w:rFonts w:ascii="宋体" w:hAnsi="宋体"/>
                <w:b/>
                <w:sz w:val="24"/>
                <w:szCs w:val="24"/>
              </w:rPr>
              <w:t>公告</w:t>
            </w:r>
          </w:p>
        </w:tc>
      </w:tr>
      <w:tr w14:paraId="305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F74667">
            <w:pPr>
              <w:spacing w:line="560" w:lineRule="exact"/>
              <w:ind w:firstLine="480" w:firstLineChars="200"/>
              <w:rPr>
                <w:rFonts w:hint="eastAsia" w:ascii="宋体" w:hAnsi="宋体"/>
                <w:sz w:val="24"/>
                <w:szCs w:val="24"/>
              </w:rPr>
            </w:pPr>
            <w:r>
              <w:rPr>
                <w:rFonts w:hint="eastAsia" w:ascii="宋体" w:hAnsi="宋体"/>
                <w:sz w:val="24"/>
                <w:szCs w:val="24"/>
              </w:rPr>
              <w:t>医药公司G研发的药品获准开展临床试验，公司在公告中重点披露：药品名称、适应症及前期已投入研发费用约0.9亿元。根据咨询机构的数据，该细分市场规模达到22亿元，目前以国外药企的药物为主，国内尚无相关产品，根据公开信息，甲公司一款产品已于2020年6月获准开展临床试验。目前该在研</w:t>
            </w:r>
            <w:r>
              <w:rPr>
                <w:rFonts w:ascii="宋体" w:hAnsi="宋体"/>
                <w:sz w:val="24"/>
                <w:szCs w:val="24"/>
              </w:rPr>
              <w:t>药品</w:t>
            </w:r>
            <w:r>
              <w:rPr>
                <w:rFonts w:hint="eastAsia" w:ascii="宋体" w:hAnsi="宋体"/>
                <w:sz w:val="24"/>
                <w:szCs w:val="24"/>
              </w:rPr>
              <w:t>已经获准开展临床试验。根据国家药品注册相关法律法规的要求,药品在获得《临床试验通知书》后尚需开展临床试验,并经相关</w:t>
            </w:r>
            <w:r>
              <w:rPr>
                <w:rFonts w:ascii="宋体" w:hAnsi="宋体"/>
                <w:sz w:val="24"/>
                <w:szCs w:val="24"/>
              </w:rPr>
              <w:t>部门</w:t>
            </w:r>
            <w:r>
              <w:rPr>
                <w:rFonts w:hint="eastAsia" w:ascii="宋体" w:hAnsi="宋体"/>
                <w:sz w:val="24"/>
                <w:szCs w:val="24"/>
              </w:rPr>
              <w:t>批准后方可生产上市。根据XX机构披露的公开数据，此类药品一般I/II期临床研究阶段持续约</w:t>
            </w:r>
            <w:r>
              <w:rPr>
                <w:rFonts w:ascii="宋体" w:hAnsi="宋体"/>
                <w:sz w:val="24"/>
                <w:szCs w:val="24"/>
              </w:rPr>
              <w:t>X</w:t>
            </w:r>
            <w:r>
              <w:rPr>
                <w:rFonts w:hint="eastAsia" w:ascii="宋体" w:hAnsi="宋体"/>
                <w:sz w:val="24"/>
                <w:szCs w:val="24"/>
              </w:rPr>
              <w:t>年时间，I期完成进入II期的比率约X%，II期完成进入III期的比率约</w:t>
            </w:r>
            <w:r>
              <w:rPr>
                <w:rFonts w:ascii="宋体" w:hAnsi="宋体"/>
                <w:sz w:val="24"/>
                <w:szCs w:val="24"/>
              </w:rPr>
              <w:t>X</w:t>
            </w:r>
            <w:r>
              <w:rPr>
                <w:rFonts w:hint="eastAsia" w:ascii="宋体" w:hAnsi="宋体"/>
                <w:sz w:val="24"/>
                <w:szCs w:val="24"/>
              </w:rPr>
              <w:t>%。医药研发的周期长、资金投入大、失败风险高，从临床试验到投产的环节多，研发能否成功存在较大的不确定性。</w:t>
            </w:r>
          </w:p>
        </w:tc>
      </w:tr>
    </w:tbl>
    <w:p w14:paraId="3B27263F">
      <w:pPr>
        <w:tabs>
          <w:tab w:val="left" w:pos="1134"/>
          <w:tab w:val="left" w:pos="1276"/>
          <w:tab w:val="left" w:pos="1418"/>
        </w:tabs>
        <w:spacing w:line="560" w:lineRule="exact"/>
        <w:ind w:firstLine="640" w:firstLineChars="200"/>
        <w:rPr>
          <w:rFonts w:ascii="仿宋_GB2312" w:eastAsia="仿宋_GB2312"/>
          <w:sz w:val="32"/>
          <w:szCs w:val="32"/>
        </w:rPr>
      </w:pPr>
    </w:p>
    <w:p w14:paraId="67F315F4">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（七）</w:t>
      </w:r>
      <w:r>
        <w:rPr>
          <w:rFonts w:hint="eastAsia" w:ascii="仿宋_GB2312" w:eastAsia="仿宋_GB2312"/>
          <w:b/>
          <w:sz w:val="30"/>
          <w:szCs w:val="30"/>
        </w:rPr>
        <w:t>新产品或者服务</w:t>
      </w:r>
    </w:p>
    <w:p w14:paraId="739E0E06">
      <w:pPr>
        <w:spacing w:line="560" w:lineRule="exact"/>
        <w:ind w:firstLine="602" w:firstLineChars="200"/>
        <w:jc w:val="center"/>
        <w:rPr>
          <w:rFonts w:ascii="仿宋_GB2312" w:eastAsia="仿宋_GB2312"/>
          <w:b/>
          <w:sz w:val="30"/>
          <w:szCs w:val="30"/>
        </w:rPr>
      </w:pPr>
    </w:p>
    <w:p w14:paraId="118CFAF6">
      <w:pPr>
        <w:pStyle w:val="66"/>
        <w:spacing w:line="560" w:lineRule="exact"/>
        <w:ind w:firstLine="602"/>
        <w:rPr>
          <w:rFonts w:ascii="仿宋_GB2312" w:eastAsia="仿宋_GB2312"/>
          <w:b/>
          <w:sz w:val="30"/>
          <w:szCs w:val="30"/>
        </w:rPr>
      </w:pPr>
      <w:r>
        <w:rPr>
          <w:rFonts w:hint="eastAsia" w:ascii="仿宋_GB2312" w:eastAsia="仿宋_GB2312"/>
          <w:b/>
          <w:sz w:val="30"/>
          <w:szCs w:val="30"/>
        </w:rPr>
        <w:t>相比产品研发公告，新产品或者服务公告，侧重于科创公司主营业务中新开发的产品或者服务的商业化情况。新产品或者服务公告的重点，在于帮助投资者了解公司新产品或者服务的商业布局，是否形成新的利润增长点，以评估公司的成长性，有助于投资者更准确了解公司新产品或者服务的情况。</w:t>
      </w:r>
    </w:p>
    <w:p w14:paraId="68846FBA">
      <w:pPr>
        <w:pStyle w:val="66"/>
        <w:spacing w:line="560" w:lineRule="exact"/>
        <w:ind w:firstLine="600"/>
        <w:rPr>
          <w:rFonts w:ascii="仿宋_GB2312" w:eastAsia="仿宋_GB2312"/>
          <w:sz w:val="30"/>
          <w:szCs w:val="30"/>
        </w:rPr>
      </w:pPr>
      <w:r>
        <w:rPr>
          <w:rFonts w:hint="eastAsia" w:ascii="仿宋_GB2312" w:eastAsia="仿宋_GB2312"/>
          <w:sz w:val="30"/>
          <w:szCs w:val="30"/>
        </w:rPr>
        <w:t>公告内容可以考虑下列因素。</w:t>
      </w:r>
    </w:p>
    <w:p w14:paraId="3BBF33E6">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1.新产品或服务的基本情况。为了让</w:t>
      </w:r>
      <w:r>
        <w:rPr>
          <w:rFonts w:ascii="仿宋_GB2312" w:eastAsia="仿宋_GB2312"/>
          <w:sz w:val="30"/>
          <w:szCs w:val="30"/>
        </w:rPr>
        <w:t>投资者能够了解</w:t>
      </w:r>
      <w:r>
        <w:rPr>
          <w:rFonts w:hint="eastAsia" w:ascii="仿宋_GB2312" w:eastAsia="仿宋_GB2312"/>
          <w:sz w:val="30"/>
          <w:szCs w:val="30"/>
        </w:rPr>
        <w:t>公司</w:t>
      </w:r>
      <w:r>
        <w:rPr>
          <w:rFonts w:ascii="仿宋_GB2312" w:eastAsia="仿宋_GB2312"/>
          <w:sz w:val="30"/>
          <w:szCs w:val="30"/>
        </w:rPr>
        <w:t>新产品</w:t>
      </w:r>
      <w:r>
        <w:rPr>
          <w:rFonts w:hint="eastAsia" w:ascii="仿宋_GB2312" w:eastAsia="仿宋_GB2312"/>
          <w:sz w:val="30"/>
          <w:szCs w:val="30"/>
        </w:rPr>
        <w:t>或者服务的</w:t>
      </w:r>
      <w:r>
        <w:rPr>
          <w:rFonts w:ascii="仿宋_GB2312" w:eastAsia="仿宋_GB2312"/>
          <w:sz w:val="30"/>
          <w:szCs w:val="30"/>
        </w:rPr>
        <w:t>商业化运用前景，</w:t>
      </w:r>
      <w:r>
        <w:rPr>
          <w:rFonts w:hint="eastAsia" w:ascii="仿宋_GB2312" w:eastAsia="仿宋_GB2312"/>
          <w:sz w:val="30"/>
          <w:szCs w:val="30"/>
        </w:rPr>
        <w:t>除了</w:t>
      </w:r>
      <w:r>
        <w:rPr>
          <w:rFonts w:ascii="仿宋_GB2312" w:eastAsia="仿宋_GB2312"/>
          <w:sz w:val="30"/>
          <w:szCs w:val="30"/>
        </w:rPr>
        <w:t>一般性的产品名称、主要应用领域等信息，建议公司</w:t>
      </w:r>
      <w:r>
        <w:rPr>
          <w:rFonts w:hint="eastAsia" w:ascii="仿宋_GB2312" w:eastAsia="仿宋_GB2312"/>
          <w:sz w:val="30"/>
          <w:szCs w:val="30"/>
        </w:rPr>
        <w:t>披露新</w:t>
      </w:r>
      <w:r>
        <w:rPr>
          <w:rFonts w:ascii="仿宋_GB2312" w:eastAsia="仿宋_GB2312"/>
          <w:sz w:val="30"/>
          <w:szCs w:val="30"/>
        </w:rPr>
        <w:t>产品</w:t>
      </w:r>
      <w:r>
        <w:rPr>
          <w:rFonts w:hint="eastAsia" w:ascii="仿宋_GB2312" w:eastAsia="仿宋_GB2312"/>
          <w:sz w:val="30"/>
          <w:szCs w:val="30"/>
        </w:rPr>
        <w:t>与现有产品或服务相比，具备的性能或者</w:t>
      </w:r>
      <w:r>
        <w:rPr>
          <w:rFonts w:ascii="仿宋_GB2312" w:eastAsia="仿宋_GB2312"/>
          <w:sz w:val="30"/>
          <w:szCs w:val="30"/>
        </w:rPr>
        <w:t>成本</w:t>
      </w:r>
      <w:r>
        <w:rPr>
          <w:rFonts w:hint="eastAsia" w:ascii="仿宋_GB2312" w:eastAsia="仿宋_GB2312"/>
          <w:sz w:val="30"/>
          <w:szCs w:val="30"/>
        </w:rPr>
        <w:t>、价格等方面优势</w:t>
      </w:r>
      <w:r>
        <w:rPr>
          <w:rFonts w:ascii="仿宋_GB2312" w:eastAsia="仿宋_GB2312"/>
          <w:sz w:val="30"/>
          <w:szCs w:val="30"/>
        </w:rPr>
        <w:t>。</w:t>
      </w:r>
    </w:p>
    <w:p w14:paraId="3136C5AA">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2.市场前景。包括产品或服务对应的细分市场、市场规模、竞争格局等。</w:t>
      </w:r>
    </w:p>
    <w:p w14:paraId="1D49CCB2">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3.生产及商业化准备。包括产品或者服务是否取得必要的审批或者认证、是否已经具备规模化生产能力、是否存在专利权纠纷、是否已经获得订单。</w:t>
      </w:r>
    </w:p>
    <w:p w14:paraId="333E9C83">
      <w:pPr>
        <w:pStyle w:val="66"/>
        <w:tabs>
          <w:tab w:val="left" w:pos="993"/>
        </w:tabs>
        <w:spacing w:line="560" w:lineRule="exact"/>
        <w:ind w:firstLine="600"/>
        <w:rPr>
          <w:rFonts w:ascii="仿宋_GB2312" w:eastAsia="仿宋_GB2312"/>
          <w:sz w:val="30"/>
          <w:szCs w:val="30"/>
        </w:rPr>
      </w:pPr>
      <w:r>
        <w:rPr>
          <w:rFonts w:hint="eastAsia" w:ascii="仿宋_GB2312" w:eastAsia="仿宋_GB2312"/>
          <w:sz w:val="30"/>
          <w:szCs w:val="30"/>
        </w:rPr>
        <w:t>4.对公司的影响。公司需要重点说明新产品或服务对当期财务状况的影响。同时，如果新产品或服务存在尚未获得专利授权、暂未掌握成熟生产工艺导致无法实现规模化生产、新产品未能获得市场认可或者市场竞争加剧导致销售未达预期等情况，公司应当考虑一并予以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39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4070AE3">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w:t>
            </w:r>
            <w:r>
              <w:rPr>
                <w:rFonts w:hint="eastAsia" w:ascii="宋体" w:hAnsi="宋体"/>
                <w:b/>
                <w:sz w:val="24"/>
                <w:szCs w:val="24"/>
              </w:rPr>
              <w:t>新型生物柴油产品研发成功的</w:t>
            </w:r>
            <w:r>
              <w:rPr>
                <w:rFonts w:ascii="宋体" w:hAnsi="宋体"/>
                <w:b/>
                <w:sz w:val="24"/>
                <w:szCs w:val="24"/>
              </w:rPr>
              <w:t>公告</w:t>
            </w:r>
          </w:p>
        </w:tc>
      </w:tr>
      <w:tr w14:paraId="4035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9D51FE6">
            <w:pPr>
              <w:spacing w:line="560" w:lineRule="exact"/>
              <w:ind w:firstLine="480" w:firstLineChars="200"/>
              <w:rPr>
                <w:rFonts w:hint="eastAsia" w:ascii="宋体" w:hAnsi="宋体"/>
                <w:sz w:val="24"/>
                <w:szCs w:val="24"/>
              </w:rPr>
            </w:pPr>
            <w:r>
              <w:rPr>
                <w:rFonts w:hint="eastAsia" w:ascii="宋体" w:hAnsi="宋体"/>
                <w:sz w:val="24"/>
                <w:szCs w:val="24"/>
              </w:rPr>
              <w:t>环保材料公司B的新型生物柴油产品研发成功，公司在公告中重点披露：新产品为可再生生物质燃料，各指标达到了欧盟EC标准，主要出口欧盟市场；目前，公司现有产品主要为国内销售，新产品有助于培养公司新的业绩增长点；欧盟区域市场规模、准入政策，主要竞争对手及产品性能、价格差异情况；公司目前已取得的订单情况及产能水平；并结合原材料短缺风险、市场开拓的不确定性风险等因素，提示新产品对公司的影响及存在的不确定性风险。</w:t>
            </w:r>
          </w:p>
        </w:tc>
      </w:tr>
    </w:tbl>
    <w:p w14:paraId="626839EA">
      <w:pPr>
        <w:tabs>
          <w:tab w:val="left" w:pos="1134"/>
          <w:tab w:val="left" w:pos="1276"/>
          <w:tab w:val="left" w:pos="1418"/>
        </w:tabs>
        <w:spacing w:line="560" w:lineRule="exact"/>
        <w:ind w:firstLine="600" w:firstLineChars="200"/>
        <w:rPr>
          <w:rFonts w:ascii="仿宋_GB2312" w:eastAsia="仿宋_GB2312"/>
          <w:sz w:val="30"/>
          <w:szCs w:val="30"/>
        </w:rPr>
      </w:pPr>
    </w:p>
    <w:p w14:paraId="5382AA7C">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（八）</w:t>
      </w:r>
      <w:r>
        <w:rPr>
          <w:rFonts w:hint="eastAsia" w:ascii="仿宋_GB2312" w:eastAsia="仿宋_GB2312"/>
          <w:b/>
          <w:sz w:val="30"/>
          <w:szCs w:val="30"/>
        </w:rPr>
        <w:t>业务合作</w:t>
      </w:r>
    </w:p>
    <w:p w14:paraId="56D34723">
      <w:pPr>
        <w:spacing w:line="560" w:lineRule="exact"/>
        <w:ind w:firstLine="602" w:firstLineChars="200"/>
        <w:jc w:val="center"/>
        <w:rPr>
          <w:rFonts w:ascii="仿宋_GB2312" w:eastAsia="仿宋_GB2312"/>
          <w:b/>
          <w:sz w:val="30"/>
          <w:szCs w:val="30"/>
        </w:rPr>
      </w:pPr>
    </w:p>
    <w:p w14:paraId="025CFFBB">
      <w:pPr>
        <w:spacing w:line="560" w:lineRule="exact"/>
        <w:ind w:firstLine="602" w:firstLineChars="200"/>
        <w:rPr>
          <w:rFonts w:ascii="仿宋_GB2312" w:eastAsia="仿宋_GB2312"/>
          <w:b/>
          <w:sz w:val="30"/>
          <w:szCs w:val="30"/>
        </w:rPr>
      </w:pPr>
      <w:r>
        <w:rPr>
          <w:rFonts w:hint="eastAsia" w:ascii="仿宋_GB2312" w:eastAsia="仿宋_GB2312"/>
          <w:b/>
          <w:sz w:val="30"/>
          <w:szCs w:val="30"/>
        </w:rPr>
        <w:t>业务合作公告的披露重点，是说明重要合作事项的具体内容，以及对公司业务拓展、研发能力、财务状况的积极影响。同时，避免误导投资者过度评估合作事项可能为公司带来的经济利益和技术突破。</w:t>
      </w:r>
    </w:p>
    <w:p w14:paraId="44CB5FA2">
      <w:pPr>
        <w:spacing w:line="560" w:lineRule="exact"/>
        <w:ind w:firstLine="600" w:firstLineChars="200"/>
        <w:rPr>
          <w:rFonts w:ascii="仿宋_GB2312" w:eastAsia="仿宋_GB2312"/>
          <w:sz w:val="30"/>
          <w:szCs w:val="30"/>
        </w:rPr>
      </w:pPr>
      <w:r>
        <w:rPr>
          <w:rFonts w:hint="eastAsia" w:ascii="仿宋_GB2312" w:eastAsia="仿宋_GB2312"/>
          <w:sz w:val="30"/>
          <w:szCs w:val="30"/>
        </w:rPr>
        <w:t>公告内容可以考虑下列因素。</w:t>
      </w:r>
    </w:p>
    <w:p w14:paraId="49209442">
      <w:pPr>
        <w:pStyle w:val="66"/>
        <w:tabs>
          <w:tab w:val="left" w:pos="993"/>
          <w:tab w:val="left" w:pos="1134"/>
        </w:tabs>
        <w:spacing w:line="560" w:lineRule="exact"/>
        <w:ind w:firstLine="600"/>
        <w:rPr>
          <w:rFonts w:ascii="仿宋_GB2312" w:eastAsia="仿宋_GB2312"/>
          <w:sz w:val="30"/>
          <w:szCs w:val="30"/>
        </w:rPr>
      </w:pPr>
      <w:r>
        <w:rPr>
          <w:rFonts w:hint="eastAsia" w:ascii="仿宋_GB2312" w:eastAsia="仿宋_GB2312"/>
          <w:sz w:val="30"/>
          <w:szCs w:val="30"/>
        </w:rPr>
        <w:t>1.合作目的和合作模式。包括：合作各方的主要权利义务、合作成果权属安排。涉及研发、新产品的，应当考虑研发及其进展公告、新产品或者服务公告的要求。</w:t>
      </w:r>
    </w:p>
    <w:p w14:paraId="01E4809F">
      <w:pPr>
        <w:pStyle w:val="66"/>
        <w:tabs>
          <w:tab w:val="left" w:pos="993"/>
          <w:tab w:val="left" w:pos="1134"/>
        </w:tabs>
        <w:spacing w:line="560" w:lineRule="exact"/>
        <w:ind w:firstLine="600"/>
        <w:rPr>
          <w:rFonts w:ascii="仿宋_GB2312" w:eastAsia="仿宋_GB2312"/>
          <w:sz w:val="30"/>
          <w:szCs w:val="30"/>
        </w:rPr>
      </w:pPr>
      <w:r>
        <w:rPr>
          <w:rFonts w:hint="eastAsia" w:ascii="仿宋_GB2312" w:eastAsia="仿宋_GB2312"/>
          <w:sz w:val="30"/>
          <w:szCs w:val="30"/>
        </w:rPr>
        <w:t>2.合作方的履约能力。结合合作目的及合作方承担的合作义务，披露能够证明其履约能力相关信息，例如，在合作领域的市场地位、研发水平、资金实力等。</w:t>
      </w:r>
    </w:p>
    <w:p w14:paraId="362702AB">
      <w:pPr>
        <w:pStyle w:val="66"/>
        <w:tabs>
          <w:tab w:val="left" w:pos="993"/>
          <w:tab w:val="left" w:pos="1134"/>
        </w:tabs>
        <w:spacing w:line="560" w:lineRule="exact"/>
        <w:ind w:firstLine="600"/>
        <w:rPr>
          <w:rFonts w:ascii="仿宋_GB2312" w:eastAsia="仿宋_GB2312"/>
          <w:sz w:val="30"/>
          <w:szCs w:val="30"/>
        </w:rPr>
      </w:pPr>
      <w:r>
        <w:rPr>
          <w:rFonts w:hint="eastAsia" w:ascii="仿宋_GB2312" w:eastAsia="仿宋_GB2312"/>
          <w:sz w:val="30"/>
          <w:szCs w:val="30"/>
        </w:rPr>
        <w:t>3.合作事项对公司经营的影响。</w:t>
      </w:r>
      <w:r>
        <w:rPr>
          <w:rFonts w:ascii="仿宋_GB2312" w:eastAsia="仿宋_GB2312"/>
          <w:sz w:val="30"/>
          <w:szCs w:val="30"/>
        </w:rPr>
        <w:t>例如</w:t>
      </w:r>
      <w:r>
        <w:rPr>
          <w:rFonts w:hint="eastAsia" w:ascii="仿宋_GB2312" w:eastAsia="仿宋_GB2312"/>
          <w:sz w:val="30"/>
          <w:szCs w:val="30"/>
        </w:rPr>
        <w:t>，</w:t>
      </w:r>
      <w:r>
        <w:rPr>
          <w:rFonts w:hint="eastAsia" w:ascii="仿宋_GB2312" w:hAnsi="宋体" w:eastAsia="仿宋_GB2312" w:cs="Arial"/>
          <w:color w:val="000000"/>
          <w:kern w:val="0"/>
          <w:sz w:val="30"/>
          <w:szCs w:val="30"/>
        </w:rPr>
        <w:t>对公司当期营业收入、净利润等主要财务指标的影响，对公司研发新技术或新产品的具体帮助等。</w:t>
      </w:r>
    </w:p>
    <w:p w14:paraId="119E28BA">
      <w:pPr>
        <w:pStyle w:val="66"/>
        <w:tabs>
          <w:tab w:val="left" w:pos="993"/>
          <w:tab w:val="left" w:pos="1134"/>
        </w:tabs>
        <w:spacing w:line="560" w:lineRule="exact"/>
        <w:ind w:firstLine="600"/>
        <w:rPr>
          <w:rFonts w:ascii="仿宋_GB2312" w:eastAsia="仿宋_GB2312"/>
          <w:sz w:val="30"/>
          <w:szCs w:val="30"/>
        </w:rPr>
      </w:pPr>
      <w:r>
        <w:rPr>
          <w:rFonts w:hint="eastAsia" w:ascii="仿宋_GB2312" w:eastAsia="仿宋_GB2312"/>
          <w:sz w:val="30"/>
          <w:szCs w:val="30"/>
        </w:rPr>
        <w:t>4.合作事项存在的不确定性及其风险提示。例如，合作尚需取得主管机关或者其他方同意；协议生效尚需满足附加条件；协议对合作双方不具备法律约束等。</w:t>
      </w:r>
    </w:p>
    <w:p w14:paraId="7B8D2070">
      <w:pPr>
        <w:spacing w:line="560" w:lineRule="exact"/>
        <w:ind w:firstLine="600" w:firstLineChars="200"/>
        <w:rPr>
          <w:rFonts w:ascii="仿宋_GB2312" w:eastAsia="仿宋_GB2312"/>
          <w:sz w:val="30"/>
          <w:szCs w:val="30"/>
        </w:rPr>
      </w:pPr>
      <w:r>
        <w:rPr>
          <w:rFonts w:hint="eastAsia" w:ascii="仿宋_GB2312" w:eastAsia="仿宋_GB2312"/>
          <w:sz w:val="30"/>
          <w:szCs w:val="30"/>
        </w:rPr>
        <w:t>如果合作各方仅达成意向性协议或者协议未涉及具体合作的事项的，应当在公告中明确提示，并重点提示相关风险。</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25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02263B8">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w:t>
            </w:r>
            <w:r>
              <w:rPr>
                <w:rFonts w:hint="eastAsia" w:ascii="宋体" w:hAnsi="宋体"/>
                <w:b/>
                <w:sz w:val="24"/>
                <w:szCs w:val="24"/>
              </w:rPr>
              <w:t>签署</w:t>
            </w:r>
            <w:r>
              <w:rPr>
                <w:rFonts w:ascii="宋体" w:hAnsi="宋体"/>
                <w:b/>
                <w:sz w:val="24"/>
                <w:szCs w:val="24"/>
              </w:rPr>
              <w:t>合作开发新能源车用设备产品的公告</w:t>
            </w:r>
          </w:p>
        </w:tc>
      </w:tr>
      <w:tr w14:paraId="05B5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707140">
            <w:pPr>
              <w:spacing w:line="560" w:lineRule="exact"/>
              <w:ind w:firstLine="480" w:firstLineChars="200"/>
              <w:rPr>
                <w:rFonts w:hint="eastAsia" w:ascii="宋体" w:hAnsi="宋体"/>
                <w:sz w:val="24"/>
                <w:szCs w:val="24"/>
              </w:rPr>
            </w:pPr>
            <w:r>
              <w:rPr>
                <w:rFonts w:hint="eastAsia" w:ascii="宋体" w:hAnsi="宋体"/>
                <w:sz w:val="24"/>
                <w:szCs w:val="24"/>
              </w:rPr>
              <w:t>新能源汽车设备制造商C公司与某新能源汽车制造商甲公司合作开发某一新能源车用设备产品，C公司在公告中披露下列事项：本次合作由C公司主导，甲公司提供技术指导，产品的专利权属归C公司所有；甲公司在该领域研发实力较强，市占率不断提高，具备较强的履约能力及丰富经验，C公司与甲公司不存在关联关系；该合作事项对公司业务转型升级、市场拓展具有积极效应，但是对公司当年经营业绩无明显影响；合作协议仅为意向性文件，是否正式开展合作及合作模式等具体事项均存在不确定性。该产品设计、制造工艺较为复杂，存在研发失败、双方终止合作的风险。</w:t>
            </w:r>
          </w:p>
        </w:tc>
      </w:tr>
    </w:tbl>
    <w:p w14:paraId="1EA78A8C">
      <w:pPr>
        <w:pStyle w:val="66"/>
        <w:tabs>
          <w:tab w:val="left" w:pos="993"/>
          <w:tab w:val="left" w:pos="1134"/>
        </w:tabs>
        <w:spacing w:line="560" w:lineRule="exact"/>
        <w:ind w:firstLine="600"/>
        <w:rPr>
          <w:rFonts w:hint="eastAsia" w:ascii="仿宋_GB2312" w:hAnsi="宋体" w:eastAsia="仿宋_GB2312" w:cs="Arial"/>
          <w:color w:val="000000"/>
          <w:kern w:val="0"/>
          <w:sz w:val="30"/>
          <w:szCs w:val="30"/>
        </w:rPr>
      </w:pPr>
    </w:p>
    <w:p w14:paraId="1C7AE05F">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（九）</w:t>
      </w:r>
      <w:r>
        <w:rPr>
          <w:rFonts w:hint="eastAsia" w:ascii="仿宋_GB2312" w:eastAsia="仿宋_GB2312"/>
          <w:b/>
          <w:sz w:val="30"/>
          <w:szCs w:val="30"/>
        </w:rPr>
        <w:t>获得资质</w:t>
      </w:r>
    </w:p>
    <w:p w14:paraId="30FE693D">
      <w:pPr>
        <w:spacing w:line="560" w:lineRule="exact"/>
        <w:ind w:firstLine="602" w:firstLineChars="200"/>
        <w:jc w:val="center"/>
        <w:rPr>
          <w:rFonts w:ascii="仿宋_GB2312" w:eastAsia="仿宋_GB2312"/>
          <w:b/>
          <w:sz w:val="30"/>
          <w:szCs w:val="30"/>
        </w:rPr>
      </w:pPr>
    </w:p>
    <w:p w14:paraId="2B182300">
      <w:pPr>
        <w:spacing w:line="560" w:lineRule="exact"/>
        <w:ind w:firstLine="602" w:firstLineChars="200"/>
        <w:rPr>
          <w:rFonts w:ascii="仿宋_GB2312" w:eastAsia="仿宋_GB2312"/>
          <w:b/>
          <w:sz w:val="30"/>
          <w:szCs w:val="30"/>
        </w:rPr>
      </w:pPr>
      <w:r>
        <w:rPr>
          <w:rFonts w:hint="eastAsia" w:ascii="仿宋_GB2312" w:eastAsia="仿宋_GB2312"/>
          <w:b/>
          <w:sz w:val="30"/>
          <w:szCs w:val="30"/>
        </w:rPr>
        <w:t>获得资质公告，是指科创公司披露其业务或者产品获得市场准入性质的许可、认证、注册、备案等资质，通常表示着公司得以进入某一领域或市场。公告披露的重点，在于帮助投资者了解获得相关资质所涉及业务或产品的市场前景、可能给公司带来的经济利益、公司是否已具备相应生产能力等内容。</w:t>
      </w:r>
    </w:p>
    <w:p w14:paraId="580388AC">
      <w:pPr>
        <w:spacing w:line="560" w:lineRule="exact"/>
        <w:ind w:firstLine="600" w:firstLineChars="200"/>
        <w:rPr>
          <w:rFonts w:ascii="仿宋_GB2312" w:eastAsia="仿宋_GB2312"/>
          <w:b/>
          <w:sz w:val="30"/>
          <w:szCs w:val="30"/>
        </w:rPr>
      </w:pPr>
      <w:r>
        <w:rPr>
          <w:rFonts w:hint="eastAsia" w:ascii="仿宋_GB2312" w:eastAsia="仿宋_GB2312"/>
          <w:sz w:val="30"/>
          <w:szCs w:val="30"/>
        </w:rPr>
        <w:t>公告内容可以考虑下列因素。</w:t>
      </w:r>
    </w:p>
    <w:p w14:paraId="1A9F07E0">
      <w:pPr>
        <w:pStyle w:val="66"/>
        <w:tabs>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获得相关资质的产品或者业务及其基本情况，包括产品或业务的市场规模（资质针对特定市场的，建议以特定市场为范围披露市场规模）、竞争力，现阶段经营情况等。</w:t>
      </w:r>
    </w:p>
    <w:p w14:paraId="61FDEA99">
      <w:pPr>
        <w:pStyle w:val="66"/>
        <w:spacing w:line="560" w:lineRule="exact"/>
        <w:ind w:firstLine="600"/>
        <w:rPr>
          <w:rFonts w:ascii="仿宋_GB2312" w:eastAsia="仿宋_GB2312"/>
          <w:sz w:val="30"/>
          <w:szCs w:val="30"/>
        </w:rPr>
      </w:pPr>
      <w:r>
        <w:rPr>
          <w:rFonts w:hint="eastAsia" w:ascii="仿宋_GB2312" w:eastAsia="仿宋_GB2312"/>
          <w:sz w:val="30"/>
          <w:szCs w:val="30"/>
        </w:rPr>
        <w:t>公司或者子公司为获得主体的，</w:t>
      </w:r>
      <w:r>
        <w:rPr>
          <w:rFonts w:ascii="仿宋_GB2312" w:eastAsia="仿宋_GB2312"/>
          <w:sz w:val="30"/>
          <w:szCs w:val="30"/>
        </w:rPr>
        <w:t>可以</w:t>
      </w:r>
      <w:r>
        <w:rPr>
          <w:rFonts w:hint="eastAsia" w:ascii="仿宋_GB2312" w:eastAsia="仿宋_GB2312"/>
          <w:sz w:val="30"/>
          <w:szCs w:val="30"/>
        </w:rPr>
        <w:t>披露相关资质或者认证主要覆盖或者影响的业务，例如，某公司获得生产许可证，则披露该许可证覆盖的生产线及其主要生产产品范围。</w:t>
      </w:r>
    </w:p>
    <w:p w14:paraId="651DE1B2">
      <w:pPr>
        <w:pStyle w:val="66"/>
        <w:tabs>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获得相关资质对公司的影响，如获得特定区域市场的准入许可、达到特定标准进而有机会进入新的市场、进入新的行业、被纳入推荐采购清单等。</w:t>
      </w:r>
    </w:p>
    <w:p w14:paraId="46685C01">
      <w:pPr>
        <w:pStyle w:val="66"/>
        <w:tabs>
          <w:tab w:val="left" w:pos="993"/>
          <w:tab w:val="left" w:pos="1134"/>
        </w:tabs>
        <w:spacing w:line="560" w:lineRule="exact"/>
        <w:ind w:firstLine="600"/>
        <w:rPr>
          <w:rFonts w:ascii="仿宋_GB2312" w:eastAsia="仿宋_GB2312"/>
          <w:b/>
          <w:sz w:val="30"/>
          <w:szCs w:val="30"/>
        </w:rPr>
      </w:pPr>
      <w:r>
        <w:rPr>
          <w:rFonts w:ascii="仿宋_GB2312" w:eastAsia="仿宋_GB2312"/>
          <w:sz w:val="30"/>
          <w:szCs w:val="30"/>
        </w:rPr>
        <w:t>3.</w:t>
      </w:r>
      <w:r>
        <w:rPr>
          <w:rFonts w:hint="eastAsia" w:ascii="仿宋_GB2312" w:eastAsia="仿宋_GB2312"/>
          <w:sz w:val="30"/>
          <w:szCs w:val="30"/>
        </w:rPr>
        <w:t>业务拓展存在的不确定性，根据实际情况，从渠道、市场、竞争等方面具体分析业务拓展存在的不确定性并提示相关风险。</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B8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C9E733F">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披露获得</w:t>
            </w:r>
            <w:r>
              <w:rPr>
                <w:rFonts w:hint="eastAsia" w:ascii="宋体" w:hAnsi="宋体"/>
                <w:b/>
                <w:sz w:val="24"/>
                <w:szCs w:val="24"/>
              </w:rPr>
              <w:t>欧盟CE认证证书的</w:t>
            </w:r>
            <w:r>
              <w:rPr>
                <w:rFonts w:ascii="宋体" w:hAnsi="宋体"/>
                <w:b/>
                <w:sz w:val="24"/>
                <w:szCs w:val="24"/>
              </w:rPr>
              <w:t>公告</w:t>
            </w:r>
          </w:p>
        </w:tc>
      </w:tr>
      <w:tr w14:paraId="4EAF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C0C76D">
            <w:pPr>
              <w:spacing w:line="560" w:lineRule="exact"/>
              <w:ind w:firstLine="480" w:firstLineChars="200"/>
              <w:rPr>
                <w:rFonts w:hint="eastAsia" w:ascii="宋体" w:hAnsi="宋体"/>
                <w:sz w:val="24"/>
                <w:szCs w:val="24"/>
              </w:rPr>
            </w:pPr>
            <w:r>
              <w:rPr>
                <w:rFonts w:hint="eastAsia" w:ascii="宋体" w:hAnsi="宋体"/>
                <w:sz w:val="24"/>
                <w:szCs w:val="24"/>
              </w:rPr>
              <w:t>医疗器械公司D披露公司产品获得欧盟CE认证证书的公告，公司在公告中重点披露下列事项：获得CE证书的产品名称、证书有效期；该认证涉及产品情况，包括适应症、市场规模、累计研发投入金额；获得该认证对公司的影响，</w:t>
            </w:r>
            <w:r>
              <w:rPr>
                <w:rFonts w:ascii="宋体" w:hAnsi="宋体"/>
                <w:sz w:val="24"/>
                <w:szCs w:val="24"/>
              </w:rPr>
              <w:t>公司对</w:t>
            </w:r>
            <w:r>
              <w:rPr>
                <w:rFonts w:hint="eastAsia" w:ascii="宋体" w:hAnsi="宋体"/>
                <w:sz w:val="24"/>
                <w:szCs w:val="24"/>
              </w:rPr>
              <w:t>该</w:t>
            </w:r>
            <w:r>
              <w:rPr>
                <w:rFonts w:ascii="宋体" w:hAnsi="宋体"/>
                <w:sz w:val="24"/>
                <w:szCs w:val="24"/>
              </w:rPr>
              <w:t>产品的生产能力</w:t>
            </w:r>
            <w:r>
              <w:rPr>
                <w:rFonts w:hint="eastAsia" w:ascii="宋体" w:hAnsi="宋体"/>
                <w:sz w:val="24"/>
                <w:szCs w:val="24"/>
              </w:rPr>
              <w:t>；该产品可能存在的风险提示，包括暂时对公司营业收入、利润无影响，产品投产后的具体销售情况可能受到市场环境、销售渠道等因素影响，具有较大不确定性等。</w:t>
            </w:r>
          </w:p>
        </w:tc>
      </w:tr>
    </w:tbl>
    <w:p w14:paraId="3AC2A5D6">
      <w:pPr>
        <w:tabs>
          <w:tab w:val="left" w:pos="1134"/>
          <w:tab w:val="left" w:pos="1276"/>
        </w:tabs>
        <w:spacing w:line="560" w:lineRule="exact"/>
        <w:ind w:firstLine="602" w:firstLineChars="200"/>
        <w:rPr>
          <w:rFonts w:ascii="仿宋_GB2312" w:eastAsia="仿宋_GB2312"/>
          <w:b/>
          <w:sz w:val="30"/>
          <w:szCs w:val="30"/>
        </w:rPr>
      </w:pPr>
    </w:p>
    <w:p w14:paraId="5860E259">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（十）</w:t>
      </w:r>
      <w:r>
        <w:rPr>
          <w:rFonts w:hint="eastAsia" w:ascii="仿宋_GB2312" w:eastAsia="仿宋_GB2312"/>
          <w:b/>
          <w:sz w:val="30"/>
          <w:szCs w:val="30"/>
        </w:rPr>
        <w:t>科研实力证明</w:t>
      </w:r>
    </w:p>
    <w:p w14:paraId="17D867D8">
      <w:pPr>
        <w:spacing w:line="560" w:lineRule="exact"/>
        <w:ind w:firstLine="602" w:firstLineChars="200"/>
        <w:jc w:val="center"/>
        <w:rPr>
          <w:rFonts w:ascii="仿宋_GB2312" w:eastAsia="仿宋_GB2312"/>
          <w:b/>
          <w:sz w:val="30"/>
          <w:szCs w:val="30"/>
        </w:rPr>
      </w:pPr>
    </w:p>
    <w:p w14:paraId="64149871">
      <w:pPr>
        <w:spacing w:line="560" w:lineRule="exact"/>
        <w:ind w:firstLine="602" w:firstLineChars="200"/>
        <w:rPr>
          <w:rFonts w:ascii="仿宋_GB2312" w:eastAsia="仿宋_GB2312"/>
          <w:b/>
          <w:sz w:val="30"/>
          <w:szCs w:val="30"/>
        </w:rPr>
      </w:pPr>
      <w:r>
        <w:rPr>
          <w:rFonts w:hint="eastAsia" w:ascii="仿宋_GB2312" w:eastAsia="仿宋_GB2312"/>
          <w:b/>
          <w:sz w:val="30"/>
          <w:szCs w:val="30"/>
        </w:rPr>
        <w:t>科研实力证明公告，是指科创公司披露</w:t>
      </w:r>
      <w:r>
        <w:rPr>
          <w:rFonts w:ascii="仿宋_GB2312" w:eastAsia="仿宋_GB2312"/>
          <w:b/>
          <w:sz w:val="30"/>
          <w:szCs w:val="30"/>
        </w:rPr>
        <w:t>获得</w:t>
      </w:r>
      <w:r>
        <w:rPr>
          <w:rFonts w:hint="eastAsia" w:ascii="仿宋_GB2312" w:eastAsia="仿宋_GB2312"/>
          <w:b/>
          <w:sz w:val="30"/>
          <w:szCs w:val="30"/>
        </w:rPr>
        <w:t>科技类奖项、主导或</w:t>
      </w:r>
      <w:r>
        <w:rPr>
          <w:rFonts w:ascii="仿宋_GB2312" w:eastAsia="仿宋_GB2312"/>
          <w:b/>
          <w:sz w:val="30"/>
          <w:szCs w:val="30"/>
        </w:rPr>
        <w:t>参与行业</w:t>
      </w:r>
      <w:r>
        <w:rPr>
          <w:rFonts w:hint="eastAsia" w:ascii="仿宋_GB2312" w:eastAsia="仿宋_GB2312"/>
          <w:b/>
          <w:sz w:val="30"/>
          <w:szCs w:val="30"/>
        </w:rPr>
        <w:t>重要</w:t>
      </w:r>
      <w:r>
        <w:rPr>
          <w:rFonts w:ascii="仿宋_GB2312" w:eastAsia="仿宋_GB2312"/>
          <w:b/>
          <w:sz w:val="30"/>
          <w:szCs w:val="30"/>
        </w:rPr>
        <w:t>标准编制等</w:t>
      </w:r>
      <w:r>
        <w:rPr>
          <w:rFonts w:hint="eastAsia" w:ascii="仿宋_GB2312" w:eastAsia="仿宋_GB2312"/>
          <w:b/>
          <w:sz w:val="30"/>
          <w:szCs w:val="30"/>
        </w:rPr>
        <w:t>，以证明科创公司科研水平</w:t>
      </w:r>
      <w:r>
        <w:rPr>
          <w:rFonts w:ascii="仿宋_GB2312" w:eastAsia="仿宋_GB2312"/>
          <w:b/>
          <w:sz w:val="30"/>
          <w:szCs w:val="30"/>
        </w:rPr>
        <w:t>或其科研</w:t>
      </w:r>
      <w:r>
        <w:rPr>
          <w:rFonts w:hint="eastAsia" w:ascii="仿宋_GB2312" w:eastAsia="仿宋_GB2312"/>
          <w:b/>
          <w:sz w:val="30"/>
          <w:szCs w:val="30"/>
        </w:rPr>
        <w:t>创新能力、</w:t>
      </w:r>
      <w:r>
        <w:rPr>
          <w:rFonts w:ascii="仿宋_GB2312" w:eastAsia="仿宋_GB2312"/>
          <w:b/>
          <w:sz w:val="30"/>
          <w:szCs w:val="30"/>
        </w:rPr>
        <w:t>行业地位等</w:t>
      </w:r>
      <w:r>
        <w:rPr>
          <w:rFonts w:hint="eastAsia" w:ascii="仿宋_GB2312" w:eastAsia="仿宋_GB2312"/>
          <w:b/>
          <w:sz w:val="30"/>
          <w:szCs w:val="30"/>
        </w:rPr>
        <w:t>。公告披露的重点，在于帮助投资者了解相关科研</w:t>
      </w:r>
      <w:r>
        <w:rPr>
          <w:rFonts w:ascii="仿宋_GB2312" w:eastAsia="仿宋_GB2312"/>
          <w:b/>
          <w:sz w:val="30"/>
          <w:szCs w:val="30"/>
        </w:rPr>
        <w:t>实力证明的含金量以及公司的</w:t>
      </w:r>
      <w:r>
        <w:rPr>
          <w:rFonts w:hint="eastAsia" w:ascii="仿宋_GB2312" w:eastAsia="仿宋_GB2312"/>
          <w:b/>
          <w:sz w:val="30"/>
          <w:szCs w:val="30"/>
        </w:rPr>
        <w:t>实际</w:t>
      </w:r>
      <w:r>
        <w:rPr>
          <w:rFonts w:ascii="仿宋_GB2312" w:eastAsia="仿宋_GB2312"/>
          <w:b/>
          <w:sz w:val="30"/>
          <w:szCs w:val="30"/>
        </w:rPr>
        <w:t>贡献程度</w:t>
      </w:r>
      <w:r>
        <w:rPr>
          <w:rFonts w:hint="eastAsia" w:ascii="仿宋_GB2312" w:eastAsia="仿宋_GB2312"/>
          <w:b/>
          <w:sz w:val="30"/>
          <w:szCs w:val="30"/>
        </w:rPr>
        <w:t>。同时，避免误导投资者过高估计公司实际科研实力。</w:t>
      </w:r>
    </w:p>
    <w:p w14:paraId="05291221">
      <w:pPr>
        <w:spacing w:line="560" w:lineRule="exact"/>
        <w:ind w:firstLine="600" w:firstLineChars="200"/>
        <w:rPr>
          <w:rFonts w:ascii="仿宋_GB2312" w:eastAsia="仿宋_GB2312"/>
          <w:sz w:val="30"/>
          <w:szCs w:val="30"/>
        </w:rPr>
      </w:pPr>
      <w:r>
        <w:rPr>
          <w:rFonts w:hint="eastAsia" w:ascii="仿宋_GB2312" w:eastAsia="仿宋_GB2312"/>
          <w:sz w:val="30"/>
          <w:szCs w:val="30"/>
        </w:rPr>
        <w:t>常见的科研实力证明包括获得奖项、承担专项任务、参与行业标准编制、在核心学术期刊发表论文等。</w:t>
      </w:r>
    </w:p>
    <w:p w14:paraId="13A91EC2">
      <w:pPr>
        <w:spacing w:line="560" w:lineRule="exact"/>
        <w:ind w:firstLine="600" w:firstLineChars="200"/>
        <w:rPr>
          <w:rFonts w:ascii="仿宋_GB2312" w:eastAsia="仿宋_GB2312"/>
          <w:sz w:val="30"/>
          <w:szCs w:val="30"/>
        </w:rPr>
      </w:pPr>
      <w:r>
        <w:rPr>
          <w:rFonts w:hint="eastAsia" w:ascii="仿宋_GB2312" w:eastAsia="仿宋_GB2312"/>
          <w:sz w:val="30"/>
          <w:szCs w:val="30"/>
        </w:rPr>
        <w:t>公告内容可以考虑下列因素：</w:t>
      </w:r>
    </w:p>
    <w:p w14:paraId="5A0DB6BE">
      <w:pPr>
        <w:pStyle w:val="66"/>
        <w:tabs>
          <w:tab w:val="left" w:pos="1134"/>
          <w:tab w:val="left" w:pos="1276"/>
        </w:tabs>
        <w:spacing w:line="560" w:lineRule="exact"/>
        <w:ind w:firstLine="600"/>
        <w:rPr>
          <w:rFonts w:ascii="仿宋_GB2312" w:eastAsia="仿宋_GB2312"/>
          <w:sz w:val="30"/>
          <w:szCs w:val="30"/>
        </w:rPr>
      </w:pPr>
      <w:r>
        <w:rPr>
          <w:rFonts w:hint="eastAsia" w:ascii="仿宋_GB2312" w:eastAsia="仿宋_GB2312"/>
          <w:sz w:val="30"/>
          <w:szCs w:val="30"/>
        </w:rPr>
        <w:t>1.事项对科研实力的证明能力。例如，组织评选机构权威性、所获奖项在相关领域的权威性等。</w:t>
      </w:r>
    </w:p>
    <w:p w14:paraId="5B286EB0">
      <w:pPr>
        <w:pStyle w:val="66"/>
        <w:tabs>
          <w:tab w:val="left" w:pos="1134"/>
          <w:tab w:val="left" w:pos="1276"/>
        </w:tabs>
        <w:spacing w:line="560" w:lineRule="exact"/>
        <w:ind w:firstLine="600"/>
        <w:rPr>
          <w:rFonts w:ascii="仿宋_GB2312" w:eastAsia="仿宋_GB2312"/>
          <w:sz w:val="30"/>
          <w:szCs w:val="30"/>
        </w:rPr>
      </w:pPr>
      <w:r>
        <w:rPr>
          <w:rFonts w:hint="eastAsia" w:ascii="仿宋_GB2312" w:eastAsia="仿宋_GB2312"/>
          <w:sz w:val="30"/>
          <w:szCs w:val="30"/>
        </w:rPr>
        <w:t>2.科创公司的</w:t>
      </w:r>
      <w:r>
        <w:rPr>
          <w:rFonts w:ascii="仿宋_GB2312" w:eastAsia="仿宋_GB2312"/>
          <w:sz w:val="30"/>
          <w:szCs w:val="30"/>
        </w:rPr>
        <w:t>参与程度</w:t>
      </w:r>
      <w:r>
        <w:rPr>
          <w:rFonts w:hint="eastAsia" w:ascii="仿宋_GB2312" w:eastAsia="仿宋_GB2312"/>
          <w:sz w:val="30"/>
          <w:szCs w:val="30"/>
        </w:rPr>
        <w:t>。例如，科研项目的牵头或主导单位，以及科创公司在项目中的实际作用和排名。</w:t>
      </w:r>
    </w:p>
    <w:p w14:paraId="392B43B5">
      <w:pPr>
        <w:pStyle w:val="66"/>
        <w:tabs>
          <w:tab w:val="left" w:pos="1134"/>
          <w:tab w:val="left" w:pos="1276"/>
        </w:tabs>
        <w:spacing w:line="560" w:lineRule="exact"/>
        <w:ind w:firstLine="6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如所涉及项目存在与公司主营业务相关度较低、对提高主营业务竞争力作用有限、规模化应用或者形成收入的可能性较低、无法取得项目成果权属或者使用权等情况，</w:t>
      </w:r>
      <w:r>
        <w:rPr>
          <w:rFonts w:ascii="仿宋_GB2312" w:eastAsia="仿宋_GB2312"/>
          <w:sz w:val="30"/>
          <w:szCs w:val="30"/>
        </w:rPr>
        <w:t>应当明确</w:t>
      </w:r>
      <w:r>
        <w:rPr>
          <w:rFonts w:hint="eastAsia" w:ascii="仿宋_GB2312" w:eastAsia="仿宋_GB2312"/>
          <w:sz w:val="30"/>
          <w:szCs w:val="30"/>
        </w:rPr>
        <w:t>提示。</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A6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D15490">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披露获得国家</w:t>
            </w:r>
            <w:r>
              <w:rPr>
                <w:rFonts w:hint="eastAsia" w:ascii="宋体" w:hAnsi="宋体"/>
                <w:b/>
                <w:sz w:val="24"/>
                <w:szCs w:val="24"/>
              </w:rPr>
              <w:t>科学技术进步二等奖的</w:t>
            </w:r>
            <w:r>
              <w:rPr>
                <w:rFonts w:ascii="宋体" w:hAnsi="宋体"/>
                <w:b/>
                <w:sz w:val="24"/>
                <w:szCs w:val="24"/>
              </w:rPr>
              <w:t>公告</w:t>
            </w:r>
          </w:p>
        </w:tc>
      </w:tr>
      <w:tr w14:paraId="144F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A8F86C">
            <w:pPr>
              <w:spacing w:line="560" w:lineRule="exact"/>
              <w:ind w:firstLine="480" w:firstLineChars="200"/>
              <w:rPr>
                <w:rFonts w:hint="eastAsia" w:ascii="宋体" w:hAnsi="宋体"/>
                <w:sz w:val="24"/>
                <w:szCs w:val="24"/>
              </w:rPr>
            </w:pPr>
            <w:r>
              <w:rPr>
                <w:rFonts w:hint="eastAsia" w:ascii="宋体" w:hAnsi="宋体"/>
                <w:sz w:val="24"/>
                <w:szCs w:val="24"/>
              </w:rPr>
              <w:t>公司</w:t>
            </w:r>
            <w:r>
              <w:rPr>
                <w:rFonts w:ascii="宋体" w:hAnsi="宋体"/>
                <w:sz w:val="24"/>
                <w:szCs w:val="24"/>
              </w:rPr>
              <w:t>H</w:t>
            </w:r>
            <w:r>
              <w:rPr>
                <w:rFonts w:hint="eastAsia" w:ascii="宋体" w:hAnsi="宋体"/>
                <w:sz w:val="24"/>
                <w:szCs w:val="24"/>
              </w:rPr>
              <w:t>参与的项目获得国家科学技术进步二等奖，公司披露以下信息：公司参与的项目取得的关键性突破；国家科学技术进步奖是科技领域最具权威的奖项之一，本次获奖体现了公司</w:t>
            </w:r>
            <w:r>
              <w:rPr>
                <w:rFonts w:ascii="宋体" w:hAnsi="宋体"/>
                <w:sz w:val="24"/>
                <w:szCs w:val="24"/>
              </w:rPr>
              <w:t>在甲领域的</w:t>
            </w:r>
            <w:r>
              <w:rPr>
                <w:rFonts w:hint="eastAsia" w:ascii="宋体" w:hAnsi="宋体"/>
                <w:sz w:val="24"/>
                <w:szCs w:val="24"/>
              </w:rPr>
              <w:t>研发实力；公司是项目的牵头单位和技术实施应用基地；本次获奖对公司业绩无直接影响。</w:t>
            </w:r>
          </w:p>
        </w:tc>
      </w:tr>
    </w:tbl>
    <w:p w14:paraId="3BF0D959">
      <w:pPr>
        <w:spacing w:line="560" w:lineRule="exact"/>
        <w:ind w:firstLine="600" w:firstLineChars="200"/>
        <w:rPr>
          <w:rFonts w:ascii="仿宋_GB2312" w:eastAsia="仿宋_GB2312"/>
          <w:sz w:val="30"/>
          <w:szCs w:val="30"/>
        </w:rPr>
      </w:pPr>
    </w:p>
    <w:p w14:paraId="21CF0BC4">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（十一）</w:t>
      </w:r>
      <w:r>
        <w:rPr>
          <w:rFonts w:hint="eastAsia" w:ascii="仿宋_GB2312" w:eastAsia="仿宋_GB2312"/>
          <w:b/>
          <w:sz w:val="30"/>
          <w:szCs w:val="30"/>
        </w:rPr>
        <w:t>非会计准则下的财务数据</w:t>
      </w:r>
    </w:p>
    <w:p w14:paraId="1F032F47">
      <w:pPr>
        <w:spacing w:line="560" w:lineRule="exact"/>
        <w:ind w:firstLine="600" w:firstLineChars="200"/>
        <w:rPr>
          <w:rFonts w:ascii="仿宋_GB2312" w:eastAsia="仿宋_GB2312"/>
          <w:sz w:val="30"/>
          <w:szCs w:val="30"/>
        </w:rPr>
      </w:pPr>
    </w:p>
    <w:p w14:paraId="58397ECC">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科创公司普遍具有</w:t>
      </w:r>
      <w:r>
        <w:rPr>
          <w:rFonts w:ascii="仿宋_GB2312" w:eastAsia="仿宋_GB2312"/>
          <w:sz w:val="30"/>
          <w:szCs w:val="30"/>
        </w:rPr>
        <w:t>面向行业前沿、商业模式新颖的特点，</w:t>
      </w:r>
      <w:r>
        <w:rPr>
          <w:rFonts w:hint="eastAsia" w:ascii="仿宋_GB2312" w:eastAsia="仿宋_GB2312"/>
          <w:sz w:val="30"/>
          <w:szCs w:val="30"/>
        </w:rPr>
        <w:t>其价值</w:t>
      </w:r>
      <w:r>
        <w:rPr>
          <w:rFonts w:ascii="仿宋_GB2312" w:eastAsia="仿宋_GB2312"/>
          <w:sz w:val="30"/>
          <w:szCs w:val="30"/>
        </w:rPr>
        <w:t>创造过程</w:t>
      </w:r>
      <w:r>
        <w:rPr>
          <w:rFonts w:hint="eastAsia" w:ascii="仿宋_GB2312" w:eastAsia="仿宋_GB2312"/>
          <w:sz w:val="30"/>
          <w:szCs w:val="30"/>
        </w:rPr>
        <w:t>与传统</w:t>
      </w:r>
      <w:r>
        <w:rPr>
          <w:rFonts w:ascii="仿宋_GB2312" w:eastAsia="仿宋_GB2312"/>
          <w:sz w:val="30"/>
          <w:szCs w:val="30"/>
        </w:rPr>
        <w:t>企业</w:t>
      </w:r>
      <w:r>
        <w:rPr>
          <w:rFonts w:hint="eastAsia" w:ascii="仿宋_GB2312" w:eastAsia="仿宋_GB2312"/>
          <w:sz w:val="30"/>
          <w:szCs w:val="30"/>
        </w:rPr>
        <w:t>存在诸多差异，在</w:t>
      </w:r>
      <w:r>
        <w:rPr>
          <w:rFonts w:ascii="仿宋_GB2312" w:eastAsia="仿宋_GB2312"/>
          <w:sz w:val="30"/>
          <w:szCs w:val="30"/>
        </w:rPr>
        <w:t>财务报表中</w:t>
      </w:r>
      <w:r>
        <w:rPr>
          <w:rFonts w:hint="eastAsia" w:ascii="仿宋_GB2312" w:eastAsia="仿宋_GB2312"/>
          <w:sz w:val="30"/>
          <w:szCs w:val="30"/>
        </w:rPr>
        <w:t>具体</w:t>
      </w:r>
      <w:r>
        <w:rPr>
          <w:rFonts w:ascii="仿宋_GB2312" w:eastAsia="仿宋_GB2312"/>
          <w:sz w:val="30"/>
          <w:szCs w:val="30"/>
        </w:rPr>
        <w:t>表现</w:t>
      </w:r>
      <w:r>
        <w:rPr>
          <w:rFonts w:hint="eastAsia" w:ascii="仿宋_GB2312" w:eastAsia="仿宋_GB2312"/>
          <w:sz w:val="30"/>
          <w:szCs w:val="30"/>
        </w:rPr>
        <w:t>在资产</w:t>
      </w:r>
      <w:r>
        <w:rPr>
          <w:rFonts w:ascii="仿宋_GB2312" w:eastAsia="仿宋_GB2312"/>
          <w:sz w:val="30"/>
          <w:szCs w:val="30"/>
        </w:rPr>
        <w:t>结构、收入确认</w:t>
      </w:r>
      <w:r>
        <w:rPr>
          <w:rFonts w:hint="eastAsia" w:ascii="仿宋_GB2312" w:eastAsia="仿宋_GB2312"/>
          <w:sz w:val="30"/>
          <w:szCs w:val="30"/>
        </w:rPr>
        <w:t>、</w:t>
      </w:r>
      <w:r>
        <w:rPr>
          <w:rFonts w:ascii="仿宋_GB2312" w:eastAsia="仿宋_GB2312"/>
          <w:sz w:val="30"/>
          <w:szCs w:val="30"/>
        </w:rPr>
        <w:t>成本费用</w:t>
      </w:r>
      <w:r>
        <w:rPr>
          <w:rFonts w:hint="eastAsia" w:ascii="仿宋_GB2312" w:eastAsia="仿宋_GB2312"/>
          <w:sz w:val="30"/>
          <w:szCs w:val="30"/>
        </w:rPr>
        <w:t>等多个</w:t>
      </w:r>
      <w:r>
        <w:rPr>
          <w:rFonts w:ascii="仿宋_GB2312" w:eastAsia="仿宋_GB2312"/>
          <w:sz w:val="30"/>
          <w:szCs w:val="30"/>
        </w:rPr>
        <w:t>方面</w:t>
      </w:r>
      <w:r>
        <w:rPr>
          <w:rFonts w:hint="eastAsia" w:ascii="仿宋_GB2312" w:eastAsia="仿宋_GB2312"/>
          <w:sz w:val="30"/>
          <w:szCs w:val="30"/>
        </w:rPr>
        <w:t>。在此</w:t>
      </w:r>
      <w:r>
        <w:rPr>
          <w:rFonts w:ascii="仿宋_GB2312" w:eastAsia="仿宋_GB2312"/>
          <w:sz w:val="30"/>
          <w:szCs w:val="30"/>
        </w:rPr>
        <w:t>背景下，</w:t>
      </w:r>
      <w:r>
        <w:rPr>
          <w:rFonts w:hint="eastAsia" w:ascii="仿宋_GB2312" w:eastAsia="仿宋_GB2312"/>
          <w:sz w:val="30"/>
          <w:szCs w:val="30"/>
        </w:rPr>
        <w:t>投资者仅依靠</w:t>
      </w:r>
      <w:r>
        <w:rPr>
          <w:rFonts w:ascii="仿宋_GB2312" w:eastAsia="仿宋_GB2312"/>
          <w:sz w:val="30"/>
          <w:szCs w:val="30"/>
        </w:rPr>
        <w:t>会计信息可能无法</w:t>
      </w:r>
      <w:r>
        <w:rPr>
          <w:rFonts w:hint="eastAsia" w:ascii="仿宋_GB2312" w:eastAsia="仿宋_GB2312"/>
          <w:sz w:val="30"/>
          <w:szCs w:val="30"/>
        </w:rPr>
        <w:t>全面衡量</w:t>
      </w:r>
      <w:r>
        <w:rPr>
          <w:rFonts w:ascii="仿宋_GB2312" w:eastAsia="仿宋_GB2312"/>
          <w:sz w:val="30"/>
          <w:szCs w:val="30"/>
        </w:rPr>
        <w:t>科创公司的经营业绩。</w:t>
      </w:r>
    </w:p>
    <w:p w14:paraId="30C2474E">
      <w:pPr>
        <w:spacing w:line="560" w:lineRule="exact"/>
        <w:ind w:firstLine="602" w:firstLineChars="200"/>
        <w:rPr>
          <w:rFonts w:ascii="仿宋_GB2312" w:eastAsia="仿宋_GB2312"/>
          <w:b/>
          <w:sz w:val="30"/>
          <w:szCs w:val="30"/>
        </w:rPr>
      </w:pPr>
      <w:r>
        <w:rPr>
          <w:rFonts w:hint="eastAsia" w:ascii="仿宋_GB2312" w:eastAsia="仿宋_GB2312"/>
          <w:b/>
          <w:sz w:val="30"/>
          <w:szCs w:val="30"/>
        </w:rPr>
        <w:t>允许科创公司管理层在会计准则之外自行编制并披露非会计信息（Non-GAAP数据），旨在为投资者提供增量信息，同时也为科创公司提供传递投资价值的新渠道。通过将会计准则视角下的会计信息与管理层视角下的非会计信息相结合，投资者可以从多个维度解读科创公司的业绩，更有利于其形成投资决策。</w:t>
      </w:r>
    </w:p>
    <w:p w14:paraId="28364418">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可以在定期报告中结合业务特点和生产经营情况，自愿披露企业会计准则规定范围外的管理层业绩指标，包括但不限于非会计准则净利润、息税前利润、息税折旧摊销前利润、自由现金流等反映公司价值的判断指标。</w:t>
      </w:r>
    </w:p>
    <w:p w14:paraId="44DF0E81">
      <w:pPr>
        <w:spacing w:line="560" w:lineRule="exact"/>
        <w:ind w:firstLine="600" w:firstLineChars="200"/>
        <w:rPr>
          <w:rFonts w:ascii="仿宋_GB2312" w:eastAsia="仿宋_GB2312"/>
          <w:sz w:val="30"/>
          <w:szCs w:val="30"/>
        </w:rPr>
      </w:pPr>
      <w:r>
        <w:rPr>
          <w:rFonts w:hint="eastAsia" w:ascii="仿宋_GB2312" w:eastAsia="仿宋_GB2312"/>
          <w:sz w:val="30"/>
          <w:szCs w:val="30"/>
        </w:rPr>
        <w:t>披露非会计准则下的财务数据，至少考虑下列因素。</w:t>
      </w:r>
    </w:p>
    <w:p w14:paraId="3C3C5723">
      <w:pPr>
        <w:pStyle w:val="66"/>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根据业务实质审慎选择非会计指标，并披露使用非会计指标的原因、对投资者判断公司价值的具体作用。</w:t>
      </w:r>
    </w:p>
    <w:p w14:paraId="71E79F3F">
      <w:pPr>
        <w:pStyle w:val="66"/>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披露各非会计指标的计算标准，并遵循一致性披露的原则。非会计</w:t>
      </w:r>
      <w:r>
        <w:rPr>
          <w:rFonts w:ascii="仿宋_GB2312" w:eastAsia="仿宋_GB2312"/>
          <w:sz w:val="30"/>
          <w:szCs w:val="30"/>
        </w:rPr>
        <w:t>信息</w:t>
      </w:r>
      <w:r>
        <w:rPr>
          <w:rFonts w:hint="eastAsia" w:ascii="仿宋_GB2312" w:eastAsia="仿宋_GB2312"/>
          <w:sz w:val="30"/>
          <w:szCs w:val="30"/>
        </w:rPr>
        <w:t>主要</w:t>
      </w:r>
      <w:r>
        <w:rPr>
          <w:rFonts w:ascii="仿宋_GB2312" w:eastAsia="仿宋_GB2312"/>
          <w:sz w:val="30"/>
          <w:szCs w:val="30"/>
        </w:rPr>
        <w:t>由管理层编制，缺乏</w:t>
      </w:r>
      <w:r>
        <w:rPr>
          <w:rFonts w:hint="eastAsia" w:ascii="仿宋_GB2312" w:eastAsia="仿宋_GB2312"/>
          <w:sz w:val="30"/>
          <w:szCs w:val="30"/>
        </w:rPr>
        <w:t>会计</w:t>
      </w:r>
      <w:r>
        <w:rPr>
          <w:rFonts w:ascii="仿宋_GB2312" w:eastAsia="仿宋_GB2312"/>
          <w:sz w:val="30"/>
          <w:szCs w:val="30"/>
        </w:rPr>
        <w:t>准则的</w:t>
      </w:r>
      <w:r>
        <w:rPr>
          <w:rFonts w:hint="eastAsia" w:ascii="仿宋_GB2312" w:eastAsia="仿宋_GB2312"/>
          <w:sz w:val="30"/>
          <w:szCs w:val="30"/>
        </w:rPr>
        <w:t>统一</w:t>
      </w:r>
      <w:r>
        <w:rPr>
          <w:rFonts w:ascii="仿宋_GB2312" w:eastAsia="仿宋_GB2312"/>
          <w:sz w:val="30"/>
          <w:szCs w:val="30"/>
        </w:rPr>
        <w:t>约束</w:t>
      </w:r>
      <w:r>
        <w:rPr>
          <w:rFonts w:hint="eastAsia" w:ascii="仿宋_GB2312" w:eastAsia="仿宋_GB2312"/>
          <w:sz w:val="30"/>
          <w:szCs w:val="30"/>
        </w:rPr>
        <w:t>，可比性</w:t>
      </w:r>
      <w:r>
        <w:rPr>
          <w:rFonts w:ascii="仿宋_GB2312" w:eastAsia="仿宋_GB2312"/>
          <w:sz w:val="30"/>
          <w:szCs w:val="30"/>
        </w:rPr>
        <w:t>和可靠性</w:t>
      </w:r>
      <w:r>
        <w:rPr>
          <w:rFonts w:hint="eastAsia" w:ascii="仿宋_GB2312" w:eastAsia="仿宋_GB2312"/>
          <w:sz w:val="30"/>
          <w:szCs w:val="30"/>
        </w:rPr>
        <w:t>低于</w:t>
      </w:r>
      <w:r>
        <w:rPr>
          <w:rFonts w:ascii="仿宋_GB2312" w:eastAsia="仿宋_GB2312"/>
          <w:sz w:val="30"/>
          <w:szCs w:val="30"/>
        </w:rPr>
        <w:t>会计信息，因此</w:t>
      </w:r>
      <w:r>
        <w:rPr>
          <w:rFonts w:hint="eastAsia" w:ascii="仿宋_GB2312" w:eastAsia="仿宋_GB2312"/>
          <w:sz w:val="30"/>
          <w:szCs w:val="30"/>
        </w:rPr>
        <w:t>，公司</w:t>
      </w:r>
      <w:r>
        <w:rPr>
          <w:rFonts w:ascii="仿宋_GB2312" w:eastAsia="仿宋_GB2312"/>
          <w:sz w:val="30"/>
          <w:szCs w:val="30"/>
        </w:rPr>
        <w:t>应选择与非会计指标最相近的会计指标，</w:t>
      </w:r>
      <w:r>
        <w:rPr>
          <w:rFonts w:hint="eastAsia" w:ascii="仿宋_GB2312" w:eastAsia="仿宋_GB2312"/>
          <w:sz w:val="30"/>
          <w:szCs w:val="30"/>
        </w:rPr>
        <w:t>并列明</w:t>
      </w:r>
      <w:r>
        <w:rPr>
          <w:rFonts w:ascii="仿宋_GB2312" w:eastAsia="仿宋_GB2312"/>
          <w:sz w:val="30"/>
          <w:szCs w:val="30"/>
        </w:rPr>
        <w:t>将</w:t>
      </w:r>
      <w:r>
        <w:rPr>
          <w:rFonts w:hint="eastAsia" w:ascii="仿宋_GB2312" w:eastAsia="仿宋_GB2312"/>
          <w:sz w:val="30"/>
          <w:szCs w:val="30"/>
        </w:rPr>
        <w:t>前述</w:t>
      </w:r>
      <w:r>
        <w:rPr>
          <w:rFonts w:ascii="仿宋_GB2312" w:eastAsia="仿宋_GB2312"/>
          <w:sz w:val="30"/>
          <w:szCs w:val="30"/>
        </w:rPr>
        <w:t>会计指标调整为</w:t>
      </w:r>
      <w:r>
        <w:rPr>
          <w:rFonts w:hint="eastAsia" w:ascii="仿宋_GB2312" w:eastAsia="仿宋_GB2312"/>
          <w:sz w:val="30"/>
          <w:szCs w:val="30"/>
        </w:rPr>
        <w:t>非会计</w:t>
      </w:r>
      <w:r>
        <w:rPr>
          <w:rFonts w:ascii="仿宋_GB2312" w:eastAsia="仿宋_GB2312"/>
          <w:sz w:val="30"/>
          <w:szCs w:val="30"/>
        </w:rPr>
        <w:t>指标</w:t>
      </w:r>
      <w:r>
        <w:rPr>
          <w:rFonts w:hint="eastAsia" w:ascii="仿宋_GB2312" w:eastAsia="仿宋_GB2312"/>
          <w:sz w:val="30"/>
          <w:szCs w:val="30"/>
        </w:rPr>
        <w:t>的</w:t>
      </w:r>
      <w:r>
        <w:rPr>
          <w:rFonts w:ascii="仿宋_GB2312" w:eastAsia="仿宋_GB2312"/>
          <w:sz w:val="30"/>
          <w:szCs w:val="30"/>
        </w:rPr>
        <w:t>计算过程</w:t>
      </w:r>
      <w:r>
        <w:rPr>
          <w:rFonts w:hint="eastAsia" w:ascii="仿宋_GB2312" w:eastAsia="仿宋_GB2312"/>
          <w:sz w:val="30"/>
          <w:szCs w:val="30"/>
        </w:rPr>
        <w:t>，并确保不同会计期间内非会计指标计算标准保持一致，确有必要调整的，应当列示具体调整内容及原因，并披露按照调整后指标计算的上一期间的比较数据。</w:t>
      </w:r>
    </w:p>
    <w:p w14:paraId="5DD5234E">
      <w:pPr>
        <w:tabs>
          <w:tab w:val="left" w:pos="0"/>
          <w:tab w:val="left" w:pos="851"/>
          <w:tab w:val="left" w:pos="993"/>
        </w:tabs>
        <w:spacing w:line="560" w:lineRule="exact"/>
        <w:ind w:firstLine="600" w:firstLineChars="200"/>
        <w:rPr>
          <w:rFonts w:ascii="仿宋_GB2312" w:eastAsia="仿宋_GB2312"/>
          <w:sz w:val="30"/>
          <w:szCs w:val="30"/>
        </w:rPr>
      </w:pPr>
      <w:r>
        <w:rPr>
          <w:rFonts w:hint="eastAsia" w:ascii="仿宋_GB2312" w:eastAsia="仿宋_GB2312"/>
          <w:sz w:val="30"/>
          <w:szCs w:val="30"/>
        </w:rPr>
        <w:t>例如，公司</w:t>
      </w:r>
      <w:r>
        <w:rPr>
          <w:rFonts w:ascii="仿宋_GB2312" w:eastAsia="仿宋_GB2312"/>
          <w:sz w:val="30"/>
          <w:szCs w:val="30"/>
        </w:rPr>
        <w:t>选择</w:t>
      </w:r>
      <w:r>
        <w:rPr>
          <w:rFonts w:hint="eastAsia" w:ascii="仿宋_GB2312" w:eastAsia="仿宋_GB2312"/>
          <w:sz w:val="30"/>
          <w:szCs w:val="30"/>
        </w:rPr>
        <w:t>披露</w:t>
      </w:r>
      <w:r>
        <w:rPr>
          <w:rFonts w:ascii="仿宋_GB2312" w:eastAsia="仿宋_GB2312"/>
          <w:sz w:val="30"/>
          <w:szCs w:val="30"/>
        </w:rPr>
        <w:t>非会计准则净利润，</w:t>
      </w:r>
      <w:r>
        <w:rPr>
          <w:rFonts w:hint="eastAsia" w:ascii="仿宋_GB2312" w:eastAsia="仿宋_GB2312"/>
          <w:sz w:val="30"/>
          <w:szCs w:val="30"/>
        </w:rPr>
        <w:t>与之</w:t>
      </w:r>
      <w:r>
        <w:rPr>
          <w:rFonts w:ascii="仿宋_GB2312" w:eastAsia="仿宋_GB2312"/>
          <w:sz w:val="30"/>
          <w:szCs w:val="30"/>
        </w:rPr>
        <w:t>最相近的会计指标</w:t>
      </w:r>
      <w:r>
        <w:rPr>
          <w:rFonts w:hint="eastAsia" w:ascii="仿宋_GB2312" w:eastAsia="仿宋_GB2312"/>
          <w:sz w:val="30"/>
          <w:szCs w:val="30"/>
        </w:rPr>
        <w:t>应</w:t>
      </w:r>
      <w:r>
        <w:rPr>
          <w:rFonts w:ascii="仿宋_GB2312" w:eastAsia="仿宋_GB2312"/>
          <w:sz w:val="30"/>
          <w:szCs w:val="30"/>
        </w:rPr>
        <w:t>为净利润。公司</w:t>
      </w:r>
      <w:r>
        <w:rPr>
          <w:rFonts w:hint="eastAsia" w:ascii="仿宋_GB2312" w:eastAsia="仿宋_GB2312"/>
          <w:sz w:val="30"/>
          <w:szCs w:val="30"/>
        </w:rPr>
        <w:t>应</w:t>
      </w:r>
      <w:r>
        <w:rPr>
          <w:rFonts w:ascii="仿宋_GB2312" w:eastAsia="仿宋_GB2312"/>
          <w:sz w:val="30"/>
          <w:szCs w:val="30"/>
        </w:rPr>
        <w:t>披露将净利润</w:t>
      </w:r>
      <w:r>
        <w:rPr>
          <w:rFonts w:hint="eastAsia" w:ascii="仿宋_GB2312" w:eastAsia="仿宋_GB2312"/>
          <w:sz w:val="30"/>
          <w:szCs w:val="30"/>
        </w:rPr>
        <w:t>调整</w:t>
      </w:r>
      <w:r>
        <w:rPr>
          <w:rFonts w:ascii="仿宋_GB2312" w:eastAsia="仿宋_GB2312"/>
          <w:sz w:val="30"/>
          <w:szCs w:val="30"/>
        </w:rPr>
        <w:t>为非会计</w:t>
      </w:r>
      <w:r>
        <w:rPr>
          <w:rFonts w:hint="eastAsia" w:ascii="仿宋_GB2312" w:eastAsia="仿宋_GB2312"/>
          <w:sz w:val="30"/>
          <w:szCs w:val="30"/>
        </w:rPr>
        <w:t>准则净利润的过程</w:t>
      </w:r>
      <w:r>
        <w:rPr>
          <w:rFonts w:ascii="仿宋_GB2312" w:eastAsia="仿宋_GB2312"/>
          <w:sz w:val="30"/>
          <w:szCs w:val="30"/>
        </w:rPr>
        <w:t>，</w:t>
      </w:r>
      <w:r>
        <w:rPr>
          <w:rFonts w:hint="eastAsia" w:ascii="仿宋_GB2312" w:eastAsia="仿宋_GB2312"/>
          <w:sz w:val="30"/>
          <w:szCs w:val="30"/>
        </w:rPr>
        <w:t>包括每一项</w:t>
      </w:r>
      <w:r>
        <w:rPr>
          <w:rFonts w:ascii="仿宋_GB2312" w:eastAsia="仿宋_GB2312"/>
          <w:sz w:val="30"/>
          <w:szCs w:val="30"/>
        </w:rPr>
        <w:t>调增</w:t>
      </w:r>
      <w:r>
        <w:rPr>
          <w:rFonts w:hint="eastAsia" w:ascii="仿宋_GB2312" w:eastAsia="仿宋_GB2312"/>
          <w:sz w:val="30"/>
          <w:szCs w:val="30"/>
        </w:rPr>
        <w:t>的</w:t>
      </w:r>
      <w:r>
        <w:rPr>
          <w:rFonts w:ascii="仿宋_GB2312" w:eastAsia="仿宋_GB2312"/>
          <w:sz w:val="30"/>
          <w:szCs w:val="30"/>
        </w:rPr>
        <w:t>费用</w:t>
      </w:r>
      <w:r>
        <w:rPr>
          <w:rFonts w:hint="eastAsia" w:ascii="仿宋_GB2312" w:eastAsia="仿宋_GB2312"/>
          <w:sz w:val="30"/>
          <w:szCs w:val="30"/>
        </w:rPr>
        <w:t>或</w:t>
      </w:r>
      <w:r>
        <w:rPr>
          <w:rFonts w:ascii="仿宋_GB2312" w:eastAsia="仿宋_GB2312"/>
          <w:sz w:val="30"/>
          <w:szCs w:val="30"/>
        </w:rPr>
        <w:t>调减的损益。</w:t>
      </w:r>
    </w:p>
    <w:p w14:paraId="54B84512">
      <w:pPr>
        <w:pStyle w:val="66"/>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非会计信息的列报方式不应比会计信息更加突出，不应提示投资者非会计信息相比会计信息能够更加有效或者更加准确地反映公司业绩。</w:t>
      </w:r>
    </w:p>
    <w:p w14:paraId="3C3EA64C">
      <w:pPr>
        <w:pStyle w:val="66"/>
        <w:tabs>
          <w:tab w:val="left" w:pos="0"/>
          <w:tab w:val="left" w:pos="851"/>
          <w:tab w:val="left" w:pos="993"/>
        </w:tabs>
        <w:spacing w:line="560" w:lineRule="exact"/>
        <w:ind w:firstLine="6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非会计准则下的财务数据原则上应当在定期报告中予以披露。确有需要的，可以在临时公告中按照本条要求披露。</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048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A7E7485">
            <w:pPr>
              <w:spacing w:line="560" w:lineRule="exact"/>
              <w:ind w:firstLine="482" w:firstLineChars="200"/>
              <w:jc w:val="center"/>
              <w:rPr>
                <w:rFonts w:hint="eastAsia" w:ascii="宋体" w:hAnsi="宋体"/>
                <w:b/>
                <w:sz w:val="24"/>
                <w:szCs w:val="24"/>
              </w:rPr>
            </w:pPr>
            <w:r>
              <w:rPr>
                <w:rFonts w:hint="eastAsia" w:ascii="宋体" w:hAnsi="宋体"/>
                <w:b/>
                <w:sz w:val="24"/>
                <w:szCs w:val="24"/>
              </w:rPr>
              <w:t>示 例：</w:t>
            </w:r>
            <w:r>
              <w:rPr>
                <w:rFonts w:ascii="宋体" w:hAnsi="宋体"/>
                <w:b/>
                <w:sz w:val="24"/>
                <w:szCs w:val="24"/>
              </w:rPr>
              <w:t>在年报中关于非会计准则下财务数据的披露</w:t>
            </w:r>
          </w:p>
        </w:tc>
      </w:tr>
      <w:tr w14:paraId="0A28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9C65EA0">
            <w:pPr>
              <w:spacing w:line="560" w:lineRule="exact"/>
              <w:ind w:firstLine="480" w:firstLineChars="200"/>
              <w:rPr>
                <w:rFonts w:hint="eastAsia" w:ascii="宋体" w:hAnsi="宋体"/>
                <w:sz w:val="24"/>
                <w:szCs w:val="24"/>
              </w:rPr>
            </w:pPr>
            <w:r>
              <w:rPr>
                <w:rFonts w:hint="eastAsia" w:ascii="宋体" w:hAnsi="宋体"/>
                <w:sz w:val="24"/>
                <w:szCs w:val="24"/>
              </w:rPr>
              <w:t>G公司在2019年年报中选择</w:t>
            </w:r>
            <w:r>
              <w:rPr>
                <w:rFonts w:ascii="宋体" w:hAnsi="宋体"/>
                <w:sz w:val="24"/>
                <w:szCs w:val="24"/>
              </w:rPr>
              <w:t>披露非会计准则净利润，</w:t>
            </w:r>
            <w:r>
              <w:rPr>
                <w:rFonts w:hint="eastAsia" w:ascii="宋体" w:hAnsi="宋体"/>
                <w:sz w:val="24"/>
                <w:szCs w:val="24"/>
              </w:rPr>
              <w:t>并以</w:t>
            </w:r>
            <w:r>
              <w:rPr>
                <w:rFonts w:ascii="宋体" w:hAnsi="宋体"/>
                <w:sz w:val="24"/>
                <w:szCs w:val="24"/>
              </w:rPr>
              <w:t>表格形式披露了</w:t>
            </w:r>
            <w:r>
              <w:rPr>
                <w:rFonts w:hint="eastAsia" w:ascii="宋体" w:hAnsi="宋体"/>
                <w:sz w:val="24"/>
                <w:szCs w:val="24"/>
              </w:rPr>
              <w:t>具体</w:t>
            </w:r>
            <w:r>
              <w:rPr>
                <w:rFonts w:ascii="宋体" w:hAnsi="宋体"/>
                <w:sz w:val="24"/>
                <w:szCs w:val="24"/>
              </w:rPr>
              <w:t>的计算</w:t>
            </w:r>
            <w:r>
              <w:rPr>
                <w:rFonts w:hint="eastAsia" w:ascii="宋体" w:hAnsi="宋体"/>
                <w:sz w:val="24"/>
                <w:szCs w:val="24"/>
              </w:rPr>
              <w:t>标准</w:t>
            </w:r>
            <w:r>
              <w:rPr>
                <w:rFonts w:ascii="宋体" w:hAnsi="宋体"/>
                <w:sz w:val="24"/>
                <w:szCs w:val="24"/>
              </w:rPr>
              <w:t>：</w:t>
            </w:r>
            <w:r>
              <w:rPr>
                <w:rFonts w:hint="eastAsia" w:ascii="宋体" w:hAnsi="宋体"/>
                <w:sz w:val="24"/>
                <w:szCs w:val="24"/>
              </w:rPr>
              <w:t>G公司</w:t>
            </w:r>
            <w:r>
              <w:rPr>
                <w:rFonts w:ascii="宋体" w:hAnsi="宋体"/>
                <w:sz w:val="24"/>
                <w:szCs w:val="24"/>
              </w:rPr>
              <w:t>在</w:t>
            </w:r>
            <w:r>
              <w:rPr>
                <w:rFonts w:hint="eastAsia" w:ascii="宋体" w:hAnsi="宋体"/>
                <w:sz w:val="24"/>
                <w:szCs w:val="24"/>
              </w:rPr>
              <w:t>2019年经审计</w:t>
            </w:r>
            <w:r>
              <w:rPr>
                <w:rFonts w:ascii="宋体" w:hAnsi="宋体"/>
                <w:sz w:val="24"/>
                <w:szCs w:val="24"/>
              </w:rPr>
              <w:t>净利润</w:t>
            </w:r>
            <w:r>
              <w:rPr>
                <w:rFonts w:hint="eastAsia" w:ascii="宋体" w:hAnsi="宋体"/>
                <w:sz w:val="24"/>
                <w:szCs w:val="24"/>
              </w:rPr>
              <w:t>的</w:t>
            </w:r>
            <w:r>
              <w:rPr>
                <w:rFonts w:ascii="宋体" w:hAnsi="宋体"/>
                <w:sz w:val="24"/>
                <w:szCs w:val="24"/>
              </w:rPr>
              <w:t>基础上，</w:t>
            </w:r>
            <w:r>
              <w:rPr>
                <w:rFonts w:hint="eastAsia" w:ascii="宋体" w:hAnsi="宋体"/>
                <w:sz w:val="24"/>
                <w:szCs w:val="24"/>
              </w:rPr>
              <w:t>加回了股份支付</w:t>
            </w:r>
            <w:r>
              <w:rPr>
                <w:rFonts w:ascii="宋体" w:hAnsi="宋体"/>
                <w:sz w:val="24"/>
                <w:szCs w:val="24"/>
              </w:rPr>
              <w:t>费用、无形资产摊销费用</w:t>
            </w:r>
            <w:r>
              <w:rPr>
                <w:rFonts w:hint="eastAsia" w:ascii="宋体" w:hAnsi="宋体"/>
                <w:sz w:val="24"/>
                <w:szCs w:val="24"/>
              </w:rPr>
              <w:t>，</w:t>
            </w:r>
            <w:r>
              <w:rPr>
                <w:rFonts w:ascii="宋体" w:hAnsi="宋体"/>
                <w:sz w:val="24"/>
                <w:szCs w:val="24"/>
              </w:rPr>
              <w:t>调减了</w:t>
            </w:r>
            <w:r>
              <w:rPr>
                <w:rFonts w:hint="eastAsia" w:ascii="宋体" w:hAnsi="宋体"/>
                <w:sz w:val="24"/>
                <w:szCs w:val="24"/>
              </w:rPr>
              <w:t>金融资产</w:t>
            </w:r>
            <w:r>
              <w:rPr>
                <w:rFonts w:ascii="宋体" w:hAnsi="宋体"/>
                <w:sz w:val="24"/>
                <w:szCs w:val="24"/>
              </w:rPr>
              <w:t>公允价值变动收益</w:t>
            </w:r>
            <w:r>
              <w:rPr>
                <w:rFonts w:hint="eastAsia" w:ascii="宋体" w:hAnsi="宋体"/>
                <w:sz w:val="24"/>
                <w:szCs w:val="24"/>
              </w:rPr>
              <w:t>、</w:t>
            </w:r>
            <w:r>
              <w:rPr>
                <w:rFonts w:ascii="宋体" w:hAnsi="宋体"/>
                <w:sz w:val="24"/>
                <w:szCs w:val="24"/>
              </w:rPr>
              <w:t>处置</w:t>
            </w:r>
            <w:r>
              <w:rPr>
                <w:rFonts w:hint="eastAsia" w:ascii="宋体" w:hAnsi="宋体"/>
                <w:sz w:val="24"/>
                <w:szCs w:val="24"/>
              </w:rPr>
              <w:t>联营</w:t>
            </w:r>
            <w:r>
              <w:rPr>
                <w:rFonts w:ascii="宋体" w:hAnsi="宋体"/>
                <w:sz w:val="24"/>
                <w:szCs w:val="24"/>
              </w:rPr>
              <w:t>公司的损益，</w:t>
            </w:r>
            <w:r>
              <w:rPr>
                <w:rFonts w:hint="eastAsia" w:ascii="宋体" w:hAnsi="宋体"/>
                <w:sz w:val="24"/>
                <w:szCs w:val="24"/>
              </w:rPr>
              <w:t>在</w:t>
            </w:r>
            <w:r>
              <w:rPr>
                <w:rFonts w:ascii="宋体" w:hAnsi="宋体"/>
                <w:sz w:val="24"/>
                <w:szCs w:val="24"/>
              </w:rPr>
              <w:t>考虑所得税影响后，</w:t>
            </w:r>
            <w:r>
              <w:rPr>
                <w:rFonts w:hint="eastAsia" w:ascii="宋体" w:hAnsi="宋体"/>
                <w:sz w:val="24"/>
                <w:szCs w:val="24"/>
              </w:rPr>
              <w:t>最终计算得出</w:t>
            </w:r>
            <w:r>
              <w:rPr>
                <w:rFonts w:ascii="宋体" w:hAnsi="宋体"/>
                <w:sz w:val="24"/>
                <w:szCs w:val="24"/>
              </w:rPr>
              <w:t>非会计准则净利润。</w:t>
            </w:r>
          </w:p>
        </w:tc>
      </w:tr>
    </w:tbl>
    <w:p w14:paraId="5F60DD8A">
      <w:pPr>
        <w:spacing w:line="560" w:lineRule="exact"/>
        <w:ind w:firstLine="600" w:firstLineChars="200"/>
        <w:rPr>
          <w:rFonts w:ascii="仿宋_GB2312" w:eastAsia="仿宋_GB2312"/>
          <w:sz w:val="30"/>
          <w:szCs w:val="30"/>
        </w:rPr>
      </w:pPr>
    </w:p>
    <w:p w14:paraId="221FF2FE">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（十二）</w:t>
      </w:r>
      <w:r>
        <w:rPr>
          <w:rFonts w:hint="eastAsia" w:ascii="仿宋_GB2312" w:eastAsia="仿宋_GB2312"/>
          <w:b/>
          <w:sz w:val="30"/>
          <w:szCs w:val="30"/>
        </w:rPr>
        <w:t>重大突发公共事件</w:t>
      </w:r>
    </w:p>
    <w:p w14:paraId="3EB9B76A">
      <w:pPr>
        <w:spacing w:line="560" w:lineRule="exact"/>
        <w:ind w:firstLine="602" w:firstLineChars="200"/>
        <w:jc w:val="center"/>
        <w:rPr>
          <w:rFonts w:ascii="仿宋_GB2312" w:eastAsia="仿宋_GB2312"/>
          <w:b/>
          <w:sz w:val="30"/>
          <w:szCs w:val="30"/>
        </w:rPr>
      </w:pPr>
    </w:p>
    <w:p w14:paraId="75BE3FBC">
      <w:pPr>
        <w:spacing w:line="560" w:lineRule="exact"/>
        <w:ind w:firstLine="600" w:firstLineChars="200"/>
        <w:rPr>
          <w:rFonts w:ascii="仿宋_GB2312" w:eastAsia="仿宋_GB2312"/>
          <w:b/>
          <w:sz w:val="30"/>
          <w:szCs w:val="30"/>
        </w:rPr>
      </w:pPr>
      <w:r>
        <w:rPr>
          <w:rFonts w:hint="eastAsia" w:ascii="仿宋_GB2312" w:eastAsia="仿宋_GB2312"/>
          <w:sz w:val="30"/>
          <w:szCs w:val="30"/>
        </w:rPr>
        <w:t>发生具有整体或者局部影响的自然灾害、事故灾难、公共卫生、社会安全等重大突发公共事件时，公司生产经营会在不同程度上受到影响。</w:t>
      </w:r>
    </w:p>
    <w:p w14:paraId="1EA01486">
      <w:pPr>
        <w:spacing w:line="560" w:lineRule="exact"/>
        <w:ind w:firstLine="602" w:firstLineChars="200"/>
        <w:rPr>
          <w:rFonts w:ascii="仿宋_GB2312" w:eastAsia="仿宋_GB2312"/>
          <w:sz w:val="30"/>
          <w:szCs w:val="30"/>
        </w:rPr>
      </w:pPr>
      <w:r>
        <w:rPr>
          <w:rFonts w:hint="eastAsia" w:ascii="仿宋_GB2312" w:eastAsia="仿宋_GB2312"/>
          <w:b/>
          <w:sz w:val="30"/>
          <w:szCs w:val="30"/>
        </w:rPr>
        <w:t>公司向投资者说明重大突发公共事件对公司的现实及预期影响，以及公司已经采取和将要采取的应对措施，对投资者的投资决策至关重要。公司披露相关公告时，重点在于帮助投资者了解重大突发公共事件中，公司的外部环境和内部资源，能否满足公司持续经营所需的必要条件。</w:t>
      </w:r>
    </w:p>
    <w:p w14:paraId="7E400AA7">
      <w:pPr>
        <w:spacing w:line="560" w:lineRule="exact"/>
        <w:ind w:firstLine="600" w:firstLineChars="200"/>
        <w:rPr>
          <w:rFonts w:ascii="仿宋_GB2312" w:eastAsia="仿宋_GB2312"/>
          <w:b/>
          <w:sz w:val="30"/>
          <w:szCs w:val="30"/>
        </w:rPr>
      </w:pPr>
      <w:r>
        <w:rPr>
          <w:rFonts w:hint="eastAsia" w:ascii="仿宋_GB2312" w:eastAsia="仿宋_GB2312"/>
          <w:sz w:val="30"/>
          <w:szCs w:val="30"/>
        </w:rPr>
        <w:t>公告内容可以考虑下列因素。</w:t>
      </w:r>
    </w:p>
    <w:p w14:paraId="79E5AEC9">
      <w:pPr>
        <w:pStyle w:val="66"/>
        <w:tabs>
          <w:tab w:val="left" w:pos="0"/>
        </w:tabs>
        <w:spacing w:line="560" w:lineRule="exact"/>
        <w:ind w:firstLine="6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相关事件对公司生产经营、财务状况、员工健康、客户稳定等产生的影响。</w:t>
      </w:r>
    </w:p>
    <w:p w14:paraId="7B6F5A9D">
      <w:pPr>
        <w:pStyle w:val="66"/>
        <w:tabs>
          <w:tab w:val="left" w:pos="0"/>
        </w:tabs>
        <w:spacing w:line="560" w:lineRule="exact"/>
        <w:ind w:firstLine="6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公司对该重大突发公共事件及其影响已经或者将要采取的应对措施，包括公司保护员工、客户利益以及履行社会责任的举措或者计划等。</w:t>
      </w:r>
    </w:p>
    <w:p w14:paraId="79F43424">
      <w:pPr>
        <w:pStyle w:val="66"/>
        <w:tabs>
          <w:tab w:val="left" w:pos="0"/>
        </w:tabs>
        <w:spacing w:line="560" w:lineRule="exact"/>
        <w:ind w:firstLine="6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公司获得的各类政府补贴和财务援助的性质、数额和影响，获得此类补贴和援助的进展情况。</w:t>
      </w:r>
    </w:p>
    <w:p w14:paraId="288133B4">
      <w:pPr>
        <w:pStyle w:val="66"/>
        <w:tabs>
          <w:tab w:val="left" w:pos="0"/>
        </w:tabs>
        <w:spacing w:line="560" w:lineRule="exact"/>
        <w:ind w:firstLine="6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公司在重大突发公共事件发展过程中的业绩变动、持续经营、未来现金流等前瞻性信息。</w:t>
      </w:r>
    </w:p>
    <w:p w14:paraId="7FA94625">
      <w:pPr>
        <w:tabs>
          <w:tab w:val="left" w:pos="0"/>
        </w:tabs>
        <w:spacing w:line="560" w:lineRule="exact"/>
        <w:ind w:firstLine="600" w:firstLineChars="200"/>
        <w:rPr>
          <w:rFonts w:ascii="仿宋_GB2312" w:eastAsia="仿宋_GB2312"/>
          <w:sz w:val="30"/>
          <w:szCs w:val="30"/>
        </w:rPr>
      </w:pPr>
      <w:r>
        <w:rPr>
          <w:rFonts w:hint="eastAsia" w:ascii="仿宋_GB2312" w:eastAsia="仿宋_GB2312"/>
          <w:sz w:val="30"/>
          <w:szCs w:val="30"/>
        </w:rPr>
        <w:t>前瞻性</w:t>
      </w:r>
      <w:r>
        <w:rPr>
          <w:rFonts w:ascii="仿宋_GB2312" w:eastAsia="仿宋_GB2312"/>
          <w:sz w:val="30"/>
          <w:szCs w:val="30"/>
        </w:rPr>
        <w:t>信息发生重大变化</w:t>
      </w:r>
      <w:r>
        <w:rPr>
          <w:rFonts w:hint="eastAsia" w:ascii="仿宋_GB2312" w:eastAsia="仿宋_GB2312"/>
          <w:sz w:val="30"/>
          <w:szCs w:val="30"/>
        </w:rPr>
        <w:t>时</w:t>
      </w:r>
      <w:r>
        <w:rPr>
          <w:rFonts w:ascii="仿宋_GB2312" w:eastAsia="仿宋_GB2312"/>
          <w:sz w:val="30"/>
          <w:szCs w:val="30"/>
        </w:rPr>
        <w:t>，</w:t>
      </w:r>
      <w:r>
        <w:rPr>
          <w:rFonts w:hint="eastAsia" w:ascii="仿宋_GB2312" w:eastAsia="仿宋_GB2312"/>
          <w:sz w:val="30"/>
          <w:szCs w:val="30"/>
        </w:rPr>
        <w:t>应当做出相应</w:t>
      </w:r>
      <w:r>
        <w:rPr>
          <w:rFonts w:ascii="仿宋_GB2312" w:eastAsia="仿宋_GB2312"/>
          <w:sz w:val="30"/>
          <w:szCs w:val="30"/>
        </w:rPr>
        <w:t>的</w:t>
      </w:r>
      <w:r>
        <w:rPr>
          <w:rFonts w:hint="eastAsia" w:ascii="仿宋_GB2312" w:eastAsia="仿宋_GB2312"/>
          <w:sz w:val="30"/>
          <w:szCs w:val="30"/>
        </w:rPr>
        <w:t>修正披露。</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B8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BF4FDC4">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w:t>
            </w:r>
            <w:r>
              <w:rPr>
                <w:rFonts w:hint="eastAsia" w:ascii="宋体" w:hAnsi="宋体"/>
                <w:b/>
                <w:sz w:val="24"/>
                <w:szCs w:val="24"/>
              </w:rPr>
              <w:t>受新冠</w:t>
            </w:r>
            <w:r>
              <w:rPr>
                <w:rFonts w:ascii="宋体" w:hAnsi="宋体"/>
                <w:b/>
                <w:sz w:val="24"/>
                <w:szCs w:val="24"/>
              </w:rPr>
              <w:t>疫情影响</w:t>
            </w:r>
            <w:r>
              <w:rPr>
                <w:rFonts w:hint="eastAsia" w:ascii="宋体" w:hAnsi="宋体"/>
                <w:b/>
                <w:sz w:val="24"/>
                <w:szCs w:val="24"/>
              </w:rPr>
              <w:t>及</w:t>
            </w:r>
            <w:r>
              <w:rPr>
                <w:rFonts w:ascii="宋体" w:hAnsi="宋体"/>
                <w:b/>
                <w:sz w:val="24"/>
                <w:szCs w:val="24"/>
              </w:rPr>
              <w:t>应对举措的公告</w:t>
            </w:r>
          </w:p>
        </w:tc>
      </w:tr>
      <w:tr w14:paraId="55F0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BCE027">
            <w:pPr>
              <w:spacing w:line="560" w:lineRule="exact"/>
              <w:ind w:firstLine="480" w:firstLineChars="200"/>
              <w:rPr>
                <w:rFonts w:hint="eastAsia" w:ascii="宋体" w:hAnsi="宋体"/>
                <w:sz w:val="24"/>
                <w:szCs w:val="24"/>
              </w:rPr>
            </w:pPr>
            <w:r>
              <w:rPr>
                <w:rFonts w:ascii="宋体" w:hAnsi="宋体"/>
                <w:sz w:val="24"/>
                <w:szCs w:val="24"/>
              </w:rPr>
              <w:t>新冠疫情发生后，消费电子公司Y披露公告</w:t>
            </w:r>
            <w:r>
              <w:rPr>
                <w:rFonts w:hint="eastAsia" w:ascii="宋体" w:hAnsi="宋体"/>
                <w:sz w:val="24"/>
                <w:szCs w:val="24"/>
              </w:rPr>
              <w:t>：</w:t>
            </w:r>
            <w:r>
              <w:rPr>
                <w:rFonts w:ascii="宋体" w:hAnsi="宋体"/>
                <w:sz w:val="24"/>
                <w:szCs w:val="24"/>
              </w:rPr>
              <w:t>由于疫情影响，国内若干城市的交通设施暂停或服务受限，受影响省市的务工人员无法按计划复工，导致公司产能暂时性下跌至一定比例；同时，由于公司客户及供应商主要位于中国境内，其业务已经经历</w:t>
            </w:r>
            <w:r>
              <w:rPr>
                <w:rFonts w:hint="eastAsia" w:ascii="宋体" w:hAnsi="宋体"/>
                <w:sz w:val="24"/>
                <w:szCs w:val="24"/>
              </w:rPr>
              <w:t>了一段</w:t>
            </w:r>
            <w:r>
              <w:rPr>
                <w:rFonts w:ascii="宋体" w:hAnsi="宋体"/>
                <w:sz w:val="24"/>
                <w:szCs w:val="24"/>
              </w:rPr>
              <w:t>时间的中断</w:t>
            </w:r>
            <w:r>
              <w:rPr>
                <w:rFonts w:hint="eastAsia" w:ascii="宋体" w:hAnsi="宋体"/>
                <w:sz w:val="24"/>
                <w:szCs w:val="24"/>
              </w:rPr>
              <w:t>，复产复工时间尚不确定</w:t>
            </w:r>
            <w:r>
              <w:rPr>
                <w:rFonts w:ascii="宋体" w:hAnsi="宋体"/>
                <w:sz w:val="24"/>
                <w:szCs w:val="24"/>
              </w:rPr>
              <w:t>。受上述因素影响，公司上半年的财务业绩将出现不利变化。另外，公司披露了应对疫情所采取的相关措施，包括严格实施疫情防控、保护员工的健康与安全</w:t>
            </w:r>
            <w:r>
              <w:rPr>
                <w:rFonts w:hint="eastAsia" w:ascii="宋体" w:hAnsi="宋体"/>
                <w:sz w:val="24"/>
                <w:szCs w:val="24"/>
              </w:rPr>
              <w:t>、</w:t>
            </w:r>
            <w:r>
              <w:rPr>
                <w:rFonts w:ascii="宋体" w:hAnsi="宋体"/>
                <w:sz w:val="24"/>
                <w:szCs w:val="24"/>
              </w:rPr>
              <w:t>联络客户及供货商调整生产及交货时间表</w:t>
            </w:r>
            <w:r>
              <w:rPr>
                <w:rFonts w:hint="eastAsia" w:ascii="宋体" w:hAnsi="宋体"/>
                <w:sz w:val="24"/>
                <w:szCs w:val="24"/>
              </w:rPr>
              <w:t>、</w:t>
            </w:r>
            <w:r>
              <w:rPr>
                <w:rFonts w:ascii="宋体" w:hAnsi="宋体"/>
                <w:sz w:val="24"/>
                <w:szCs w:val="24"/>
              </w:rPr>
              <w:t>与园区管理部门沟通租金减免等</w:t>
            </w:r>
            <w:r>
              <w:rPr>
                <w:rFonts w:hint="eastAsia" w:ascii="宋体" w:hAnsi="宋体"/>
                <w:sz w:val="24"/>
                <w:szCs w:val="24"/>
              </w:rPr>
              <w:t>。</w:t>
            </w:r>
          </w:p>
        </w:tc>
      </w:tr>
    </w:tbl>
    <w:p w14:paraId="760C671A">
      <w:pPr>
        <w:tabs>
          <w:tab w:val="left" w:pos="0"/>
          <w:tab w:val="left" w:pos="851"/>
          <w:tab w:val="left" w:pos="993"/>
        </w:tabs>
        <w:spacing w:line="560" w:lineRule="exact"/>
        <w:ind w:firstLine="600" w:firstLineChars="200"/>
        <w:rPr>
          <w:rFonts w:ascii="仿宋_GB2312" w:eastAsia="仿宋_GB2312"/>
          <w:sz w:val="30"/>
          <w:szCs w:val="30"/>
        </w:rPr>
      </w:pPr>
    </w:p>
    <w:p w14:paraId="54DC4D5A">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（十三）</w:t>
      </w:r>
      <w:r>
        <w:rPr>
          <w:rFonts w:hint="eastAsia" w:ascii="仿宋_GB2312" w:eastAsia="仿宋_GB2312"/>
          <w:b/>
          <w:sz w:val="30"/>
          <w:szCs w:val="30"/>
        </w:rPr>
        <w:t>沟通信函</w:t>
      </w:r>
    </w:p>
    <w:p w14:paraId="229047BE">
      <w:pPr>
        <w:spacing w:line="560" w:lineRule="exact"/>
        <w:ind w:firstLine="602" w:firstLineChars="200"/>
        <w:jc w:val="center"/>
        <w:rPr>
          <w:rFonts w:ascii="仿宋_GB2312" w:eastAsia="仿宋_GB2312"/>
          <w:b/>
          <w:sz w:val="30"/>
          <w:szCs w:val="30"/>
        </w:rPr>
      </w:pPr>
    </w:p>
    <w:p w14:paraId="141D19E5">
      <w:pPr>
        <w:spacing w:line="560" w:lineRule="exact"/>
        <w:ind w:firstLine="602" w:firstLineChars="200"/>
        <w:rPr>
          <w:rFonts w:ascii="仿宋_GB2312" w:eastAsia="仿宋_GB2312"/>
          <w:b/>
          <w:sz w:val="30"/>
          <w:szCs w:val="30"/>
        </w:rPr>
      </w:pPr>
      <w:r>
        <w:rPr>
          <w:rFonts w:hint="eastAsia" w:ascii="仿宋_GB2312" w:eastAsia="仿宋_GB2312"/>
          <w:b/>
          <w:sz w:val="30"/>
          <w:szCs w:val="30"/>
        </w:rPr>
        <w:t>沟通信函是科创公司董事长在年度报告中，以公开信的方式，向投资者介绍年度经营业绩、文化价值取向、公司技术优势和未来发展战略的信息披露方式。董事长是公司掌门人，由其与投资者直接沟通、阐述经营理念，可以使投资者更好理解公司的价值观、战略规划、公司治理、生产经营等情况，建立和坚定长期投资理念。</w:t>
      </w:r>
    </w:p>
    <w:p w14:paraId="3B771FD0">
      <w:pPr>
        <w:spacing w:line="560" w:lineRule="exact"/>
        <w:ind w:firstLine="600" w:firstLineChars="200"/>
        <w:rPr>
          <w:rFonts w:ascii="仿宋_GB2312" w:eastAsia="仿宋_GB2312"/>
          <w:sz w:val="30"/>
          <w:szCs w:val="30"/>
        </w:rPr>
      </w:pPr>
      <w:r>
        <w:rPr>
          <w:rFonts w:hint="eastAsia" w:ascii="仿宋_GB2312" w:eastAsia="仿宋_GB2312"/>
          <w:sz w:val="30"/>
          <w:szCs w:val="30"/>
        </w:rPr>
        <w:t>沟通信函可以通过个性化方式呈现，可以考虑下列因素。</w:t>
      </w:r>
    </w:p>
    <w:p w14:paraId="640C3C30">
      <w:pPr>
        <w:pStyle w:val="66"/>
        <w:tabs>
          <w:tab w:val="left" w:pos="1134"/>
        </w:tabs>
        <w:spacing w:line="560" w:lineRule="exact"/>
        <w:ind w:firstLine="600"/>
        <w:jc w:val="left"/>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沟通信函</w:t>
      </w:r>
      <w:r>
        <w:rPr>
          <w:rFonts w:ascii="仿宋_GB2312" w:eastAsia="仿宋_GB2312"/>
          <w:sz w:val="30"/>
          <w:szCs w:val="30"/>
        </w:rPr>
        <w:t>应当</w:t>
      </w:r>
      <w:r>
        <w:rPr>
          <w:rFonts w:hint="eastAsia" w:ascii="仿宋_GB2312" w:eastAsia="仿宋_GB2312"/>
          <w:sz w:val="30"/>
          <w:szCs w:val="30"/>
        </w:rPr>
        <w:t>主要围绕</w:t>
      </w:r>
      <w:r>
        <w:rPr>
          <w:rFonts w:ascii="仿宋_GB2312" w:eastAsia="仿宋_GB2312"/>
          <w:sz w:val="30"/>
          <w:szCs w:val="30"/>
        </w:rPr>
        <w:t>公司的</w:t>
      </w:r>
      <w:r>
        <w:rPr>
          <w:rFonts w:hint="eastAsia" w:ascii="仿宋_GB2312" w:eastAsia="仿宋_GB2312"/>
          <w:sz w:val="30"/>
          <w:szCs w:val="30"/>
        </w:rPr>
        <w:t>经营</w:t>
      </w:r>
      <w:r>
        <w:rPr>
          <w:rFonts w:ascii="仿宋_GB2312" w:eastAsia="仿宋_GB2312"/>
          <w:sz w:val="30"/>
          <w:szCs w:val="30"/>
        </w:rPr>
        <w:t>活动</w:t>
      </w:r>
      <w:r>
        <w:rPr>
          <w:rFonts w:hint="eastAsia" w:ascii="仿宋_GB2312" w:eastAsia="仿宋_GB2312"/>
          <w:sz w:val="30"/>
          <w:szCs w:val="30"/>
        </w:rPr>
        <w:t>，</w:t>
      </w:r>
      <w:r>
        <w:rPr>
          <w:rFonts w:ascii="仿宋_GB2312" w:eastAsia="仿宋_GB2312"/>
          <w:sz w:val="30"/>
          <w:szCs w:val="30"/>
        </w:rPr>
        <w:t>避免</w:t>
      </w:r>
      <w:r>
        <w:rPr>
          <w:rFonts w:hint="eastAsia" w:ascii="仿宋_GB2312" w:eastAsia="仿宋_GB2312"/>
          <w:sz w:val="30"/>
          <w:szCs w:val="30"/>
        </w:rPr>
        <w:t>出现与</w:t>
      </w:r>
      <w:r>
        <w:rPr>
          <w:rFonts w:ascii="仿宋_GB2312" w:eastAsia="仿宋_GB2312"/>
          <w:sz w:val="30"/>
          <w:szCs w:val="30"/>
        </w:rPr>
        <w:t>经营无关</w:t>
      </w:r>
      <w:r>
        <w:rPr>
          <w:rFonts w:hint="eastAsia" w:ascii="仿宋_GB2312" w:eastAsia="仿宋_GB2312"/>
          <w:sz w:val="30"/>
          <w:szCs w:val="30"/>
        </w:rPr>
        <w:t>的</w:t>
      </w:r>
      <w:r>
        <w:rPr>
          <w:rFonts w:ascii="仿宋_GB2312" w:eastAsia="仿宋_GB2312"/>
          <w:sz w:val="30"/>
          <w:szCs w:val="30"/>
        </w:rPr>
        <w:t>内容，例如</w:t>
      </w:r>
      <w:r>
        <w:rPr>
          <w:rFonts w:hint="eastAsia" w:ascii="仿宋_GB2312" w:eastAsia="仿宋_GB2312"/>
          <w:sz w:val="30"/>
          <w:szCs w:val="30"/>
        </w:rPr>
        <w:t>，</w:t>
      </w:r>
      <w:r>
        <w:rPr>
          <w:rFonts w:ascii="仿宋_GB2312" w:eastAsia="仿宋_GB2312"/>
          <w:sz w:val="30"/>
          <w:szCs w:val="30"/>
        </w:rPr>
        <w:t>将沟通</w:t>
      </w:r>
      <w:r>
        <w:rPr>
          <w:rFonts w:hint="eastAsia" w:ascii="仿宋_GB2312" w:eastAsia="仿宋_GB2312"/>
          <w:sz w:val="30"/>
          <w:szCs w:val="30"/>
        </w:rPr>
        <w:t>信函用于</w:t>
      </w:r>
      <w:r>
        <w:rPr>
          <w:rFonts w:ascii="仿宋_GB2312" w:eastAsia="仿宋_GB2312"/>
          <w:sz w:val="30"/>
          <w:szCs w:val="30"/>
        </w:rPr>
        <w:t>发泄个人情绪</w:t>
      </w:r>
      <w:r>
        <w:rPr>
          <w:rFonts w:hint="eastAsia" w:ascii="仿宋_GB2312" w:eastAsia="仿宋_GB2312"/>
          <w:sz w:val="30"/>
          <w:szCs w:val="30"/>
        </w:rPr>
        <w:t>或诋毁</w:t>
      </w:r>
      <w:r>
        <w:rPr>
          <w:rFonts w:ascii="仿宋_GB2312" w:eastAsia="仿宋_GB2312"/>
          <w:sz w:val="30"/>
          <w:szCs w:val="30"/>
        </w:rPr>
        <w:t>竞争对手</w:t>
      </w:r>
      <w:r>
        <w:rPr>
          <w:rFonts w:hint="eastAsia" w:ascii="仿宋_GB2312" w:eastAsia="仿宋_GB2312"/>
          <w:sz w:val="30"/>
          <w:szCs w:val="30"/>
        </w:rPr>
        <w:t>。</w:t>
      </w:r>
    </w:p>
    <w:p w14:paraId="446DDE2C">
      <w:pPr>
        <w:pStyle w:val="66"/>
        <w:tabs>
          <w:tab w:val="left" w:pos="1134"/>
        </w:tabs>
        <w:spacing w:line="560" w:lineRule="exact"/>
        <w:ind w:firstLine="600"/>
        <w:jc w:val="lef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沟通信函</w:t>
      </w:r>
      <w:r>
        <w:rPr>
          <w:rFonts w:ascii="仿宋_GB2312" w:eastAsia="仿宋_GB2312"/>
          <w:sz w:val="30"/>
          <w:szCs w:val="30"/>
        </w:rPr>
        <w:t>中引用的财务</w:t>
      </w:r>
      <w:r>
        <w:rPr>
          <w:rFonts w:hint="eastAsia" w:ascii="仿宋_GB2312" w:eastAsia="仿宋_GB2312"/>
          <w:sz w:val="30"/>
          <w:szCs w:val="30"/>
        </w:rPr>
        <w:t>和</w:t>
      </w:r>
      <w:r>
        <w:rPr>
          <w:rFonts w:ascii="仿宋_GB2312" w:eastAsia="仿宋_GB2312"/>
          <w:sz w:val="30"/>
          <w:szCs w:val="30"/>
        </w:rPr>
        <w:t>非财务数据</w:t>
      </w:r>
      <w:r>
        <w:rPr>
          <w:rFonts w:hint="eastAsia" w:ascii="仿宋_GB2312" w:eastAsia="仿宋_GB2312"/>
          <w:sz w:val="30"/>
          <w:szCs w:val="30"/>
        </w:rPr>
        <w:t>，应当与</w:t>
      </w:r>
      <w:r>
        <w:rPr>
          <w:rFonts w:ascii="仿宋_GB2312" w:eastAsia="仿宋_GB2312"/>
          <w:sz w:val="30"/>
          <w:szCs w:val="30"/>
        </w:rPr>
        <w:t>年报</w:t>
      </w:r>
      <w:r>
        <w:rPr>
          <w:rFonts w:hint="eastAsia" w:ascii="仿宋_GB2312" w:eastAsia="仿宋_GB2312"/>
          <w:sz w:val="30"/>
          <w:szCs w:val="30"/>
        </w:rPr>
        <w:t>中披露</w:t>
      </w:r>
      <w:r>
        <w:rPr>
          <w:rFonts w:ascii="仿宋_GB2312" w:eastAsia="仿宋_GB2312"/>
          <w:sz w:val="30"/>
          <w:szCs w:val="30"/>
        </w:rPr>
        <w:t>的数据</w:t>
      </w:r>
      <w:r>
        <w:rPr>
          <w:rFonts w:hint="eastAsia" w:ascii="仿宋_GB2312" w:eastAsia="仿宋_GB2312"/>
          <w:sz w:val="30"/>
          <w:szCs w:val="30"/>
        </w:rPr>
        <w:t>一致。</w:t>
      </w:r>
    </w:p>
    <w:p w14:paraId="45F10491">
      <w:pPr>
        <w:pStyle w:val="66"/>
        <w:tabs>
          <w:tab w:val="left" w:pos="1134"/>
        </w:tabs>
        <w:spacing w:line="560" w:lineRule="exact"/>
        <w:ind w:firstLine="600"/>
        <w:jc w:val="left"/>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沟通</w:t>
      </w:r>
      <w:r>
        <w:rPr>
          <w:rFonts w:ascii="仿宋_GB2312" w:eastAsia="仿宋_GB2312"/>
          <w:sz w:val="30"/>
          <w:szCs w:val="30"/>
        </w:rPr>
        <w:t>信函</w:t>
      </w:r>
      <w:r>
        <w:rPr>
          <w:rFonts w:hint="eastAsia" w:ascii="仿宋_GB2312" w:eastAsia="仿宋_GB2312"/>
          <w:sz w:val="30"/>
          <w:szCs w:val="30"/>
        </w:rPr>
        <w:t>如涉及对公司</w:t>
      </w:r>
      <w:r>
        <w:rPr>
          <w:rFonts w:ascii="仿宋_GB2312" w:eastAsia="仿宋_GB2312"/>
          <w:sz w:val="30"/>
          <w:szCs w:val="30"/>
        </w:rPr>
        <w:t>未来经营状况的</w:t>
      </w:r>
      <w:r>
        <w:rPr>
          <w:rFonts w:hint="eastAsia" w:ascii="仿宋_GB2312" w:eastAsia="仿宋_GB2312"/>
          <w:sz w:val="30"/>
          <w:szCs w:val="30"/>
        </w:rPr>
        <w:t>展望</w:t>
      </w:r>
      <w:r>
        <w:rPr>
          <w:rFonts w:ascii="仿宋_GB2312" w:eastAsia="仿宋_GB2312"/>
          <w:sz w:val="30"/>
          <w:szCs w:val="30"/>
        </w:rPr>
        <w:t>、预测</w:t>
      </w:r>
      <w:r>
        <w:rPr>
          <w:rFonts w:hint="eastAsia" w:ascii="仿宋_GB2312" w:eastAsia="仿宋_GB2312"/>
          <w:sz w:val="30"/>
          <w:szCs w:val="30"/>
        </w:rPr>
        <w:t>或</w:t>
      </w:r>
      <w:r>
        <w:rPr>
          <w:rFonts w:ascii="仿宋_GB2312" w:eastAsia="仿宋_GB2312"/>
          <w:sz w:val="30"/>
          <w:szCs w:val="30"/>
        </w:rPr>
        <w:t>承诺，</w:t>
      </w:r>
      <w:r>
        <w:rPr>
          <w:rFonts w:hint="eastAsia" w:ascii="仿宋_GB2312" w:eastAsia="仿宋_GB2312"/>
          <w:sz w:val="30"/>
          <w:szCs w:val="30"/>
        </w:rPr>
        <w:t>应当具有</w:t>
      </w:r>
      <w:r>
        <w:rPr>
          <w:rFonts w:ascii="仿宋_GB2312" w:eastAsia="仿宋_GB2312"/>
          <w:sz w:val="30"/>
          <w:szCs w:val="30"/>
        </w:rPr>
        <w:t>可靠信息支撑并</w:t>
      </w:r>
      <w:r>
        <w:rPr>
          <w:rFonts w:hint="eastAsia" w:ascii="仿宋_GB2312" w:eastAsia="仿宋_GB2312"/>
          <w:sz w:val="30"/>
          <w:szCs w:val="30"/>
        </w:rPr>
        <w:t>保持审慎</w:t>
      </w:r>
      <w:r>
        <w:rPr>
          <w:rFonts w:ascii="仿宋_GB2312" w:eastAsia="仿宋_GB2312"/>
          <w:sz w:val="30"/>
          <w:szCs w:val="30"/>
        </w:rPr>
        <w:t>态度</w:t>
      </w:r>
      <w:r>
        <w:rPr>
          <w:rFonts w:hint="eastAsia" w:ascii="仿宋_GB2312" w:eastAsia="仿宋_GB2312"/>
          <w:sz w:val="30"/>
          <w:szCs w:val="30"/>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73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A490C90">
            <w:pPr>
              <w:spacing w:line="560" w:lineRule="exact"/>
              <w:ind w:firstLine="482" w:firstLineChars="200"/>
              <w:jc w:val="center"/>
              <w:rPr>
                <w:rFonts w:hint="eastAsia" w:ascii="宋体" w:hAnsi="宋体"/>
                <w:b/>
                <w:sz w:val="24"/>
                <w:szCs w:val="24"/>
              </w:rPr>
            </w:pPr>
            <w:r>
              <w:rPr>
                <w:rFonts w:hint="eastAsia" w:ascii="宋体" w:hAnsi="宋体"/>
                <w:b/>
                <w:sz w:val="24"/>
                <w:szCs w:val="24"/>
              </w:rPr>
              <w:t>示 例</w:t>
            </w:r>
          </w:p>
        </w:tc>
      </w:tr>
      <w:tr w14:paraId="3F26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CC069C">
            <w:pPr>
              <w:spacing w:line="560" w:lineRule="exact"/>
              <w:ind w:firstLine="480" w:firstLineChars="200"/>
              <w:rPr>
                <w:rFonts w:hint="eastAsia" w:ascii="宋体" w:hAnsi="宋体"/>
                <w:sz w:val="24"/>
                <w:szCs w:val="24"/>
              </w:rPr>
            </w:pPr>
            <w:r>
              <w:rPr>
                <w:rFonts w:hint="eastAsia" w:ascii="宋体" w:hAnsi="宋体"/>
                <w:sz w:val="24"/>
                <w:szCs w:val="24"/>
              </w:rPr>
              <w:t>I公司</w:t>
            </w:r>
            <w:r>
              <w:rPr>
                <w:rFonts w:ascii="宋体" w:hAnsi="宋体"/>
                <w:sz w:val="24"/>
                <w:szCs w:val="24"/>
              </w:rPr>
              <w:t>在</w:t>
            </w:r>
            <w:r>
              <w:rPr>
                <w:rFonts w:hint="eastAsia" w:ascii="宋体" w:hAnsi="宋体"/>
                <w:sz w:val="24"/>
                <w:szCs w:val="24"/>
              </w:rPr>
              <w:t>其2019年年报中</w:t>
            </w:r>
            <w:r>
              <w:rPr>
                <w:rFonts w:ascii="宋体" w:hAnsi="宋体"/>
                <w:sz w:val="24"/>
                <w:szCs w:val="24"/>
              </w:rPr>
              <w:t>披露了一封沟通信函，</w:t>
            </w:r>
            <w:r>
              <w:rPr>
                <w:rFonts w:hint="eastAsia" w:ascii="宋体" w:hAnsi="宋体"/>
                <w:sz w:val="24"/>
                <w:szCs w:val="24"/>
              </w:rPr>
              <w:t>采用</w:t>
            </w:r>
            <w:r>
              <w:rPr>
                <w:rFonts w:ascii="宋体" w:hAnsi="宋体"/>
                <w:sz w:val="24"/>
                <w:szCs w:val="24"/>
              </w:rPr>
              <w:t>递进式的行文逻辑，</w:t>
            </w:r>
            <w:r>
              <w:rPr>
                <w:rFonts w:hint="eastAsia" w:ascii="宋体" w:hAnsi="宋体"/>
                <w:sz w:val="24"/>
                <w:szCs w:val="24"/>
              </w:rPr>
              <w:t>从公司</w:t>
            </w:r>
            <w:r>
              <w:rPr>
                <w:rFonts w:ascii="宋体" w:hAnsi="宋体"/>
                <w:sz w:val="24"/>
                <w:szCs w:val="24"/>
              </w:rPr>
              <w:t>的业绩</w:t>
            </w:r>
            <w:r>
              <w:rPr>
                <w:rFonts w:hint="eastAsia" w:ascii="宋体" w:hAnsi="宋体"/>
                <w:sz w:val="24"/>
                <w:szCs w:val="24"/>
              </w:rPr>
              <w:t>出发</w:t>
            </w:r>
            <w:r>
              <w:rPr>
                <w:rFonts w:ascii="宋体" w:hAnsi="宋体"/>
                <w:sz w:val="24"/>
                <w:szCs w:val="24"/>
              </w:rPr>
              <w:t>，</w:t>
            </w:r>
            <w:r>
              <w:rPr>
                <w:rFonts w:hint="eastAsia" w:ascii="宋体" w:hAnsi="宋体"/>
                <w:sz w:val="24"/>
                <w:szCs w:val="24"/>
              </w:rPr>
              <w:t>依次</w:t>
            </w:r>
            <w:r>
              <w:rPr>
                <w:rFonts w:ascii="宋体" w:hAnsi="宋体"/>
                <w:sz w:val="24"/>
                <w:szCs w:val="24"/>
              </w:rPr>
              <w:t>介绍</w:t>
            </w:r>
            <w:r>
              <w:rPr>
                <w:rFonts w:hint="eastAsia" w:ascii="宋体" w:hAnsi="宋体"/>
                <w:sz w:val="24"/>
                <w:szCs w:val="24"/>
              </w:rPr>
              <w:t>公司的</w:t>
            </w:r>
            <w:r>
              <w:rPr>
                <w:rFonts w:ascii="宋体" w:hAnsi="宋体"/>
                <w:sz w:val="24"/>
                <w:szCs w:val="24"/>
              </w:rPr>
              <w:t>业绩</w:t>
            </w:r>
            <w:r>
              <w:rPr>
                <w:rFonts w:hint="eastAsia" w:ascii="宋体" w:hAnsi="宋体"/>
                <w:sz w:val="24"/>
                <w:szCs w:val="24"/>
              </w:rPr>
              <w:t>增长</w:t>
            </w:r>
            <w:r>
              <w:rPr>
                <w:rFonts w:ascii="宋体" w:hAnsi="宋体"/>
                <w:sz w:val="24"/>
                <w:szCs w:val="24"/>
              </w:rPr>
              <w:t>动因、</w:t>
            </w:r>
            <w:r>
              <w:rPr>
                <w:rFonts w:hint="eastAsia" w:ascii="宋体" w:hAnsi="宋体"/>
                <w:sz w:val="24"/>
                <w:szCs w:val="24"/>
              </w:rPr>
              <w:t>未来</w:t>
            </w:r>
            <w:r>
              <w:rPr>
                <w:rFonts w:ascii="宋体" w:hAnsi="宋体"/>
                <w:sz w:val="24"/>
                <w:szCs w:val="24"/>
              </w:rPr>
              <w:t>的</w:t>
            </w:r>
            <w:r>
              <w:rPr>
                <w:rFonts w:hint="eastAsia" w:ascii="宋体" w:hAnsi="宋体"/>
                <w:sz w:val="24"/>
                <w:szCs w:val="24"/>
              </w:rPr>
              <w:t>战略</w:t>
            </w:r>
            <w:r>
              <w:rPr>
                <w:rFonts w:ascii="宋体" w:hAnsi="宋体"/>
                <w:sz w:val="24"/>
                <w:szCs w:val="24"/>
              </w:rPr>
              <w:t>方向</w:t>
            </w:r>
            <w:r>
              <w:rPr>
                <w:rFonts w:hint="eastAsia" w:ascii="宋体" w:hAnsi="宋体"/>
                <w:sz w:val="24"/>
                <w:szCs w:val="24"/>
              </w:rPr>
              <w:t>及行动措施</w:t>
            </w:r>
            <w:r>
              <w:rPr>
                <w:rFonts w:ascii="宋体" w:hAnsi="宋体"/>
                <w:sz w:val="24"/>
                <w:szCs w:val="24"/>
              </w:rPr>
              <w:t>。</w:t>
            </w:r>
            <w:r>
              <w:rPr>
                <w:rFonts w:hint="eastAsia" w:ascii="宋体" w:hAnsi="宋体"/>
                <w:sz w:val="24"/>
                <w:szCs w:val="24"/>
              </w:rPr>
              <w:t>I公司以出货量</w:t>
            </w:r>
            <w:r>
              <w:rPr>
                <w:rFonts w:ascii="宋体" w:hAnsi="宋体"/>
                <w:sz w:val="24"/>
                <w:szCs w:val="24"/>
              </w:rPr>
              <w:t>、行业排名等</w:t>
            </w:r>
            <w:r>
              <w:rPr>
                <w:rFonts w:hint="eastAsia" w:ascii="宋体" w:hAnsi="宋体"/>
                <w:sz w:val="24"/>
                <w:szCs w:val="24"/>
              </w:rPr>
              <w:t>非财务指标简要概括</w:t>
            </w:r>
            <w:r>
              <w:rPr>
                <w:rFonts w:ascii="宋体" w:hAnsi="宋体"/>
                <w:sz w:val="24"/>
                <w:szCs w:val="24"/>
              </w:rPr>
              <w:t>了公司</w:t>
            </w:r>
            <w:r>
              <w:rPr>
                <w:rFonts w:hint="eastAsia" w:ascii="宋体" w:hAnsi="宋体"/>
                <w:sz w:val="24"/>
                <w:szCs w:val="24"/>
              </w:rPr>
              <w:t>2019年</w:t>
            </w:r>
            <w:r>
              <w:rPr>
                <w:rFonts w:ascii="宋体" w:hAnsi="宋体"/>
                <w:sz w:val="24"/>
                <w:szCs w:val="24"/>
              </w:rPr>
              <w:t>的业绩状况，</w:t>
            </w:r>
            <w:r>
              <w:rPr>
                <w:rFonts w:hint="eastAsia" w:ascii="宋体" w:hAnsi="宋体"/>
                <w:sz w:val="24"/>
                <w:szCs w:val="24"/>
              </w:rPr>
              <w:t>并从</w:t>
            </w:r>
            <w:r>
              <w:rPr>
                <w:rFonts w:ascii="宋体" w:hAnsi="宋体"/>
                <w:sz w:val="24"/>
                <w:szCs w:val="24"/>
              </w:rPr>
              <w:t>品牌</w:t>
            </w:r>
            <w:r>
              <w:rPr>
                <w:rFonts w:hint="eastAsia" w:ascii="宋体" w:hAnsi="宋体"/>
                <w:sz w:val="24"/>
                <w:szCs w:val="24"/>
              </w:rPr>
              <w:t>独立</w:t>
            </w:r>
            <w:r>
              <w:rPr>
                <w:rFonts w:ascii="宋体" w:hAnsi="宋体"/>
                <w:sz w:val="24"/>
                <w:szCs w:val="24"/>
              </w:rPr>
              <w:t>运营带来</w:t>
            </w:r>
            <w:r>
              <w:rPr>
                <w:rFonts w:hint="eastAsia" w:ascii="宋体" w:hAnsi="宋体"/>
                <w:sz w:val="24"/>
                <w:szCs w:val="24"/>
              </w:rPr>
              <w:t>库存降低的</w:t>
            </w:r>
            <w:r>
              <w:rPr>
                <w:rFonts w:ascii="宋体" w:hAnsi="宋体"/>
                <w:sz w:val="24"/>
                <w:szCs w:val="24"/>
              </w:rPr>
              <w:t>短期效应和</w:t>
            </w:r>
            <w:r>
              <w:rPr>
                <w:rFonts w:hint="eastAsia" w:ascii="宋体" w:hAnsi="宋体"/>
                <w:sz w:val="24"/>
                <w:szCs w:val="24"/>
              </w:rPr>
              <w:t>“技术</w:t>
            </w:r>
            <w:r>
              <w:rPr>
                <w:rFonts w:ascii="宋体" w:hAnsi="宋体"/>
                <w:sz w:val="24"/>
                <w:szCs w:val="24"/>
              </w:rPr>
              <w:t>立业</w:t>
            </w:r>
            <w:r>
              <w:rPr>
                <w:rFonts w:hint="eastAsia" w:ascii="宋体" w:hAnsi="宋体"/>
                <w:sz w:val="24"/>
                <w:szCs w:val="24"/>
              </w:rPr>
              <w:t>”带来</w:t>
            </w:r>
            <w:r>
              <w:rPr>
                <w:rFonts w:ascii="宋体" w:hAnsi="宋体"/>
                <w:sz w:val="24"/>
                <w:szCs w:val="24"/>
              </w:rPr>
              <w:t>的长期效果</w:t>
            </w:r>
            <w:r>
              <w:rPr>
                <w:rFonts w:hint="eastAsia" w:ascii="宋体" w:hAnsi="宋体"/>
                <w:sz w:val="24"/>
                <w:szCs w:val="24"/>
              </w:rPr>
              <w:t>两方面</w:t>
            </w:r>
            <w:r>
              <w:rPr>
                <w:rFonts w:ascii="宋体" w:hAnsi="宋体"/>
                <w:sz w:val="24"/>
                <w:szCs w:val="24"/>
              </w:rPr>
              <w:t>解释业绩动因</w:t>
            </w:r>
            <w:r>
              <w:rPr>
                <w:rFonts w:hint="eastAsia" w:ascii="宋体" w:hAnsi="宋体"/>
                <w:sz w:val="24"/>
                <w:szCs w:val="24"/>
              </w:rPr>
              <w:t>。</w:t>
            </w:r>
            <w:r>
              <w:rPr>
                <w:rFonts w:ascii="宋体" w:hAnsi="宋体"/>
                <w:sz w:val="24"/>
                <w:szCs w:val="24"/>
              </w:rPr>
              <w:t>在此</w:t>
            </w:r>
            <w:r>
              <w:rPr>
                <w:rFonts w:hint="eastAsia" w:ascii="宋体" w:hAnsi="宋体"/>
                <w:sz w:val="24"/>
                <w:szCs w:val="24"/>
              </w:rPr>
              <w:t>基础</w:t>
            </w:r>
            <w:r>
              <w:rPr>
                <w:rFonts w:ascii="宋体" w:hAnsi="宋体"/>
                <w:sz w:val="24"/>
                <w:szCs w:val="24"/>
              </w:rPr>
              <w:t>上</w:t>
            </w:r>
            <w:r>
              <w:rPr>
                <w:rFonts w:hint="eastAsia" w:ascii="宋体" w:hAnsi="宋体"/>
                <w:sz w:val="24"/>
                <w:szCs w:val="24"/>
              </w:rPr>
              <w:t>，I公司</w:t>
            </w:r>
            <w:r>
              <w:rPr>
                <w:rFonts w:ascii="宋体" w:hAnsi="宋体"/>
                <w:sz w:val="24"/>
                <w:szCs w:val="24"/>
              </w:rPr>
              <w:t>提出战略</w:t>
            </w:r>
            <w:r>
              <w:rPr>
                <w:rFonts w:hint="eastAsia" w:ascii="宋体" w:hAnsi="宋体"/>
                <w:sz w:val="24"/>
                <w:szCs w:val="24"/>
              </w:rPr>
              <w:t>规划</w:t>
            </w:r>
            <w:r>
              <w:rPr>
                <w:rFonts w:ascii="宋体" w:hAnsi="宋体"/>
                <w:sz w:val="24"/>
                <w:szCs w:val="24"/>
              </w:rPr>
              <w:t>，明确</w:t>
            </w:r>
            <w:r>
              <w:rPr>
                <w:rFonts w:hint="eastAsia" w:ascii="宋体" w:hAnsi="宋体"/>
                <w:sz w:val="24"/>
                <w:szCs w:val="24"/>
              </w:rPr>
              <w:t>未来五年在</w:t>
            </w:r>
            <w:r>
              <w:rPr>
                <w:rFonts w:ascii="宋体" w:hAnsi="宋体"/>
                <w:sz w:val="24"/>
                <w:szCs w:val="24"/>
              </w:rPr>
              <w:t>上述领域至少投入</w:t>
            </w:r>
            <w:r>
              <w:rPr>
                <w:rFonts w:hint="eastAsia" w:ascii="宋体" w:hAnsi="宋体"/>
                <w:sz w:val="24"/>
                <w:szCs w:val="24"/>
              </w:rPr>
              <w:t>50亿元</w:t>
            </w:r>
            <w:r>
              <w:rPr>
                <w:rFonts w:ascii="宋体" w:hAnsi="宋体"/>
                <w:sz w:val="24"/>
                <w:szCs w:val="24"/>
              </w:rPr>
              <w:t>。</w:t>
            </w:r>
            <w:r>
              <w:rPr>
                <w:rFonts w:hint="eastAsia" w:ascii="宋体" w:hAnsi="宋体"/>
                <w:sz w:val="24"/>
                <w:szCs w:val="24"/>
              </w:rPr>
              <w:t>I公司</w:t>
            </w:r>
            <w:r>
              <w:rPr>
                <w:rFonts w:ascii="宋体" w:hAnsi="宋体"/>
                <w:sz w:val="24"/>
                <w:szCs w:val="24"/>
              </w:rPr>
              <w:t>的</w:t>
            </w:r>
            <w:r>
              <w:rPr>
                <w:rFonts w:hint="eastAsia" w:ascii="宋体" w:hAnsi="宋体"/>
                <w:sz w:val="24"/>
                <w:szCs w:val="24"/>
              </w:rPr>
              <w:t>沟通</w:t>
            </w:r>
            <w:r>
              <w:rPr>
                <w:rFonts w:ascii="宋体" w:hAnsi="宋体"/>
                <w:sz w:val="24"/>
                <w:szCs w:val="24"/>
              </w:rPr>
              <w:t>信函以直观</w:t>
            </w:r>
            <w:r>
              <w:rPr>
                <w:rFonts w:hint="eastAsia" w:ascii="宋体" w:hAnsi="宋体"/>
                <w:sz w:val="24"/>
                <w:szCs w:val="24"/>
              </w:rPr>
              <w:t>简明</w:t>
            </w:r>
            <w:r>
              <w:rPr>
                <w:rFonts w:ascii="宋体" w:hAnsi="宋体"/>
                <w:sz w:val="24"/>
                <w:szCs w:val="24"/>
              </w:rPr>
              <w:t>的</w:t>
            </w:r>
            <w:r>
              <w:rPr>
                <w:rFonts w:hint="eastAsia" w:ascii="宋体" w:hAnsi="宋体"/>
                <w:sz w:val="24"/>
                <w:szCs w:val="24"/>
              </w:rPr>
              <w:t>形式，展现</w:t>
            </w:r>
            <w:r>
              <w:rPr>
                <w:rFonts w:ascii="宋体" w:hAnsi="宋体"/>
                <w:sz w:val="24"/>
                <w:szCs w:val="24"/>
              </w:rPr>
              <w:t>了公司</w:t>
            </w:r>
            <w:r>
              <w:rPr>
                <w:rFonts w:hint="eastAsia" w:ascii="宋体" w:hAnsi="宋体"/>
                <w:sz w:val="24"/>
                <w:szCs w:val="24"/>
              </w:rPr>
              <w:t>的</w:t>
            </w:r>
            <w:r>
              <w:rPr>
                <w:rFonts w:ascii="宋体" w:hAnsi="宋体"/>
                <w:sz w:val="24"/>
                <w:szCs w:val="24"/>
              </w:rPr>
              <w:t>业绩成果和发展方向。</w:t>
            </w:r>
          </w:p>
        </w:tc>
      </w:tr>
    </w:tbl>
    <w:p w14:paraId="40D1AC43">
      <w:pPr>
        <w:spacing w:line="560" w:lineRule="exact"/>
        <w:ind w:firstLine="600" w:firstLineChars="200"/>
        <w:rPr>
          <w:rFonts w:ascii="仿宋_GB2312" w:eastAsia="仿宋_GB2312"/>
          <w:sz w:val="30"/>
          <w:szCs w:val="30"/>
        </w:rPr>
      </w:pPr>
    </w:p>
    <w:p w14:paraId="46CA4E0C">
      <w:pPr>
        <w:pStyle w:val="66"/>
        <w:numPr>
          <w:ilvl w:val="0"/>
          <w:numId w:val="0"/>
        </w:numPr>
        <w:spacing w:line="560" w:lineRule="exact"/>
        <w:ind w:left="0" w:leftChars="0" w:firstLine="602" w:firstLineChars="200"/>
        <w:jc w:val="center"/>
        <w:outlineLvl w:val="1"/>
        <w:rPr>
          <w:rFonts w:ascii="仿宋_GB2312" w:eastAsia="仿宋_GB2312"/>
          <w:b/>
          <w:sz w:val="30"/>
          <w:szCs w:val="30"/>
        </w:rPr>
      </w:pPr>
      <w:r>
        <w:rPr>
          <w:rFonts w:hint="default" w:ascii="仿宋_GB2312" w:hAnsi="Times New Roman" w:eastAsia="仿宋_GB2312" w:cs="Times New Roman"/>
          <w:b/>
          <w:kern w:val="2"/>
          <w:sz w:val="30"/>
          <w:szCs w:val="30"/>
          <w:lang w:val="en-US" w:eastAsia="zh-CN" w:bidi="ar-SA"/>
        </w:rPr>
        <w:t>（十四）</w:t>
      </w:r>
      <w:r>
        <w:rPr>
          <w:rFonts w:hint="eastAsia" w:ascii="仿宋_GB2312" w:eastAsia="仿宋_GB2312"/>
          <w:b/>
          <w:sz w:val="30"/>
          <w:szCs w:val="30"/>
        </w:rPr>
        <w:t>环境、社会责任和公司治理</w:t>
      </w:r>
    </w:p>
    <w:p w14:paraId="5A20F5AE">
      <w:pPr>
        <w:spacing w:line="560" w:lineRule="exact"/>
        <w:ind w:firstLine="600" w:firstLineChars="200"/>
        <w:rPr>
          <w:rFonts w:ascii="仿宋_GB2312" w:eastAsia="仿宋_GB2312"/>
          <w:sz w:val="30"/>
          <w:szCs w:val="30"/>
        </w:rPr>
      </w:pPr>
    </w:p>
    <w:p w14:paraId="3D7DED73">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可以在根据法律规则的规定，披露环境保护、社会责任履行情况和公司治理一般信息的基础上，根据所在行业、业务特点、治理结构，进一步披露环境、社会责任和公司治理方面的个性化信息。具体包括：</w:t>
      </w:r>
    </w:p>
    <w:p w14:paraId="230B3B6E">
      <w:pPr>
        <w:pStyle w:val="66"/>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需遵守的环境保护方面的规定、污染物排放情况、环境保护设施建设及投入、主要能源消耗结构等。</w:t>
      </w:r>
    </w:p>
    <w:p w14:paraId="00F3BEF6">
      <w:pPr>
        <w:pStyle w:val="66"/>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劳动健康、员工福利、员工晋升及培训、人员流失等员工保护和发展情况。</w:t>
      </w:r>
    </w:p>
    <w:p w14:paraId="21F1883C">
      <w:pPr>
        <w:pStyle w:val="66"/>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产品安全、合规经营、公益活动等履行社会责任方面的信息。</w:t>
      </w:r>
    </w:p>
    <w:p w14:paraId="4A04275C">
      <w:pPr>
        <w:pStyle w:val="66"/>
        <w:tabs>
          <w:tab w:val="left" w:pos="0"/>
          <w:tab w:val="left" w:pos="993"/>
          <w:tab w:val="left" w:pos="1134"/>
        </w:tabs>
        <w:spacing w:line="560" w:lineRule="exact"/>
        <w:ind w:firstLine="6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公司治理结构、投资者关系及保护、信息披露透明度等公司治理和投资者保护方面的信息。</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5E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66D74B">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披露对外</w:t>
            </w:r>
            <w:r>
              <w:rPr>
                <w:rFonts w:hint="eastAsia" w:ascii="宋体" w:hAnsi="宋体"/>
                <w:b/>
                <w:sz w:val="24"/>
                <w:szCs w:val="24"/>
              </w:rPr>
              <w:t>捐赠</w:t>
            </w:r>
            <w:r>
              <w:rPr>
                <w:rFonts w:ascii="宋体" w:hAnsi="宋体"/>
                <w:b/>
                <w:sz w:val="24"/>
                <w:szCs w:val="24"/>
              </w:rPr>
              <w:t>的公告</w:t>
            </w:r>
          </w:p>
        </w:tc>
      </w:tr>
      <w:tr w14:paraId="70D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3F45E5F">
            <w:pPr>
              <w:spacing w:line="560" w:lineRule="exact"/>
              <w:ind w:firstLine="480" w:firstLineChars="200"/>
              <w:rPr>
                <w:rFonts w:hint="eastAsia" w:ascii="宋体" w:hAnsi="宋体"/>
                <w:sz w:val="24"/>
                <w:szCs w:val="24"/>
              </w:rPr>
            </w:pPr>
            <w:r>
              <w:rPr>
                <w:rFonts w:hint="eastAsia" w:ascii="宋体" w:hAnsi="宋体"/>
                <w:sz w:val="24"/>
                <w:szCs w:val="24"/>
              </w:rPr>
              <w:t>某医疗器械</w:t>
            </w:r>
            <w:r>
              <w:rPr>
                <w:rFonts w:ascii="宋体" w:hAnsi="宋体"/>
                <w:sz w:val="24"/>
                <w:szCs w:val="24"/>
              </w:rPr>
              <w:t>公司</w:t>
            </w:r>
            <w:r>
              <w:rPr>
                <w:rFonts w:hint="eastAsia" w:ascii="宋体" w:hAnsi="宋体"/>
                <w:sz w:val="24"/>
                <w:szCs w:val="24"/>
              </w:rPr>
              <w:t>J</w:t>
            </w:r>
            <w:r>
              <w:rPr>
                <w:rFonts w:ascii="宋体" w:hAnsi="宋体"/>
                <w:sz w:val="24"/>
                <w:szCs w:val="24"/>
              </w:rPr>
              <w:t>在新冠病毒肺炎疫情期间捐赠物资，披露：</w:t>
            </w:r>
            <w:r>
              <w:rPr>
                <w:rFonts w:hint="eastAsia" w:ascii="宋体" w:hAnsi="宋体"/>
                <w:sz w:val="24"/>
                <w:szCs w:val="24"/>
              </w:rPr>
              <w:t>为助力疫情防控工作，切实履行上市公司社会责任，J公司</w:t>
            </w:r>
            <w:r>
              <w:rPr>
                <w:rFonts w:ascii="宋体" w:hAnsi="宋体"/>
                <w:sz w:val="24"/>
                <w:szCs w:val="24"/>
              </w:rPr>
              <w:t>董事会</w:t>
            </w:r>
            <w:r>
              <w:rPr>
                <w:rFonts w:hint="eastAsia" w:ascii="宋体" w:hAnsi="宋体"/>
                <w:sz w:val="24"/>
                <w:szCs w:val="24"/>
              </w:rPr>
              <w:t>审议通过《关于向XX医院</w:t>
            </w:r>
            <w:r>
              <w:rPr>
                <w:rFonts w:ascii="宋体" w:hAnsi="宋体"/>
                <w:sz w:val="24"/>
                <w:szCs w:val="24"/>
              </w:rPr>
              <w:t>捐赠医疗防疫物资的议案</w:t>
            </w:r>
            <w:r>
              <w:rPr>
                <w:rFonts w:hint="eastAsia" w:ascii="宋体" w:hAnsi="宋体"/>
                <w:sz w:val="24"/>
                <w:szCs w:val="24"/>
              </w:rPr>
              <w:t>》。本次捐赠</w:t>
            </w:r>
            <w:r>
              <w:rPr>
                <w:rFonts w:ascii="宋体" w:hAnsi="宋体"/>
                <w:sz w:val="24"/>
                <w:szCs w:val="24"/>
              </w:rPr>
              <w:t>对象</w:t>
            </w:r>
            <w:r>
              <w:rPr>
                <w:rFonts w:hint="eastAsia" w:ascii="宋体" w:hAnsi="宋体"/>
                <w:sz w:val="24"/>
                <w:szCs w:val="24"/>
              </w:rPr>
              <w:t>为</w:t>
            </w:r>
            <w:r>
              <w:rPr>
                <w:rFonts w:ascii="宋体" w:hAnsi="宋体"/>
                <w:sz w:val="24"/>
                <w:szCs w:val="24"/>
              </w:rPr>
              <w:t>公司所在地</w:t>
            </w:r>
            <w:r>
              <w:rPr>
                <w:rFonts w:hint="eastAsia" w:ascii="宋体" w:hAnsi="宋体"/>
                <w:sz w:val="24"/>
                <w:szCs w:val="24"/>
              </w:rPr>
              <w:t>收治</w:t>
            </w:r>
            <w:r>
              <w:rPr>
                <w:rFonts w:ascii="宋体" w:hAnsi="宋体"/>
                <w:sz w:val="24"/>
                <w:szCs w:val="24"/>
              </w:rPr>
              <w:t>新冠肺炎</w:t>
            </w:r>
            <w:r>
              <w:rPr>
                <w:rFonts w:hint="eastAsia" w:ascii="宋体" w:hAnsi="宋体"/>
                <w:sz w:val="24"/>
                <w:szCs w:val="24"/>
              </w:rPr>
              <w:t>患者的</w:t>
            </w:r>
            <w:r>
              <w:rPr>
                <w:rFonts w:ascii="宋体" w:hAnsi="宋体"/>
                <w:sz w:val="24"/>
                <w:szCs w:val="24"/>
              </w:rPr>
              <w:t>三甲医院</w:t>
            </w:r>
            <w:r>
              <w:rPr>
                <w:rFonts w:hint="eastAsia" w:ascii="宋体" w:hAnsi="宋体"/>
                <w:sz w:val="24"/>
                <w:szCs w:val="24"/>
              </w:rPr>
              <w:t>，捐赠物资</w:t>
            </w:r>
            <w:r>
              <w:rPr>
                <w:rFonts w:ascii="宋体" w:hAnsi="宋体"/>
                <w:sz w:val="24"/>
                <w:szCs w:val="24"/>
              </w:rPr>
              <w:t>包括口罩、防护目镜、</w:t>
            </w:r>
            <w:r>
              <w:rPr>
                <w:rFonts w:hint="eastAsia" w:ascii="宋体" w:hAnsi="宋体"/>
                <w:sz w:val="24"/>
                <w:szCs w:val="24"/>
              </w:rPr>
              <w:t>防护服等</w:t>
            </w:r>
            <w:r>
              <w:rPr>
                <w:rFonts w:ascii="宋体" w:hAnsi="宋体"/>
                <w:sz w:val="24"/>
                <w:szCs w:val="24"/>
              </w:rPr>
              <w:t>医疗防疫物资，</w:t>
            </w:r>
            <w:r>
              <w:rPr>
                <w:rFonts w:hint="eastAsia" w:ascii="宋体" w:hAnsi="宋体"/>
                <w:sz w:val="24"/>
                <w:szCs w:val="24"/>
              </w:rPr>
              <w:t>捐赠物资</w:t>
            </w:r>
            <w:r>
              <w:rPr>
                <w:rFonts w:ascii="宋体" w:hAnsi="宋体"/>
                <w:sz w:val="24"/>
                <w:szCs w:val="24"/>
              </w:rPr>
              <w:t>金额共计</w:t>
            </w:r>
            <w:r>
              <w:rPr>
                <w:rFonts w:hint="eastAsia" w:ascii="宋体" w:hAnsi="宋体"/>
                <w:sz w:val="24"/>
                <w:szCs w:val="24"/>
              </w:rPr>
              <w:t>100万元。本次捐赠物资</w:t>
            </w:r>
            <w:r>
              <w:rPr>
                <w:rFonts w:ascii="宋体" w:hAnsi="宋体"/>
                <w:sz w:val="24"/>
                <w:szCs w:val="24"/>
              </w:rPr>
              <w:t>的采购资金均来自公司自有资金，</w:t>
            </w:r>
            <w:r>
              <w:rPr>
                <w:rFonts w:hint="eastAsia" w:ascii="宋体" w:hAnsi="宋体"/>
                <w:sz w:val="24"/>
                <w:szCs w:val="24"/>
              </w:rPr>
              <w:t>不会对公司生产经营造成重大影响，不会影响公司研发投入和项目建设，不存在损害公司和投资者利益的情形。</w:t>
            </w:r>
          </w:p>
        </w:tc>
      </w:tr>
    </w:tbl>
    <w:p w14:paraId="3C2EE043">
      <w:pPr>
        <w:spacing w:line="560" w:lineRule="exact"/>
        <w:ind w:firstLine="602" w:firstLineChars="200"/>
        <w:jc w:val="center"/>
        <w:rPr>
          <w:rFonts w:ascii="仿宋_GB2312" w:eastAsia="仿宋_GB2312"/>
          <w:b/>
          <w:sz w:val="30"/>
          <w:szCs w:val="30"/>
        </w:rPr>
      </w:pPr>
    </w:p>
    <w:p w14:paraId="6D5E2FA5">
      <w:pPr>
        <w:adjustRightInd w:val="0"/>
        <w:snapToGrid w:val="0"/>
        <w:spacing w:line="560" w:lineRule="exact"/>
        <w:ind w:firstLine="601" w:firstLineChars="200"/>
        <w:jc w:val="left"/>
        <w:outlineLvl w:val="0"/>
        <w:rPr>
          <w:rFonts w:hint="eastAsia" w:ascii="华文中宋" w:hAnsi="华文中宋" w:eastAsia="华文中宋"/>
          <w:b/>
          <w:sz w:val="30"/>
          <w:szCs w:val="30"/>
        </w:rPr>
      </w:pPr>
      <w:r>
        <w:rPr>
          <w:rFonts w:hint="eastAsia" w:ascii="华文中宋" w:hAnsi="华文中宋" w:eastAsia="华文中宋"/>
          <w:b/>
          <w:sz w:val="30"/>
          <w:szCs w:val="30"/>
        </w:rPr>
        <w:t>五、避免不当披露引起股价波动</w:t>
      </w:r>
    </w:p>
    <w:p w14:paraId="5156CDD1">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科创公司不得</w:t>
      </w:r>
      <w:r>
        <w:rPr>
          <w:rFonts w:ascii="仿宋_GB2312" w:eastAsia="仿宋_GB2312"/>
          <w:sz w:val="30"/>
          <w:szCs w:val="30"/>
        </w:rPr>
        <w:t>利用自愿披露信息不当影响股票交易价格，干扰投资者价值判断，扰乱证券市场秩序，</w:t>
      </w:r>
      <w:r>
        <w:rPr>
          <w:rFonts w:hint="eastAsia" w:ascii="仿宋_GB2312" w:eastAsia="仿宋_GB2312"/>
          <w:sz w:val="30"/>
          <w:szCs w:val="30"/>
        </w:rPr>
        <w:t>甚至</w:t>
      </w:r>
      <w:r>
        <w:rPr>
          <w:rFonts w:ascii="仿宋_GB2312" w:eastAsia="仿宋_GB2312"/>
          <w:sz w:val="30"/>
          <w:szCs w:val="30"/>
        </w:rPr>
        <w:t>从事市场操纵、内幕交易或者其他违法违规行为。</w:t>
      </w:r>
    </w:p>
    <w:p w14:paraId="0A22B4F4">
      <w:pPr>
        <w:spacing w:line="560" w:lineRule="exact"/>
        <w:ind w:firstLine="600" w:firstLineChars="200"/>
        <w:rPr>
          <w:rFonts w:ascii="仿宋_GB2312" w:eastAsia="仿宋_GB2312"/>
          <w:sz w:val="30"/>
          <w:szCs w:val="30"/>
        </w:rPr>
      </w:pPr>
      <w:r>
        <w:rPr>
          <w:rFonts w:hint="eastAsia" w:ascii="仿宋_GB2312" w:eastAsia="仿宋_GB2312"/>
          <w:sz w:val="30"/>
          <w:szCs w:val="30"/>
        </w:rPr>
        <w:t>实践中，部分上市公司利用与市场热点不当关联的自愿披露，即市场俗称的“蹭热点”类公告，干扰投资者理性决策，引起股票交易异常波动，滋生内幕交易、市场操纵等违法违规行为。因此，科创公司披露与市场热点相关公告时，应当更加谨慎。自愿披露与市场热点有关的信息，除遵守一般原则和要求外，还应当额外关注披露可能造成的市场影响，避免误导投资者。前述市场热点，是指在一定时间内引起市场高度关注，进而引起相关领域股票交易价格波动较大的重大政策、公共事件、科技进展、商品价格波动、龙头公司等事项。</w:t>
      </w:r>
    </w:p>
    <w:p w14:paraId="7084A8F0">
      <w:pPr>
        <w:spacing w:line="560" w:lineRule="exact"/>
        <w:ind w:firstLine="600" w:firstLineChars="200"/>
        <w:rPr>
          <w:rFonts w:ascii="仿宋_GB2312" w:eastAsia="仿宋_GB2312"/>
          <w:sz w:val="30"/>
          <w:szCs w:val="30"/>
        </w:rPr>
      </w:pPr>
      <w:r>
        <w:rPr>
          <w:rFonts w:hint="eastAsia" w:ascii="仿宋_GB2312" w:eastAsia="仿宋_GB2312"/>
          <w:sz w:val="30"/>
          <w:szCs w:val="30"/>
        </w:rPr>
        <w:t>公司可以从</w:t>
      </w:r>
      <w:r>
        <w:rPr>
          <w:rFonts w:ascii="仿宋_GB2312" w:eastAsia="仿宋_GB2312"/>
          <w:sz w:val="30"/>
          <w:szCs w:val="30"/>
        </w:rPr>
        <w:t>以</w:t>
      </w:r>
      <w:r>
        <w:rPr>
          <w:rFonts w:hint="eastAsia" w:ascii="仿宋_GB2312" w:eastAsia="仿宋_GB2312"/>
          <w:sz w:val="30"/>
          <w:szCs w:val="30"/>
        </w:rPr>
        <w:t>下两个方面进行审慎判断和决策。</w:t>
      </w:r>
    </w:p>
    <w:p w14:paraId="2C51F726">
      <w:pPr>
        <w:spacing w:line="560" w:lineRule="exact"/>
        <w:ind w:firstLine="602" w:firstLineChars="200"/>
        <w:outlineLvl w:val="0"/>
        <w:rPr>
          <w:rFonts w:ascii="仿宋_GB2312" w:eastAsia="仿宋_GB2312"/>
          <w:sz w:val="30"/>
          <w:szCs w:val="30"/>
        </w:rPr>
      </w:pPr>
      <w:r>
        <w:rPr>
          <w:rFonts w:hint="eastAsia" w:ascii="仿宋_GB2312" w:eastAsia="仿宋_GB2312"/>
          <w:b/>
          <w:sz w:val="30"/>
          <w:szCs w:val="30"/>
        </w:rPr>
        <w:t>（一）审慎评估披露的必要性</w:t>
      </w:r>
    </w:p>
    <w:p w14:paraId="5F833F4D">
      <w:pPr>
        <w:spacing w:line="560" w:lineRule="exact"/>
        <w:ind w:firstLine="600" w:firstLineChars="200"/>
        <w:rPr>
          <w:rFonts w:ascii="仿宋_GB2312" w:eastAsia="仿宋_GB2312"/>
          <w:sz w:val="30"/>
          <w:szCs w:val="30"/>
        </w:rPr>
      </w:pPr>
      <w:r>
        <w:rPr>
          <w:rFonts w:hint="eastAsia" w:ascii="仿宋_GB2312" w:eastAsia="仿宋_GB2312"/>
          <w:sz w:val="30"/>
          <w:szCs w:val="30"/>
        </w:rPr>
        <w:t>公司自愿披露与市场热点相关的信息，应当审慎评估披露信息的必要性和对公司股票价格的影响，避免披露仅与市场热点有关，但对公司不具有重大影响的信息。尤其不得利用自愿披露，与市场热点进行不当关联，故意夸大所披露事项对公司生产、经营、研发、销售、未来发展等方面的影响，误导投资者过度评估公司股票的投资价值。</w:t>
      </w:r>
    </w:p>
    <w:p w14:paraId="49204649">
      <w:pPr>
        <w:spacing w:line="560" w:lineRule="exact"/>
        <w:ind w:firstLine="600" w:firstLineChars="200"/>
        <w:rPr>
          <w:rFonts w:ascii="仿宋_GB2312" w:eastAsia="仿宋_GB2312"/>
          <w:sz w:val="30"/>
          <w:szCs w:val="30"/>
        </w:rPr>
      </w:pPr>
      <w:r>
        <w:rPr>
          <w:rFonts w:hint="eastAsia" w:ascii="仿宋_GB2312" w:eastAsia="仿宋_GB2312"/>
          <w:sz w:val="30"/>
          <w:szCs w:val="30"/>
        </w:rPr>
        <w:t>例如，某著名药企甲正在研发的新药受到市场高度关注，</w:t>
      </w:r>
      <w:r>
        <w:rPr>
          <w:rFonts w:ascii="仿宋_GB2312" w:eastAsia="仿宋_GB2312"/>
          <w:sz w:val="30"/>
          <w:szCs w:val="30"/>
        </w:rPr>
        <w:t>X</w:t>
      </w:r>
      <w:r>
        <w:rPr>
          <w:rFonts w:hint="eastAsia" w:ascii="仿宋_GB2312" w:eastAsia="仿宋_GB2312"/>
          <w:sz w:val="30"/>
          <w:szCs w:val="30"/>
        </w:rPr>
        <w:t>公司发布公告称正在与该著名药企甲接洽，寻求可能的合作机会。该项合作的达成尚存在重大不确定性，对X公司影响不大，但却可能因为发布了涉及市场热点相关的信号，引起股票交易的异常波动。因此，X公司应当避免发布该类公告。</w:t>
      </w:r>
    </w:p>
    <w:p w14:paraId="76354C23">
      <w:pPr>
        <w:spacing w:line="560" w:lineRule="exact"/>
        <w:ind w:firstLine="602" w:firstLineChars="200"/>
        <w:outlineLvl w:val="0"/>
        <w:rPr>
          <w:rFonts w:ascii="仿宋_GB2312" w:eastAsia="仿宋_GB2312"/>
          <w:b/>
          <w:sz w:val="30"/>
          <w:szCs w:val="30"/>
        </w:rPr>
      </w:pPr>
      <w:r>
        <w:rPr>
          <w:rFonts w:hint="eastAsia" w:ascii="仿宋_GB2312" w:eastAsia="仿宋_GB2312"/>
          <w:b/>
          <w:sz w:val="30"/>
          <w:szCs w:val="30"/>
        </w:rPr>
        <w:t>（二）避免披露内容误导投资者</w:t>
      </w:r>
    </w:p>
    <w:p w14:paraId="75B6D0F3">
      <w:pPr>
        <w:spacing w:line="560" w:lineRule="exact"/>
        <w:ind w:firstLine="600" w:firstLineChars="200"/>
        <w:rPr>
          <w:rFonts w:ascii="仿宋_GB2312" w:eastAsia="仿宋_GB2312"/>
          <w:sz w:val="30"/>
          <w:szCs w:val="30"/>
        </w:rPr>
      </w:pPr>
      <w:r>
        <w:rPr>
          <w:rFonts w:hint="eastAsia" w:ascii="仿宋_GB2312" w:eastAsia="仿宋_GB2312"/>
          <w:sz w:val="30"/>
          <w:szCs w:val="30"/>
        </w:rPr>
        <w:t>公司和相关信息披露义务人经审慎评估，认为确有必要自愿披露市场热点相关事项的，除参考本指引的一般提示外，应当尤其关注披露事项可能对投资者造成的误导，在公告中从以下方面进行说</w:t>
      </w:r>
      <w:r>
        <w:rPr>
          <w:rFonts w:ascii="仿宋_GB2312" w:eastAsia="仿宋_GB2312"/>
          <w:sz w:val="30"/>
          <w:szCs w:val="30"/>
        </w:rPr>
        <w:t>明</w:t>
      </w:r>
      <w:r>
        <w:rPr>
          <w:rFonts w:hint="eastAsia" w:ascii="仿宋_GB2312" w:eastAsia="仿宋_GB2312"/>
          <w:sz w:val="30"/>
          <w:szCs w:val="30"/>
        </w:rPr>
        <w:t>。</w:t>
      </w:r>
    </w:p>
    <w:p w14:paraId="017AEC66">
      <w:pPr>
        <w:pStyle w:val="66"/>
        <w:numPr>
          <w:ilvl w:val="0"/>
          <w:numId w:val="0"/>
        </w:numPr>
        <w:tabs>
          <w:tab w:val="left" w:pos="709"/>
          <w:tab w:val="left" w:pos="851"/>
          <w:tab w:val="left" w:pos="993"/>
        </w:tabs>
        <w:spacing w:line="560" w:lineRule="exact"/>
        <w:ind w:left="0" w:leftChars="0" w:firstLine="600" w:firstLineChars="200"/>
        <w:rPr>
          <w:rFonts w:ascii="仿宋_GB2312" w:eastAsia="仿宋_GB2312"/>
          <w:sz w:val="30"/>
          <w:szCs w:val="30"/>
        </w:rPr>
      </w:pPr>
      <w:r>
        <w:rPr>
          <w:rFonts w:hint="eastAsia" w:ascii="仿宋_GB2312" w:hAnsi="Times New Roman" w:eastAsia="仿宋_GB2312" w:cs="Times New Roman"/>
          <w:kern w:val="2"/>
          <w:sz w:val="30"/>
          <w:szCs w:val="30"/>
          <w:lang w:val="en-US" w:eastAsia="zh-CN" w:bidi="ar-SA"/>
        </w:rPr>
        <w:t>1.</w:t>
      </w:r>
      <w:r>
        <w:rPr>
          <w:rFonts w:hint="eastAsia" w:ascii="仿宋_GB2312" w:eastAsia="仿宋_GB2312"/>
          <w:sz w:val="30"/>
          <w:szCs w:val="30"/>
        </w:rPr>
        <w:t>披露事项涉及市场热点相关资产的，市场可能会对该类资产增值抱有较大预期，公司可以从以下方面进行说明：</w:t>
      </w:r>
    </w:p>
    <w:p w14:paraId="63CBAABE">
      <w:pPr>
        <w:pStyle w:val="66"/>
        <w:numPr>
          <w:ilvl w:val="0"/>
          <w:numId w:val="0"/>
        </w:numPr>
        <w:tabs>
          <w:tab w:val="left" w:pos="993"/>
          <w:tab w:val="left" w:pos="1418"/>
          <w:tab w:val="left" w:pos="1701"/>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（1）</w:t>
      </w:r>
      <w:r>
        <w:rPr>
          <w:rFonts w:hint="eastAsia" w:ascii="仿宋_GB2312" w:eastAsia="仿宋_GB2312"/>
          <w:sz w:val="30"/>
          <w:szCs w:val="30"/>
        </w:rPr>
        <w:t>该资产是否产生了增值；</w:t>
      </w:r>
    </w:p>
    <w:p w14:paraId="176222E1">
      <w:pPr>
        <w:pStyle w:val="66"/>
        <w:numPr>
          <w:ilvl w:val="0"/>
          <w:numId w:val="0"/>
        </w:numPr>
        <w:tabs>
          <w:tab w:val="left" w:pos="993"/>
          <w:tab w:val="left" w:pos="1418"/>
          <w:tab w:val="left" w:pos="1701"/>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（2）</w:t>
      </w:r>
      <w:r>
        <w:rPr>
          <w:rFonts w:hint="eastAsia" w:ascii="仿宋_GB2312" w:eastAsia="仿宋_GB2312"/>
          <w:sz w:val="30"/>
          <w:szCs w:val="30"/>
        </w:rPr>
        <w:t>处置资产是否存在限制，例如是否承诺不转让或者完成承诺条件前不得转让、转让资产是否需要审批等；</w:t>
      </w:r>
    </w:p>
    <w:p w14:paraId="2AE0C73D">
      <w:pPr>
        <w:pStyle w:val="66"/>
        <w:numPr>
          <w:ilvl w:val="0"/>
          <w:numId w:val="0"/>
        </w:numPr>
        <w:tabs>
          <w:tab w:val="left" w:pos="993"/>
          <w:tab w:val="left" w:pos="1418"/>
          <w:tab w:val="left" w:pos="1701"/>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（3）</w:t>
      </w:r>
      <w:r>
        <w:rPr>
          <w:rFonts w:hint="eastAsia" w:ascii="仿宋_GB2312" w:eastAsia="仿宋_GB2312"/>
          <w:sz w:val="30"/>
          <w:szCs w:val="30"/>
        </w:rPr>
        <w:t>能否实际享有该部分增值及增值额是否存在不确定性。</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5F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C483D2A">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披露投资甲公司的公告</w:t>
            </w:r>
          </w:p>
        </w:tc>
      </w:tr>
      <w:tr w14:paraId="2E85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058326">
            <w:pPr>
              <w:spacing w:line="560" w:lineRule="exact"/>
              <w:ind w:firstLine="480" w:firstLineChars="200"/>
              <w:rPr>
                <w:rFonts w:hint="eastAsia" w:ascii="宋体" w:hAnsi="宋体"/>
                <w:sz w:val="24"/>
                <w:szCs w:val="24"/>
              </w:rPr>
            </w:pPr>
            <w:r>
              <w:rPr>
                <w:rFonts w:hint="eastAsia" w:ascii="宋体" w:hAnsi="宋体"/>
                <w:sz w:val="24"/>
                <w:szCs w:val="24"/>
              </w:rPr>
              <w:t>A公司自愿披露对外投资公告，投资标的甲公司为市场重点关注的公司，投资者认为A公司该项股权投资可能产生大额增值，A公司针对该种预期披露：公司投资甲公司的成本较高，截至目前资产相对于投资金额出现的增值不大，公司持有甲公司股份存在1年的锁定期承诺，考虑到市场变化，转让时能够实际获得的增值金额存在重大不确定性。</w:t>
            </w:r>
          </w:p>
        </w:tc>
      </w:tr>
    </w:tbl>
    <w:p w14:paraId="4571FB66">
      <w:pPr>
        <w:spacing w:line="560" w:lineRule="exact"/>
        <w:ind w:firstLine="600" w:firstLineChars="200"/>
        <w:rPr>
          <w:rFonts w:ascii="仿宋_GB2312" w:eastAsia="仿宋_GB2312"/>
          <w:sz w:val="30"/>
          <w:szCs w:val="30"/>
        </w:rPr>
      </w:pPr>
    </w:p>
    <w:p w14:paraId="40C63ECA">
      <w:pPr>
        <w:pStyle w:val="66"/>
        <w:numPr>
          <w:ilvl w:val="0"/>
          <w:numId w:val="0"/>
        </w:numPr>
        <w:tabs>
          <w:tab w:val="left" w:pos="709"/>
          <w:tab w:val="left" w:pos="851"/>
          <w:tab w:val="left" w:pos="993"/>
        </w:tabs>
        <w:spacing w:line="560" w:lineRule="exact"/>
        <w:ind w:left="0" w:leftChars="0" w:firstLine="600" w:firstLineChars="200"/>
        <w:rPr>
          <w:rFonts w:ascii="仿宋_GB2312" w:eastAsia="仿宋_GB2312"/>
          <w:sz w:val="30"/>
          <w:szCs w:val="30"/>
        </w:rPr>
      </w:pPr>
      <w:r>
        <w:rPr>
          <w:rFonts w:hint="eastAsia" w:ascii="仿宋_GB2312" w:hAnsi="Times New Roman" w:eastAsia="仿宋_GB2312" w:cs="Times New Roman"/>
          <w:kern w:val="2"/>
          <w:sz w:val="30"/>
          <w:szCs w:val="30"/>
          <w:lang w:val="en-US" w:eastAsia="zh-CN" w:bidi="ar-SA"/>
        </w:rPr>
        <w:t>2.</w:t>
      </w:r>
      <w:r>
        <w:rPr>
          <w:rFonts w:hint="eastAsia" w:ascii="仿宋_GB2312" w:eastAsia="仿宋_GB2312"/>
          <w:sz w:val="30"/>
          <w:szCs w:val="30"/>
        </w:rPr>
        <w:t>披露事项涉及热点需求的，投资者可能会对公司的收入规模或者市场占比的扩大抱有较大预期，公司可以从以下方面进行说明：</w:t>
      </w:r>
    </w:p>
    <w:p w14:paraId="106390D8">
      <w:pPr>
        <w:pStyle w:val="66"/>
        <w:numPr>
          <w:ilvl w:val="0"/>
          <w:numId w:val="0"/>
        </w:numPr>
        <w:tabs>
          <w:tab w:val="left" w:pos="851"/>
          <w:tab w:val="left" w:pos="993"/>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（1）</w:t>
      </w:r>
      <w:r>
        <w:rPr>
          <w:rFonts w:hint="eastAsia" w:ascii="仿宋_GB2312" w:eastAsia="仿宋_GB2312"/>
          <w:sz w:val="30"/>
          <w:szCs w:val="30"/>
        </w:rPr>
        <w:t>披露事项与热点需求是否匹配；</w:t>
      </w:r>
    </w:p>
    <w:p w14:paraId="56B8708E">
      <w:pPr>
        <w:pStyle w:val="66"/>
        <w:numPr>
          <w:ilvl w:val="0"/>
          <w:numId w:val="0"/>
        </w:numPr>
        <w:tabs>
          <w:tab w:val="left" w:pos="851"/>
          <w:tab w:val="left" w:pos="993"/>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（2）</w:t>
      </w:r>
      <w:r>
        <w:rPr>
          <w:rFonts w:hint="eastAsia" w:ascii="仿宋_GB2312" w:eastAsia="仿宋_GB2312"/>
          <w:sz w:val="30"/>
          <w:szCs w:val="30"/>
        </w:rPr>
        <w:t>所涉产品、业务对公司的重要性程度，包括占收入的比例等；</w:t>
      </w:r>
    </w:p>
    <w:p w14:paraId="7CC2D95D">
      <w:pPr>
        <w:pStyle w:val="66"/>
        <w:numPr>
          <w:ilvl w:val="0"/>
          <w:numId w:val="0"/>
        </w:numPr>
        <w:tabs>
          <w:tab w:val="left" w:pos="851"/>
          <w:tab w:val="left" w:pos="993"/>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（3）</w:t>
      </w:r>
      <w:r>
        <w:rPr>
          <w:rFonts w:hint="eastAsia" w:ascii="仿宋_GB2312" w:eastAsia="仿宋_GB2312"/>
          <w:sz w:val="30"/>
          <w:szCs w:val="30"/>
        </w:rPr>
        <w:t>所涉产品、业务是否具有商业化的能力，包括产品或业务是否成熟、是否具备承接订单的能力、是否已经获得客户订单等；</w:t>
      </w:r>
    </w:p>
    <w:p w14:paraId="5A19C68F">
      <w:pPr>
        <w:pStyle w:val="66"/>
        <w:numPr>
          <w:ilvl w:val="0"/>
          <w:numId w:val="0"/>
        </w:numPr>
        <w:tabs>
          <w:tab w:val="left" w:pos="851"/>
          <w:tab w:val="left" w:pos="993"/>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（4）</w:t>
      </w:r>
      <w:r>
        <w:rPr>
          <w:rFonts w:hint="eastAsia" w:ascii="仿宋_GB2312" w:eastAsia="仿宋_GB2312"/>
          <w:sz w:val="30"/>
          <w:szCs w:val="30"/>
        </w:rPr>
        <w:t>拓展业务规模存在的不确定性，包括面临的市场竞争情况、热点需求的持续性等。</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08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9E34CDE">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w:t>
            </w:r>
            <w:r>
              <w:rPr>
                <w:rFonts w:hint="eastAsia" w:ascii="宋体" w:hAnsi="宋体"/>
                <w:b/>
                <w:sz w:val="24"/>
                <w:szCs w:val="24"/>
              </w:rPr>
              <w:t>药品</w:t>
            </w:r>
            <w:r>
              <w:rPr>
                <w:rFonts w:ascii="宋体" w:hAnsi="宋体"/>
                <w:b/>
                <w:sz w:val="24"/>
                <w:szCs w:val="24"/>
              </w:rPr>
              <w:t>研发进展的公告</w:t>
            </w:r>
          </w:p>
        </w:tc>
      </w:tr>
      <w:tr w14:paraId="6EF1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5D50CD">
            <w:pPr>
              <w:spacing w:line="560" w:lineRule="exact"/>
              <w:ind w:firstLine="480" w:firstLineChars="200"/>
              <w:rPr>
                <w:rFonts w:hint="eastAsia" w:ascii="宋体" w:hAnsi="宋体"/>
                <w:sz w:val="24"/>
                <w:szCs w:val="24"/>
              </w:rPr>
            </w:pPr>
            <w:r>
              <w:rPr>
                <w:rFonts w:hint="eastAsia" w:ascii="宋体" w:hAnsi="宋体"/>
                <w:sz w:val="24"/>
                <w:szCs w:val="24"/>
              </w:rPr>
              <w:t>B公司披露药品研发进展公告，适应症之一涉及市场迫切需求，近期涉及该需求的股票普遍上涨，投资者可能会认为B公司开展该项研发将带来收入大幅增加，针对该预期，B公司在研发公告披露下列事项：公司开展的研发尚处于研发早期阶段，研发结果具有重大不确定性；目前已有多家竞争对手开展同类药品研发，有的已经进入临床阶段，公司能否取得竞争优势存在重大不确定性；目前市场关注的需求具有一定的阶段性，公司完成研发至少需要两年的时间，届时市场关注的需求可能已经大幅降低，公司能否基于该产品取得大规模收入存在重大不确性。</w:t>
            </w:r>
          </w:p>
        </w:tc>
      </w:tr>
    </w:tbl>
    <w:p w14:paraId="453A9C43">
      <w:pPr>
        <w:pStyle w:val="66"/>
        <w:tabs>
          <w:tab w:val="left" w:pos="709"/>
          <w:tab w:val="left" w:pos="851"/>
          <w:tab w:val="left" w:pos="993"/>
        </w:tabs>
        <w:spacing w:line="560" w:lineRule="exact"/>
        <w:ind w:firstLine="600"/>
        <w:rPr>
          <w:rFonts w:ascii="仿宋_GB2312" w:eastAsia="仿宋_GB2312"/>
          <w:sz w:val="30"/>
          <w:szCs w:val="30"/>
        </w:rPr>
      </w:pPr>
    </w:p>
    <w:p w14:paraId="74899845">
      <w:pPr>
        <w:pStyle w:val="66"/>
        <w:numPr>
          <w:ilvl w:val="0"/>
          <w:numId w:val="0"/>
        </w:numPr>
        <w:tabs>
          <w:tab w:val="left" w:pos="709"/>
          <w:tab w:val="left" w:pos="851"/>
          <w:tab w:val="left" w:pos="993"/>
        </w:tabs>
        <w:spacing w:line="560" w:lineRule="exact"/>
        <w:ind w:left="0" w:leftChars="0" w:firstLine="600" w:firstLineChars="200"/>
        <w:rPr>
          <w:rFonts w:ascii="仿宋_GB2312" w:eastAsia="仿宋_GB2312"/>
          <w:sz w:val="30"/>
          <w:szCs w:val="30"/>
        </w:rPr>
      </w:pPr>
      <w:r>
        <w:rPr>
          <w:rFonts w:hint="eastAsia" w:ascii="仿宋_GB2312" w:hAnsi="Times New Roman" w:eastAsia="仿宋_GB2312" w:cs="Times New Roman"/>
          <w:kern w:val="2"/>
          <w:sz w:val="30"/>
          <w:szCs w:val="30"/>
          <w:lang w:val="en-US" w:eastAsia="zh-CN" w:bidi="ar-SA"/>
        </w:rPr>
        <w:t>3.</w:t>
      </w:r>
      <w:r>
        <w:rPr>
          <w:rFonts w:hint="eastAsia" w:ascii="仿宋_GB2312" w:eastAsia="仿宋_GB2312"/>
          <w:sz w:val="30"/>
          <w:szCs w:val="30"/>
        </w:rPr>
        <w:t>披露事项涉及热点技术的，投资者可能会对公司竞争力增强抱有较大预期，公司可以从以下方面进行说明：</w:t>
      </w:r>
    </w:p>
    <w:p w14:paraId="5DA3786A">
      <w:pPr>
        <w:pStyle w:val="66"/>
        <w:numPr>
          <w:ilvl w:val="0"/>
          <w:numId w:val="0"/>
        </w:numPr>
        <w:tabs>
          <w:tab w:val="left" w:pos="993"/>
          <w:tab w:val="left" w:pos="1418"/>
          <w:tab w:val="left" w:pos="1560"/>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（1）</w:t>
      </w:r>
      <w:r>
        <w:rPr>
          <w:rFonts w:hint="eastAsia" w:ascii="仿宋_GB2312" w:eastAsia="仿宋_GB2312"/>
          <w:sz w:val="30"/>
          <w:szCs w:val="30"/>
        </w:rPr>
        <w:t>披露事项与热点技术是否相同；</w:t>
      </w:r>
    </w:p>
    <w:p w14:paraId="634F6355">
      <w:pPr>
        <w:pStyle w:val="66"/>
        <w:numPr>
          <w:ilvl w:val="0"/>
          <w:numId w:val="0"/>
        </w:numPr>
        <w:tabs>
          <w:tab w:val="left" w:pos="993"/>
          <w:tab w:val="left" w:pos="1418"/>
          <w:tab w:val="left" w:pos="1560"/>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（2）</w:t>
      </w:r>
      <w:r>
        <w:rPr>
          <w:rFonts w:hint="eastAsia" w:ascii="仿宋_GB2312" w:eastAsia="仿宋_GB2312"/>
          <w:sz w:val="30"/>
          <w:szCs w:val="30"/>
        </w:rPr>
        <w:t>所涉技术与主营业务的关联度、能否增强公司竞争力，包括具体表现、竞争对手是否研发或者掌握所涉技术等；</w:t>
      </w:r>
    </w:p>
    <w:p w14:paraId="77A29223">
      <w:pPr>
        <w:pStyle w:val="66"/>
        <w:numPr>
          <w:ilvl w:val="0"/>
          <w:numId w:val="0"/>
        </w:numPr>
        <w:tabs>
          <w:tab w:val="left" w:pos="993"/>
          <w:tab w:val="left" w:pos="1418"/>
          <w:tab w:val="left" w:pos="1560"/>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（3）</w:t>
      </w:r>
      <w:r>
        <w:rPr>
          <w:rFonts w:hint="eastAsia" w:ascii="仿宋_GB2312" w:eastAsia="仿宋_GB2312"/>
          <w:sz w:val="30"/>
          <w:szCs w:val="30"/>
        </w:rPr>
        <w:t>所涉技术是否已经成熟，如果尚在研发中的，研发存在的不确定性；</w:t>
      </w:r>
    </w:p>
    <w:p w14:paraId="32CD35E3">
      <w:pPr>
        <w:pStyle w:val="66"/>
        <w:numPr>
          <w:ilvl w:val="0"/>
          <w:numId w:val="0"/>
        </w:numPr>
        <w:tabs>
          <w:tab w:val="left" w:pos="993"/>
          <w:tab w:val="left" w:pos="1418"/>
          <w:tab w:val="left" w:pos="1560"/>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（4）</w:t>
      </w:r>
      <w:r>
        <w:rPr>
          <w:rFonts w:hint="eastAsia" w:ascii="仿宋_GB2312" w:eastAsia="仿宋_GB2312"/>
          <w:sz w:val="30"/>
          <w:szCs w:val="30"/>
        </w:rPr>
        <w:t>公司是否实际拥有所涉技术。</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53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9911F8">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w:t>
            </w:r>
            <w:r>
              <w:rPr>
                <w:rFonts w:hint="eastAsia" w:ascii="宋体" w:hAnsi="宋体"/>
                <w:b/>
                <w:sz w:val="24"/>
                <w:szCs w:val="24"/>
              </w:rPr>
              <w:t>区块链技术</w:t>
            </w:r>
            <w:r>
              <w:rPr>
                <w:rFonts w:ascii="宋体" w:hAnsi="宋体"/>
                <w:b/>
                <w:sz w:val="24"/>
                <w:szCs w:val="24"/>
              </w:rPr>
              <w:t>研发进展的公告</w:t>
            </w:r>
          </w:p>
        </w:tc>
      </w:tr>
      <w:tr w14:paraId="3CDA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671693">
            <w:pPr>
              <w:spacing w:line="560" w:lineRule="exact"/>
              <w:ind w:firstLine="480" w:firstLineChars="200"/>
              <w:rPr>
                <w:rFonts w:hint="eastAsia" w:ascii="宋体" w:hAnsi="宋体"/>
                <w:sz w:val="24"/>
                <w:szCs w:val="24"/>
              </w:rPr>
            </w:pPr>
            <w:r>
              <w:rPr>
                <w:rFonts w:hint="eastAsia" w:ascii="宋体" w:hAnsi="宋体"/>
                <w:sz w:val="24"/>
                <w:szCs w:val="24"/>
              </w:rPr>
              <w:t>C公司自愿披露研发进展，研发事项涉及区块链技术在原主营业务中的研发应用，投资者可能认为该研发进展会增强公司主业的竞争力，针对该预期，C公司在公告中披露：区块链技术</w:t>
            </w:r>
            <w:r>
              <w:rPr>
                <w:rFonts w:ascii="宋体" w:hAnsi="宋体"/>
                <w:sz w:val="24"/>
                <w:szCs w:val="24"/>
              </w:rPr>
              <w:t>与公司原主营业务</w:t>
            </w:r>
            <w:r>
              <w:rPr>
                <w:rFonts w:hint="eastAsia" w:ascii="宋体" w:hAnsi="宋体"/>
                <w:sz w:val="24"/>
                <w:szCs w:val="24"/>
              </w:rPr>
              <w:t>属于</w:t>
            </w:r>
            <w:r>
              <w:rPr>
                <w:rFonts w:ascii="宋体" w:hAnsi="宋体"/>
                <w:sz w:val="24"/>
                <w:szCs w:val="24"/>
              </w:rPr>
              <w:t>两个业务范畴，</w:t>
            </w:r>
            <w:r>
              <w:rPr>
                <w:rFonts w:hint="eastAsia" w:ascii="宋体" w:hAnsi="宋体"/>
                <w:sz w:val="24"/>
                <w:szCs w:val="24"/>
              </w:rPr>
              <w:t>在</w:t>
            </w:r>
            <w:r>
              <w:rPr>
                <w:rFonts w:ascii="宋体" w:hAnsi="宋体"/>
                <w:sz w:val="24"/>
                <w:szCs w:val="24"/>
              </w:rPr>
              <w:t>区块</w:t>
            </w:r>
            <w:r>
              <w:rPr>
                <w:rFonts w:hint="eastAsia" w:ascii="宋体" w:hAnsi="宋体"/>
                <w:sz w:val="24"/>
                <w:szCs w:val="24"/>
              </w:rPr>
              <w:t>链领域尚无</w:t>
            </w:r>
            <w:r>
              <w:rPr>
                <w:rFonts w:ascii="宋体" w:hAnsi="宋体"/>
                <w:sz w:val="24"/>
                <w:szCs w:val="24"/>
              </w:rPr>
              <w:t>此类研发应用，</w:t>
            </w:r>
            <w:r>
              <w:rPr>
                <w:rFonts w:hint="eastAsia" w:ascii="宋体" w:hAnsi="宋体"/>
                <w:sz w:val="24"/>
                <w:szCs w:val="24"/>
              </w:rPr>
              <w:t>目前尚未成熟，也未产生订单，能否最终实现产业化存在重大不确定性。</w:t>
            </w:r>
          </w:p>
        </w:tc>
      </w:tr>
    </w:tbl>
    <w:p w14:paraId="12D97FD9">
      <w:pPr>
        <w:spacing w:line="560" w:lineRule="exact"/>
        <w:ind w:firstLine="600" w:firstLineChars="200"/>
        <w:rPr>
          <w:rFonts w:hint="eastAsia" w:ascii="宋体" w:hAnsi="宋体"/>
          <w:sz w:val="30"/>
          <w:szCs w:val="30"/>
        </w:rPr>
      </w:pPr>
    </w:p>
    <w:p w14:paraId="3D0A729C">
      <w:pPr>
        <w:pStyle w:val="66"/>
        <w:numPr>
          <w:ilvl w:val="0"/>
          <w:numId w:val="0"/>
        </w:numPr>
        <w:tabs>
          <w:tab w:val="left" w:pos="709"/>
          <w:tab w:val="left" w:pos="851"/>
          <w:tab w:val="left" w:pos="993"/>
        </w:tabs>
        <w:spacing w:line="560" w:lineRule="exact"/>
        <w:ind w:left="0" w:leftChars="0" w:firstLine="600" w:firstLineChars="200"/>
        <w:rPr>
          <w:rFonts w:ascii="仿宋_GB2312" w:eastAsia="仿宋_GB2312"/>
          <w:sz w:val="30"/>
          <w:szCs w:val="30"/>
        </w:rPr>
      </w:pPr>
      <w:r>
        <w:rPr>
          <w:rFonts w:hint="eastAsia" w:ascii="仿宋_GB2312" w:hAnsi="Times New Roman" w:eastAsia="仿宋_GB2312" w:cs="Times New Roman"/>
          <w:kern w:val="2"/>
          <w:sz w:val="30"/>
          <w:szCs w:val="30"/>
          <w:lang w:val="en-US" w:eastAsia="zh-CN" w:bidi="ar-SA"/>
        </w:rPr>
        <w:t>4.</w:t>
      </w:r>
      <w:r>
        <w:rPr>
          <w:rFonts w:hint="eastAsia" w:ascii="仿宋_GB2312" w:eastAsia="仿宋_GB2312"/>
          <w:sz w:val="30"/>
          <w:szCs w:val="30"/>
        </w:rPr>
        <w:t>披露事项涉及价格波动较大的热点产品、服务或者原材料，市场可能认为公司获得了价格优势，带来收入增加或者成本降低，公司可以从以下方面进行说明：</w:t>
      </w:r>
    </w:p>
    <w:p w14:paraId="54DBAF26">
      <w:pPr>
        <w:pStyle w:val="66"/>
        <w:numPr>
          <w:ilvl w:val="0"/>
          <w:numId w:val="0"/>
        </w:numPr>
        <w:tabs>
          <w:tab w:val="left" w:pos="851"/>
          <w:tab w:val="left" w:pos="993"/>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（1）</w:t>
      </w:r>
      <w:r>
        <w:rPr>
          <w:rFonts w:hint="eastAsia" w:ascii="仿宋_GB2312" w:eastAsia="仿宋_GB2312"/>
          <w:sz w:val="30"/>
          <w:szCs w:val="30"/>
        </w:rPr>
        <w:t>披露事项与市场热点产品、服务或者原材料是否相关；</w:t>
      </w:r>
    </w:p>
    <w:p w14:paraId="0ADB34E7">
      <w:pPr>
        <w:pStyle w:val="66"/>
        <w:numPr>
          <w:ilvl w:val="0"/>
          <w:numId w:val="0"/>
        </w:numPr>
        <w:tabs>
          <w:tab w:val="left" w:pos="851"/>
          <w:tab w:val="left" w:pos="993"/>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（2）</w:t>
      </w:r>
      <w:r>
        <w:rPr>
          <w:rFonts w:hint="eastAsia" w:ascii="仿宋_GB2312" w:eastAsia="仿宋_GB2312"/>
          <w:sz w:val="30"/>
          <w:szCs w:val="30"/>
        </w:rPr>
        <w:t>公司收入或者成本是否会增加或者降低；</w:t>
      </w:r>
    </w:p>
    <w:p w14:paraId="16892B35">
      <w:pPr>
        <w:pStyle w:val="66"/>
        <w:numPr>
          <w:ilvl w:val="0"/>
          <w:numId w:val="0"/>
        </w:numPr>
        <w:tabs>
          <w:tab w:val="left" w:pos="851"/>
          <w:tab w:val="left" w:pos="993"/>
          <w:tab w:val="left" w:pos="1276"/>
          <w:tab w:val="left" w:pos="1418"/>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（3）</w:t>
      </w:r>
      <w:r>
        <w:rPr>
          <w:rFonts w:hint="eastAsia" w:ascii="仿宋_GB2312" w:eastAsia="仿宋_GB2312"/>
          <w:sz w:val="30"/>
          <w:szCs w:val="30"/>
        </w:rPr>
        <w:t>收入增加或者成本降低的持续性，包括：涉及收入增加的，对应业务占公司主营业务收入的比例、产能等；涉及成本降低的，公司持有原材料存量及能否持续获得低价原材料。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DED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4B46F4">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w:t>
            </w:r>
            <w:r>
              <w:rPr>
                <w:rFonts w:hint="eastAsia" w:ascii="宋体" w:hAnsi="宋体"/>
                <w:b/>
                <w:sz w:val="24"/>
                <w:szCs w:val="24"/>
              </w:rPr>
              <w:t>现存</w:t>
            </w:r>
            <w:r>
              <w:rPr>
                <w:rFonts w:ascii="宋体" w:hAnsi="宋体"/>
                <w:b/>
                <w:sz w:val="24"/>
                <w:szCs w:val="24"/>
              </w:rPr>
              <w:t>原材料价格上涨的公告</w:t>
            </w:r>
          </w:p>
        </w:tc>
      </w:tr>
      <w:tr w14:paraId="0C82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4692FE">
            <w:pPr>
              <w:spacing w:line="560" w:lineRule="exact"/>
              <w:ind w:firstLine="480" w:firstLineChars="200"/>
              <w:rPr>
                <w:rFonts w:hint="eastAsia" w:ascii="宋体" w:hAnsi="宋体"/>
                <w:sz w:val="24"/>
                <w:szCs w:val="24"/>
              </w:rPr>
            </w:pPr>
            <w:r>
              <w:rPr>
                <w:rFonts w:hint="eastAsia" w:ascii="宋体" w:hAnsi="宋体"/>
                <w:sz w:val="24"/>
                <w:szCs w:val="24"/>
              </w:rPr>
              <w:t>某项材料价格上涨带来热点概念，D公司披露产品公告，由于D公司持有该原材料存货，市场可能认为公司成本低于同行业，进而获得价格优势，D公司在公告披露：所持该原材料库存规模有限，目前仅够完成在手订单，新增订单的产品价格随着原材料价格的调整而调整，因此持有该原材料并未带来显著的竞争优势。</w:t>
            </w:r>
          </w:p>
        </w:tc>
      </w:tr>
    </w:tbl>
    <w:p w14:paraId="76EB044E">
      <w:pPr>
        <w:pStyle w:val="66"/>
        <w:tabs>
          <w:tab w:val="left" w:pos="709"/>
          <w:tab w:val="left" w:pos="851"/>
          <w:tab w:val="left" w:pos="993"/>
        </w:tabs>
        <w:spacing w:line="560" w:lineRule="exact"/>
        <w:ind w:firstLine="640"/>
        <w:rPr>
          <w:rFonts w:ascii="仿宋_GB2312" w:eastAsia="仿宋_GB2312"/>
          <w:sz w:val="32"/>
          <w:szCs w:val="32"/>
        </w:rPr>
      </w:pPr>
    </w:p>
    <w:p w14:paraId="311119F9">
      <w:pPr>
        <w:pStyle w:val="66"/>
        <w:numPr>
          <w:ilvl w:val="0"/>
          <w:numId w:val="0"/>
        </w:numPr>
        <w:tabs>
          <w:tab w:val="left" w:pos="709"/>
          <w:tab w:val="left" w:pos="851"/>
          <w:tab w:val="left" w:pos="993"/>
        </w:tabs>
        <w:spacing w:line="560" w:lineRule="exact"/>
        <w:ind w:left="0" w:leftChars="0" w:firstLine="600" w:firstLineChars="200"/>
        <w:rPr>
          <w:rFonts w:ascii="仿宋_GB2312" w:eastAsia="仿宋_GB2312"/>
          <w:sz w:val="30"/>
          <w:szCs w:val="30"/>
        </w:rPr>
      </w:pPr>
      <w:r>
        <w:rPr>
          <w:rFonts w:hint="eastAsia" w:ascii="仿宋_GB2312" w:hAnsi="Times New Roman" w:eastAsia="仿宋_GB2312" w:cs="Times New Roman"/>
          <w:kern w:val="2"/>
          <w:sz w:val="30"/>
          <w:szCs w:val="30"/>
          <w:lang w:val="en-US" w:eastAsia="zh-CN" w:bidi="ar-SA"/>
        </w:rPr>
        <w:t>5.</w:t>
      </w:r>
      <w:r>
        <w:rPr>
          <w:rFonts w:hint="eastAsia" w:ascii="仿宋_GB2312" w:eastAsia="仿宋_GB2312"/>
          <w:sz w:val="30"/>
          <w:szCs w:val="30"/>
        </w:rPr>
        <w:t>披露事项涉及热点政策，市场可能认为公司获得政策扶持或者因该项政策获得发展机会，公司可以从以下方面进行说明：</w:t>
      </w:r>
    </w:p>
    <w:p w14:paraId="781E4630">
      <w:pPr>
        <w:pStyle w:val="66"/>
        <w:numPr>
          <w:ilvl w:val="0"/>
          <w:numId w:val="0"/>
        </w:numPr>
        <w:tabs>
          <w:tab w:val="left" w:pos="993"/>
          <w:tab w:val="left" w:pos="1418"/>
          <w:tab w:val="left" w:pos="1701"/>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（1）</w:t>
      </w:r>
      <w:bookmarkStart w:id="0" w:name="_GoBack"/>
      <w:bookmarkEnd w:id="0"/>
      <w:r>
        <w:rPr>
          <w:rFonts w:hint="eastAsia" w:ascii="仿宋_GB2312" w:eastAsia="仿宋_GB2312"/>
          <w:sz w:val="30"/>
          <w:szCs w:val="30"/>
        </w:rPr>
        <w:t>是否获得了政策扶持及对公司的影响；</w:t>
      </w:r>
    </w:p>
    <w:p w14:paraId="3C778C62">
      <w:pPr>
        <w:pStyle w:val="66"/>
        <w:numPr>
          <w:ilvl w:val="0"/>
          <w:numId w:val="0"/>
        </w:numPr>
        <w:tabs>
          <w:tab w:val="left" w:pos="993"/>
          <w:tab w:val="left" w:pos="1418"/>
          <w:tab w:val="left" w:pos="1701"/>
        </w:tabs>
        <w:spacing w:line="560" w:lineRule="exact"/>
        <w:ind w:left="0" w:leftChars="0" w:firstLine="600" w:firstLineChars="200"/>
        <w:rPr>
          <w:rFonts w:ascii="仿宋_GB2312" w:eastAsia="仿宋_GB2312"/>
          <w:sz w:val="30"/>
          <w:szCs w:val="30"/>
        </w:rPr>
      </w:pPr>
      <w:r>
        <w:rPr>
          <w:rFonts w:hint="default" w:ascii="仿宋_GB2312" w:hAnsi="Times New Roman" w:eastAsia="仿宋_GB2312" w:cs="Times New Roman"/>
          <w:kern w:val="2"/>
          <w:sz w:val="30"/>
          <w:szCs w:val="30"/>
          <w:lang w:val="en-US" w:eastAsia="zh-CN" w:bidi="ar-SA"/>
        </w:rPr>
        <w:t>（2）</w:t>
      </w:r>
      <w:r>
        <w:rPr>
          <w:rFonts w:hint="eastAsia" w:ascii="仿宋_GB2312" w:eastAsia="仿宋_GB2312"/>
          <w:sz w:val="30"/>
          <w:szCs w:val="30"/>
        </w:rPr>
        <w:t>是否获得了业务发展机会及具体影响。</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4E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5169A3">
            <w:pPr>
              <w:spacing w:line="560" w:lineRule="exact"/>
              <w:ind w:firstLine="482" w:firstLineChars="200"/>
              <w:jc w:val="center"/>
              <w:rPr>
                <w:rFonts w:hint="eastAsia" w:ascii="宋体" w:hAnsi="宋体"/>
                <w:b/>
                <w:sz w:val="24"/>
                <w:szCs w:val="24"/>
              </w:rPr>
            </w:pPr>
            <w:r>
              <w:rPr>
                <w:rFonts w:hint="eastAsia" w:ascii="宋体" w:hAnsi="宋体"/>
                <w:b/>
                <w:sz w:val="24"/>
                <w:szCs w:val="24"/>
              </w:rPr>
              <w:t>示 例：自愿</w:t>
            </w:r>
            <w:r>
              <w:rPr>
                <w:rFonts w:ascii="宋体" w:hAnsi="宋体"/>
                <w:b/>
                <w:sz w:val="24"/>
                <w:szCs w:val="24"/>
              </w:rPr>
              <w:t>披露</w:t>
            </w:r>
            <w:r>
              <w:rPr>
                <w:rFonts w:hint="eastAsia" w:ascii="宋体" w:hAnsi="宋体"/>
                <w:b/>
                <w:sz w:val="24"/>
                <w:szCs w:val="24"/>
              </w:rPr>
              <w:t>在某新区</w:t>
            </w:r>
            <w:r>
              <w:rPr>
                <w:rFonts w:ascii="宋体" w:hAnsi="宋体"/>
                <w:b/>
                <w:sz w:val="24"/>
                <w:szCs w:val="24"/>
              </w:rPr>
              <w:t>设立子公司的公告</w:t>
            </w:r>
          </w:p>
        </w:tc>
      </w:tr>
      <w:tr w14:paraId="24D9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A57C979">
            <w:pPr>
              <w:spacing w:line="560" w:lineRule="exact"/>
              <w:ind w:firstLine="480" w:firstLineChars="200"/>
              <w:rPr>
                <w:rFonts w:hint="eastAsia" w:ascii="宋体" w:hAnsi="宋体"/>
                <w:sz w:val="24"/>
                <w:szCs w:val="24"/>
              </w:rPr>
            </w:pPr>
            <w:r>
              <w:rPr>
                <w:rFonts w:hint="eastAsia" w:ascii="宋体" w:hAnsi="宋体"/>
                <w:sz w:val="24"/>
                <w:szCs w:val="24"/>
              </w:rPr>
              <w:t>某新区</w:t>
            </w:r>
            <w:r>
              <w:rPr>
                <w:rFonts w:ascii="宋体" w:hAnsi="宋体"/>
                <w:sz w:val="24"/>
                <w:szCs w:val="24"/>
              </w:rPr>
              <w:t>的</w:t>
            </w:r>
            <w:r>
              <w:rPr>
                <w:rFonts w:hint="eastAsia" w:ascii="宋体" w:hAnsi="宋体"/>
                <w:sz w:val="24"/>
                <w:szCs w:val="24"/>
              </w:rPr>
              <w:t>区域性发展规划出台后，市场高度关注，E公司披露在该区域设立子公司的公告，市场可能认为公司会因政策获得成长，公司在公告中针对该预期披露：公司在该区域尚未开展业务或者获得业务机会，未取得该地区的土地或者房产，公司外部生产经营环境未发生重大变化，相关区域性发展规划对公司业务不会产生重大影响等。</w:t>
            </w:r>
          </w:p>
        </w:tc>
      </w:tr>
    </w:tbl>
    <w:p w14:paraId="3567B39E">
      <w:pPr>
        <w:spacing w:line="560" w:lineRule="exact"/>
        <w:ind w:firstLine="600" w:firstLineChars="200"/>
        <w:rPr>
          <w:rFonts w:hint="eastAsia" w:ascii="宋体" w:hAnsi="宋体"/>
          <w:sz w:val="30"/>
          <w:szCs w:val="30"/>
        </w:rPr>
      </w:pPr>
    </w:p>
    <w:p w14:paraId="66627D60">
      <w:pPr>
        <w:spacing w:line="560" w:lineRule="exact"/>
        <w:ind w:firstLine="600" w:firstLineChars="200"/>
        <w:rPr>
          <w:rFonts w:ascii="仿宋_GB2312" w:eastAsia="仿宋_GB2312"/>
          <w:sz w:val="30"/>
          <w:szCs w:val="30"/>
        </w:rPr>
      </w:pPr>
      <w:r>
        <w:rPr>
          <w:rFonts w:hint="eastAsia" w:ascii="仿宋_GB2312" w:eastAsia="仿宋_GB2312"/>
          <w:sz w:val="30"/>
          <w:szCs w:val="30"/>
        </w:rPr>
        <w:t>公共媒体关于科创公司的报道和市场传闻，不恰当地将市场热点与公司关联，可能对投资者决策或者公司股票交易产生较大影响的，公司可以参照本部分要求进行澄清。</w:t>
      </w:r>
    </w:p>
    <w:p w14:paraId="6B70C8EE">
      <w:pPr>
        <w:spacing w:line="560" w:lineRule="exact"/>
        <w:ind w:firstLine="600" w:firstLineChars="200"/>
        <w:rPr>
          <w:rFonts w:ascii="仿宋_GB2312" w:eastAsia="仿宋_GB2312"/>
          <w:sz w:val="30"/>
          <w:szCs w:val="30"/>
        </w:rPr>
      </w:pPr>
    </w:p>
    <w:p w14:paraId="60D9325E">
      <w:pPr>
        <w:adjustRightInd w:val="0"/>
        <w:snapToGrid w:val="0"/>
        <w:spacing w:line="560" w:lineRule="exact"/>
        <w:ind w:firstLine="601" w:firstLineChars="200"/>
        <w:jc w:val="left"/>
        <w:outlineLvl w:val="0"/>
        <w:rPr>
          <w:rFonts w:hint="eastAsia" w:ascii="华文中宋" w:hAnsi="华文中宋" w:eastAsia="华文中宋"/>
          <w:b/>
          <w:sz w:val="30"/>
          <w:szCs w:val="30"/>
        </w:rPr>
      </w:pPr>
      <w:r>
        <w:rPr>
          <w:rFonts w:hint="eastAsia" w:ascii="华文中宋" w:hAnsi="华文中宋" w:eastAsia="华文中宋"/>
          <w:b/>
          <w:sz w:val="30"/>
          <w:szCs w:val="30"/>
        </w:rPr>
        <w:t>六、通过其他渠道发布信息的注意事项</w:t>
      </w:r>
    </w:p>
    <w:p w14:paraId="076E2D2C">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进行强制信息披露或者自愿信息披露，应当通过在本所网站、符合规定条件的媒体发布信息披露公告的方式实施。在上述常规信息披露之外，科创公司还可能通过新闻发布会、媒体专访、公司网站、网络自媒体等渠道（以下统称其他渠道），发布其他信息。通过其他渠道发布信息，不能代替强制披露，更不能泄露尚未公开的重大信息。尤其需要注意的是，通过其他渠道发布的信息，尽管不属于持续信息披露范畴，但仍应当真实、准确，避免不当影响公司股票正常交易，避免误导投资者。</w:t>
      </w:r>
    </w:p>
    <w:p w14:paraId="28C7AF7A">
      <w:pPr>
        <w:spacing w:line="560" w:lineRule="exact"/>
        <w:ind w:firstLine="602" w:firstLineChars="200"/>
        <w:outlineLvl w:val="1"/>
        <w:rPr>
          <w:rFonts w:ascii="仿宋_GB2312" w:eastAsia="仿宋_GB2312"/>
          <w:b/>
          <w:sz w:val="30"/>
          <w:szCs w:val="30"/>
        </w:rPr>
      </w:pPr>
      <w:r>
        <w:rPr>
          <w:rFonts w:hint="eastAsia" w:ascii="仿宋_GB2312" w:eastAsia="仿宋_GB2312"/>
          <w:b/>
          <w:sz w:val="30"/>
          <w:szCs w:val="30"/>
        </w:rPr>
        <w:t>1.“上证e互动”网络平台</w:t>
      </w:r>
    </w:p>
    <w:p w14:paraId="0FA3A188">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科创公司通过“上证e互动”网络平台回复投资者提问，应当参考下列基本要求。</w:t>
      </w:r>
    </w:p>
    <w:p w14:paraId="13789974">
      <w:pPr>
        <w:spacing w:line="560" w:lineRule="exact"/>
        <w:ind w:firstLine="602" w:firstLineChars="200"/>
        <w:rPr>
          <w:rFonts w:ascii="仿宋_GB2312" w:eastAsia="仿宋_GB2312"/>
          <w:b/>
          <w:sz w:val="30"/>
          <w:szCs w:val="30"/>
        </w:rPr>
      </w:pPr>
      <w:r>
        <w:rPr>
          <w:rFonts w:hint="eastAsia" w:ascii="仿宋_GB2312" w:eastAsia="仿宋_GB2312"/>
          <w:b/>
          <w:sz w:val="30"/>
          <w:szCs w:val="30"/>
        </w:rPr>
        <w:t>（1）避免通过“上证e互动”网络平台进行信息披露</w:t>
      </w:r>
    </w:p>
    <w:p w14:paraId="14A3AFB7">
      <w:pPr>
        <w:spacing w:line="560" w:lineRule="exact"/>
        <w:ind w:firstLine="600" w:firstLineChars="200"/>
        <w:rPr>
          <w:rFonts w:ascii="仿宋_GB2312" w:eastAsia="仿宋_GB2312"/>
          <w:sz w:val="30"/>
          <w:szCs w:val="30"/>
        </w:rPr>
      </w:pPr>
      <w:r>
        <w:rPr>
          <w:rFonts w:hint="eastAsia" w:ascii="仿宋_GB2312" w:eastAsia="仿宋_GB2312"/>
          <w:sz w:val="30"/>
          <w:szCs w:val="30"/>
        </w:rPr>
        <w:t>“上证e互动”网络平台是科创公司与投资者的互动交流平台，旨在搭建投资者与上市公司直接沟通交流的渠道，鼓励上市公司使用通俗的语言对已经披露的事项进行解释，帮助投资者全面理解相关信息。因此，科创公司不应通过“上证e互动”网络平台发布依法应当披露的信息，也不得通过“上证e互动”网络</w:t>
      </w:r>
      <w:r>
        <w:rPr>
          <w:rFonts w:ascii="仿宋_GB2312" w:eastAsia="仿宋_GB2312"/>
          <w:sz w:val="30"/>
          <w:szCs w:val="30"/>
        </w:rPr>
        <w:t>平台</w:t>
      </w:r>
      <w:r>
        <w:rPr>
          <w:rFonts w:hint="eastAsia" w:ascii="仿宋_GB2312" w:eastAsia="仿宋_GB2312"/>
          <w:sz w:val="30"/>
          <w:szCs w:val="30"/>
        </w:rPr>
        <w:t>开展自愿信息披露。科创公司通过“上证e互动”网络</w:t>
      </w:r>
      <w:r>
        <w:rPr>
          <w:rFonts w:ascii="仿宋_GB2312" w:eastAsia="仿宋_GB2312"/>
          <w:sz w:val="30"/>
          <w:szCs w:val="30"/>
        </w:rPr>
        <w:t>平台</w:t>
      </w:r>
      <w:r>
        <w:rPr>
          <w:rFonts w:hint="eastAsia" w:ascii="仿宋_GB2312" w:eastAsia="仿宋_GB2312"/>
          <w:sz w:val="30"/>
          <w:szCs w:val="30"/>
        </w:rPr>
        <w:t>答复投资者提问时，首先需要区分所答复的内容是属于</w:t>
      </w:r>
      <w:r>
        <w:rPr>
          <w:rFonts w:ascii="仿宋_GB2312" w:eastAsia="仿宋_GB2312"/>
          <w:sz w:val="30"/>
          <w:szCs w:val="30"/>
        </w:rPr>
        <w:t>强制</w:t>
      </w:r>
      <w:r>
        <w:rPr>
          <w:rFonts w:hint="eastAsia" w:ascii="仿宋_GB2312" w:eastAsia="仿宋_GB2312"/>
          <w:sz w:val="30"/>
          <w:szCs w:val="30"/>
        </w:rPr>
        <w:t>披露或者自愿披露事项，还是属于对已披露事项的解释说明或者其他不属于持续披露范畴的信息。如果属于前者，则应当通过在法定媒体发布公告的方式进行。</w:t>
      </w:r>
    </w:p>
    <w:p w14:paraId="6698B846">
      <w:pPr>
        <w:spacing w:line="560" w:lineRule="exact"/>
        <w:ind w:firstLine="602" w:firstLineChars="200"/>
        <w:rPr>
          <w:rFonts w:ascii="仿宋_GB2312" w:eastAsia="仿宋_GB2312"/>
          <w:b/>
          <w:sz w:val="30"/>
          <w:szCs w:val="30"/>
        </w:rPr>
      </w:pPr>
      <w:r>
        <w:rPr>
          <w:rFonts w:hint="eastAsia" w:ascii="仿宋_GB2312" w:eastAsia="仿宋_GB2312"/>
          <w:b/>
          <w:sz w:val="30"/>
          <w:szCs w:val="30"/>
        </w:rPr>
        <w:t>（2）参照执行本指引关于自愿披露信息的要求</w:t>
      </w:r>
    </w:p>
    <w:p w14:paraId="0BE2497F">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科创公司通过“上证e互动”网络平台回复投资者提问或主动发布信息，建议参照本</w:t>
      </w:r>
      <w:r>
        <w:rPr>
          <w:rFonts w:ascii="仿宋_GB2312" w:eastAsia="仿宋_GB2312"/>
          <w:sz w:val="30"/>
          <w:szCs w:val="30"/>
        </w:rPr>
        <w:t>指引</w:t>
      </w:r>
      <w:r>
        <w:rPr>
          <w:rFonts w:hint="eastAsia" w:ascii="仿宋_GB2312" w:eastAsia="仿宋_GB2312"/>
          <w:sz w:val="30"/>
          <w:szCs w:val="30"/>
        </w:rPr>
        <w:t>关于自愿信息披露的基本要求，尤其要注意所发布信息的真实性和完整性，避免误导投资者。例如，投资者在“上证e互动”网络</w:t>
      </w:r>
      <w:r>
        <w:rPr>
          <w:rFonts w:ascii="仿宋_GB2312" w:eastAsia="仿宋_GB2312"/>
          <w:sz w:val="30"/>
          <w:szCs w:val="30"/>
        </w:rPr>
        <w:t>平台</w:t>
      </w:r>
      <w:r>
        <w:rPr>
          <w:rFonts w:hint="eastAsia" w:ascii="仿宋_GB2312" w:eastAsia="仿宋_GB2312"/>
          <w:sz w:val="30"/>
          <w:szCs w:val="30"/>
        </w:rPr>
        <w:t>询问某研发事项相关问题，科创公司判断该事项不构成强制或者自愿信息披露事项后，可以在“上证e互动”网络</w:t>
      </w:r>
      <w:r>
        <w:rPr>
          <w:rFonts w:ascii="仿宋_GB2312" w:eastAsia="仿宋_GB2312"/>
          <w:sz w:val="30"/>
          <w:szCs w:val="30"/>
        </w:rPr>
        <w:t>平台</w:t>
      </w:r>
      <w:r>
        <w:rPr>
          <w:rFonts w:hint="eastAsia" w:ascii="仿宋_GB2312" w:eastAsia="仿宋_GB2312"/>
          <w:sz w:val="30"/>
          <w:szCs w:val="30"/>
        </w:rPr>
        <w:t>回复投资者的提问，并应当充分提示研发事项面临的风险。</w:t>
      </w:r>
    </w:p>
    <w:p w14:paraId="032A4E7A">
      <w:pPr>
        <w:spacing w:line="560" w:lineRule="exact"/>
        <w:ind w:firstLine="602" w:firstLineChars="200"/>
        <w:rPr>
          <w:rFonts w:ascii="仿宋_GB2312" w:eastAsia="仿宋_GB2312"/>
          <w:b/>
          <w:sz w:val="30"/>
          <w:szCs w:val="30"/>
        </w:rPr>
      </w:pPr>
      <w:r>
        <w:rPr>
          <w:rFonts w:hint="eastAsia" w:ascii="仿宋_GB2312" w:eastAsia="仿宋_GB2312"/>
          <w:b/>
          <w:sz w:val="30"/>
          <w:szCs w:val="30"/>
        </w:rPr>
        <w:t>（3）建议于非交易时段回复投资者提问</w:t>
      </w:r>
    </w:p>
    <w:p w14:paraId="091160C9">
      <w:pPr>
        <w:spacing w:line="560" w:lineRule="exact"/>
        <w:ind w:firstLine="600" w:firstLineChars="200"/>
        <w:rPr>
          <w:rFonts w:ascii="仿宋_GB2312" w:eastAsia="仿宋_GB2312"/>
          <w:sz w:val="30"/>
          <w:szCs w:val="30"/>
        </w:rPr>
      </w:pPr>
      <w:r>
        <w:rPr>
          <w:rFonts w:hint="eastAsia" w:ascii="仿宋_GB2312" w:eastAsia="仿宋_GB2312"/>
          <w:sz w:val="30"/>
          <w:szCs w:val="30"/>
        </w:rPr>
        <w:t>“上证e互动”网络平台的投资者提问，多数涉及市场热点，科创公司发布或者回复的信息可能被媒体转载，进而影响股票交易。建议科创公司在非交易时段回复投资者提问，避免因盘中误读误传信息引发股票交易异常波动。公司注意到媒体对“上证e互动”网络平台所发布信息存在严重不实报道的，应当在下一个交易时段开始前予以及时澄清。</w:t>
      </w:r>
    </w:p>
    <w:p w14:paraId="7ABAB6EA">
      <w:pPr>
        <w:spacing w:line="560" w:lineRule="exact"/>
        <w:ind w:firstLine="602" w:firstLineChars="200"/>
        <w:outlineLvl w:val="1"/>
        <w:rPr>
          <w:rFonts w:ascii="仿宋_GB2312" w:eastAsia="仿宋_GB2312"/>
          <w:b/>
          <w:sz w:val="30"/>
          <w:szCs w:val="30"/>
        </w:rPr>
      </w:pPr>
      <w:r>
        <w:rPr>
          <w:rFonts w:hint="eastAsia" w:ascii="仿宋_GB2312" w:eastAsia="仿宋_GB2312"/>
          <w:b/>
          <w:sz w:val="30"/>
          <w:szCs w:val="30"/>
        </w:rPr>
        <w:t>2.媒体报道澄清</w:t>
      </w:r>
    </w:p>
    <w:p w14:paraId="6808332B">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应当密切关注公众媒体和自媒体刊载的关于公司的新闻和报道。媒体报道可能对投资决策或者公司股票交易产生较大影响的，公司可以根据实际情况决定是否澄清，或者选择适合的方式予以澄清。媒体报道出现质疑公司业绩真实性、产品损害消费者健康或不具备应有功效、实际控制人出现突发情况等重大敏感信息，且报道较为集中时，为避免不实信息可能对股票交易造成影响，建议公司及时澄清。</w:t>
      </w:r>
    </w:p>
    <w:p w14:paraId="1D9FF993">
      <w:pPr>
        <w:spacing w:line="560" w:lineRule="exact"/>
        <w:ind w:firstLine="602" w:firstLineChars="200"/>
        <w:outlineLvl w:val="1"/>
        <w:rPr>
          <w:rFonts w:ascii="仿宋_GB2312" w:eastAsia="仿宋_GB2312"/>
          <w:b/>
          <w:sz w:val="30"/>
          <w:szCs w:val="30"/>
        </w:rPr>
      </w:pPr>
      <w:r>
        <w:rPr>
          <w:rFonts w:hint="eastAsia" w:ascii="仿宋_GB2312" w:eastAsia="仿宋_GB2312"/>
          <w:b/>
          <w:sz w:val="30"/>
          <w:szCs w:val="30"/>
        </w:rPr>
        <w:t>3.接受分析师和机构调研</w:t>
      </w:r>
    </w:p>
    <w:p w14:paraId="1D364709">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可以按照投资者关系管理的总体规划，定期接受分析师和机构调研。为了确保信息披露的公平性，公司应当避免向分析师和调研机构提供未披露的重大信息。如果在调研过程中，分析师和调研机构知悉了相关重大信息，公司应当立即披露。例如，新药研发公司未披露的研发管线、临床进展等研发信息，可能对投资者作出投资决策具有一定的价值，科创公司在披露相关信息前，不宜向分析师透露。</w:t>
      </w:r>
    </w:p>
    <w:p w14:paraId="464FD473">
      <w:pPr>
        <w:spacing w:line="560" w:lineRule="exact"/>
        <w:ind w:firstLine="602" w:firstLineChars="200"/>
        <w:outlineLvl w:val="1"/>
        <w:rPr>
          <w:rFonts w:ascii="仿宋_GB2312" w:eastAsia="仿宋_GB2312"/>
          <w:b/>
          <w:sz w:val="30"/>
          <w:szCs w:val="30"/>
        </w:rPr>
      </w:pPr>
      <w:r>
        <w:rPr>
          <w:rFonts w:hint="eastAsia" w:ascii="仿宋_GB2312" w:eastAsia="仿宋_GB2312"/>
          <w:b/>
          <w:sz w:val="30"/>
          <w:szCs w:val="30"/>
        </w:rPr>
        <w:t>4.自行发布信息</w:t>
      </w:r>
    </w:p>
    <w:p w14:paraId="7F9611BF">
      <w:pPr>
        <w:spacing w:line="560" w:lineRule="exact"/>
        <w:ind w:firstLine="600" w:firstLineChars="200"/>
        <w:rPr>
          <w:rFonts w:ascii="仿宋_GB2312" w:eastAsia="仿宋_GB2312"/>
          <w:sz w:val="30"/>
          <w:szCs w:val="30"/>
        </w:rPr>
      </w:pPr>
      <w:r>
        <w:rPr>
          <w:rFonts w:hint="eastAsia" w:ascii="仿宋_GB2312" w:eastAsia="仿宋_GB2312"/>
          <w:sz w:val="30"/>
          <w:szCs w:val="30"/>
        </w:rPr>
        <w:t>科创公司可以通过公司网站或者其他媒体自行发布不属于持续信息披露范围的宣传类、广告类信息，但应当避免误导投资者。公司发布的信息引起市场重大误解或对公司股票交易产生较大影响的，建议及时澄清。</w:t>
      </w:r>
    </w:p>
    <w:p w14:paraId="3B33C1A6">
      <w:pPr>
        <w:spacing w:line="560" w:lineRule="exact"/>
        <w:ind w:firstLine="600" w:firstLineChars="200"/>
        <w:rPr>
          <w:rFonts w:ascii="仿宋_GB2312" w:eastAsia="仿宋_GB2312"/>
          <w:sz w:val="30"/>
          <w:szCs w:val="30"/>
        </w:rPr>
      </w:pPr>
      <w:r>
        <w:rPr>
          <w:rFonts w:hint="eastAsia" w:ascii="仿宋_GB2312" w:eastAsia="仿宋_GB2312"/>
          <w:sz w:val="30"/>
          <w:szCs w:val="30"/>
        </w:rPr>
        <w:t>通常情况下，科创公司不应通过其他渠道发布依法应当披露的信息，也不应通过其他渠道进行自愿信息披露。根据《科创板股票上市规则》相关规定，科创公司或相关信息披露义务人确有需要的，可以在非交易时段通过新闻发布会、媒体专访、公司网站、网络自媒体等方式对外发布应披露的信息，但公司应当于下一交易时段开始前披露相关公告。因此，科创公司应当审慎判断拟在其他渠道自行发布的信息，是否属于持续信息披露范围。如因商业宣传、产品推广等需要，在非交易时段通过其他渠道提前发布未经披露的重大信息，则应当于下一交易时段开始前披露相关公告。例如，公司在周末通过其他渠道发布构成持续信息披露范围的重大信息后，最迟应在周一早盘之前通过法定渠道披露相关公告。</w:t>
      </w:r>
    </w:p>
    <w:p w14:paraId="4B98E17C"/>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40001" w:csb1="00000000"/>
  </w:font>
  <w:font w:name="汉仪中等线简">
    <w:altName w:val="微软雅黑"/>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30204"/>
    <w:charset w:val="00"/>
    <w:family w:val="swiss"/>
    <w:pitch w:val="default"/>
    <w:sig w:usb0="00000000" w:usb1="00000000" w:usb2="00000000" w:usb3="00000000" w:csb0="00000093" w:csb1="00000000"/>
  </w:font>
  <w:font w:name="Frutiger 45 Light">
    <w:altName w:val="Arial"/>
    <w:panose1 w:val="00000000000000000000"/>
    <w:charset w:val="01"/>
    <w:family w:val="auto"/>
    <w:pitch w:val="default"/>
    <w:sig w:usb0="00000000" w:usb1="00000000" w:usb2="00000000" w:usb3="00000000" w:csb0="00000193"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Sazanami Mincho">
    <w:altName w:val="Segoe Print"/>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CBBA">
    <w:pPr>
      <w:pStyle w:val="19"/>
      <w:framePr w:wrap="around" w:vAnchor="text" w:hAnchor="margin" w:xAlign="center" w:y="1"/>
      <w:jc w:val="center"/>
      <w:rPr>
        <w:rStyle w:val="33"/>
      </w:rPr>
    </w:pPr>
  </w:p>
  <w:p w14:paraId="761182AC">
    <w:pPr>
      <w:pStyle w:val="19"/>
      <w:jc w:val="right"/>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7</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A90D">
    <w:pPr>
      <w:pStyle w:val="19"/>
      <w:framePr w:wrap="around" w:vAnchor="text" w:hAnchor="margin" w:xAlign="center" w:y="1"/>
      <w:rPr>
        <w:rStyle w:val="33"/>
      </w:rPr>
    </w:pPr>
  </w:p>
  <w:p w14:paraId="06A507E8">
    <w:pPr>
      <w:pStyle w:val="19"/>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8</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6"/>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5EA656DE"/>
    <w:multiLevelType w:val="multilevel"/>
    <w:tmpl w:val="5EA656DE"/>
    <w:lvl w:ilvl="0" w:tentative="0">
      <w:start w:val="1"/>
      <w:numFmt w:val="japaneseCounting"/>
      <w:pStyle w:val="93"/>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EF"/>
    <w:rsid w:val="00001B4B"/>
    <w:rsid w:val="00001C7D"/>
    <w:rsid w:val="00004247"/>
    <w:rsid w:val="00007153"/>
    <w:rsid w:val="000123C7"/>
    <w:rsid w:val="00015CF8"/>
    <w:rsid w:val="00023C6B"/>
    <w:rsid w:val="00023D06"/>
    <w:rsid w:val="00024D17"/>
    <w:rsid w:val="00025A12"/>
    <w:rsid w:val="00025D14"/>
    <w:rsid w:val="00030A3E"/>
    <w:rsid w:val="00032A04"/>
    <w:rsid w:val="00034D02"/>
    <w:rsid w:val="000373C8"/>
    <w:rsid w:val="00040EBC"/>
    <w:rsid w:val="00041A60"/>
    <w:rsid w:val="00042926"/>
    <w:rsid w:val="000432C6"/>
    <w:rsid w:val="00044E84"/>
    <w:rsid w:val="00045B5A"/>
    <w:rsid w:val="00052CA3"/>
    <w:rsid w:val="00055B23"/>
    <w:rsid w:val="00055D8A"/>
    <w:rsid w:val="00056418"/>
    <w:rsid w:val="000575D2"/>
    <w:rsid w:val="00057D6A"/>
    <w:rsid w:val="0006008F"/>
    <w:rsid w:val="00060722"/>
    <w:rsid w:val="00065144"/>
    <w:rsid w:val="00065822"/>
    <w:rsid w:val="00066E70"/>
    <w:rsid w:val="00067FF1"/>
    <w:rsid w:val="000715CD"/>
    <w:rsid w:val="00072088"/>
    <w:rsid w:val="000747FA"/>
    <w:rsid w:val="00075702"/>
    <w:rsid w:val="0007649E"/>
    <w:rsid w:val="00076F96"/>
    <w:rsid w:val="000803F2"/>
    <w:rsid w:val="00081D93"/>
    <w:rsid w:val="000825BD"/>
    <w:rsid w:val="000829BB"/>
    <w:rsid w:val="00084847"/>
    <w:rsid w:val="0008558C"/>
    <w:rsid w:val="0008603B"/>
    <w:rsid w:val="00092467"/>
    <w:rsid w:val="000926AA"/>
    <w:rsid w:val="000932C8"/>
    <w:rsid w:val="00094F31"/>
    <w:rsid w:val="000A2AE9"/>
    <w:rsid w:val="000A36F5"/>
    <w:rsid w:val="000A3859"/>
    <w:rsid w:val="000A4874"/>
    <w:rsid w:val="000A4E05"/>
    <w:rsid w:val="000A5BC9"/>
    <w:rsid w:val="000A5CA0"/>
    <w:rsid w:val="000A78EC"/>
    <w:rsid w:val="000B0B9E"/>
    <w:rsid w:val="000B135F"/>
    <w:rsid w:val="000B19DE"/>
    <w:rsid w:val="000B1C87"/>
    <w:rsid w:val="000B1CA3"/>
    <w:rsid w:val="000B2003"/>
    <w:rsid w:val="000B233F"/>
    <w:rsid w:val="000B5A96"/>
    <w:rsid w:val="000D3E58"/>
    <w:rsid w:val="000D5E80"/>
    <w:rsid w:val="000D6920"/>
    <w:rsid w:val="000E0C54"/>
    <w:rsid w:val="000E0F35"/>
    <w:rsid w:val="000E1D7A"/>
    <w:rsid w:val="000E28C6"/>
    <w:rsid w:val="000E3BF1"/>
    <w:rsid w:val="000E75BE"/>
    <w:rsid w:val="000E7A26"/>
    <w:rsid w:val="000E7A4C"/>
    <w:rsid w:val="000F1729"/>
    <w:rsid w:val="000F234A"/>
    <w:rsid w:val="000F3A20"/>
    <w:rsid w:val="000F3DDE"/>
    <w:rsid w:val="000F52A2"/>
    <w:rsid w:val="000F7690"/>
    <w:rsid w:val="00103077"/>
    <w:rsid w:val="00104481"/>
    <w:rsid w:val="0010553A"/>
    <w:rsid w:val="00106537"/>
    <w:rsid w:val="00106E5E"/>
    <w:rsid w:val="00112324"/>
    <w:rsid w:val="0011790D"/>
    <w:rsid w:val="00120EA1"/>
    <w:rsid w:val="00121D8C"/>
    <w:rsid w:val="00126898"/>
    <w:rsid w:val="00127BB8"/>
    <w:rsid w:val="001303BE"/>
    <w:rsid w:val="001313FC"/>
    <w:rsid w:val="001320F9"/>
    <w:rsid w:val="0013265E"/>
    <w:rsid w:val="00132F87"/>
    <w:rsid w:val="00135048"/>
    <w:rsid w:val="0013542E"/>
    <w:rsid w:val="00135676"/>
    <w:rsid w:val="00136D79"/>
    <w:rsid w:val="00136E1D"/>
    <w:rsid w:val="00141A5B"/>
    <w:rsid w:val="00143741"/>
    <w:rsid w:val="00144741"/>
    <w:rsid w:val="00145463"/>
    <w:rsid w:val="00145E5C"/>
    <w:rsid w:val="00146E00"/>
    <w:rsid w:val="00152423"/>
    <w:rsid w:val="00156E9B"/>
    <w:rsid w:val="001607D9"/>
    <w:rsid w:val="00160C0B"/>
    <w:rsid w:val="0016249D"/>
    <w:rsid w:val="001628DD"/>
    <w:rsid w:val="00162B2D"/>
    <w:rsid w:val="001636A4"/>
    <w:rsid w:val="00163F0D"/>
    <w:rsid w:val="00165363"/>
    <w:rsid w:val="001675AF"/>
    <w:rsid w:val="0017731B"/>
    <w:rsid w:val="00177844"/>
    <w:rsid w:val="00185194"/>
    <w:rsid w:val="00186386"/>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2D6D"/>
    <w:rsid w:val="001C3676"/>
    <w:rsid w:val="001C5A32"/>
    <w:rsid w:val="001C5E9A"/>
    <w:rsid w:val="001C7595"/>
    <w:rsid w:val="001D29C8"/>
    <w:rsid w:val="001D5CF2"/>
    <w:rsid w:val="001D6097"/>
    <w:rsid w:val="001D6B24"/>
    <w:rsid w:val="001D71C5"/>
    <w:rsid w:val="001E1D78"/>
    <w:rsid w:val="001E27F0"/>
    <w:rsid w:val="001E2BC7"/>
    <w:rsid w:val="001E2F7B"/>
    <w:rsid w:val="001E52DC"/>
    <w:rsid w:val="001E53A2"/>
    <w:rsid w:val="001E55F0"/>
    <w:rsid w:val="001E594A"/>
    <w:rsid w:val="001E7729"/>
    <w:rsid w:val="001F31C1"/>
    <w:rsid w:val="001F3DCC"/>
    <w:rsid w:val="001F658F"/>
    <w:rsid w:val="001F6A6E"/>
    <w:rsid w:val="00201124"/>
    <w:rsid w:val="00204177"/>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27F6F"/>
    <w:rsid w:val="00230603"/>
    <w:rsid w:val="00230694"/>
    <w:rsid w:val="00230E4E"/>
    <w:rsid w:val="00232702"/>
    <w:rsid w:val="00232F16"/>
    <w:rsid w:val="00233149"/>
    <w:rsid w:val="002344BE"/>
    <w:rsid w:val="00234A4F"/>
    <w:rsid w:val="00234E30"/>
    <w:rsid w:val="00235263"/>
    <w:rsid w:val="00240656"/>
    <w:rsid w:val="00241C94"/>
    <w:rsid w:val="002436E6"/>
    <w:rsid w:val="00243E11"/>
    <w:rsid w:val="002441E9"/>
    <w:rsid w:val="00244718"/>
    <w:rsid w:val="00245FED"/>
    <w:rsid w:val="00247A8F"/>
    <w:rsid w:val="002549B0"/>
    <w:rsid w:val="00256A60"/>
    <w:rsid w:val="00256E9C"/>
    <w:rsid w:val="00260879"/>
    <w:rsid w:val="00260FCD"/>
    <w:rsid w:val="002616D1"/>
    <w:rsid w:val="002618E8"/>
    <w:rsid w:val="00261C52"/>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1615"/>
    <w:rsid w:val="00281EFC"/>
    <w:rsid w:val="002839B7"/>
    <w:rsid w:val="0028470E"/>
    <w:rsid w:val="002850BA"/>
    <w:rsid w:val="00291DB3"/>
    <w:rsid w:val="002939FC"/>
    <w:rsid w:val="002948E6"/>
    <w:rsid w:val="00294A2C"/>
    <w:rsid w:val="00296697"/>
    <w:rsid w:val="002A028B"/>
    <w:rsid w:val="002A0319"/>
    <w:rsid w:val="002A0A0B"/>
    <w:rsid w:val="002A0FC5"/>
    <w:rsid w:val="002A239C"/>
    <w:rsid w:val="002A3524"/>
    <w:rsid w:val="002A38C3"/>
    <w:rsid w:val="002A5B12"/>
    <w:rsid w:val="002A7D56"/>
    <w:rsid w:val="002B0D2D"/>
    <w:rsid w:val="002B1931"/>
    <w:rsid w:val="002B34E9"/>
    <w:rsid w:val="002B3909"/>
    <w:rsid w:val="002B7FB9"/>
    <w:rsid w:val="002C44E0"/>
    <w:rsid w:val="002C5145"/>
    <w:rsid w:val="002C7AC9"/>
    <w:rsid w:val="002C7EF9"/>
    <w:rsid w:val="002D03C3"/>
    <w:rsid w:val="002D247D"/>
    <w:rsid w:val="002D5D60"/>
    <w:rsid w:val="002D7AA5"/>
    <w:rsid w:val="002E07CD"/>
    <w:rsid w:val="002E2810"/>
    <w:rsid w:val="002E2C77"/>
    <w:rsid w:val="002E3469"/>
    <w:rsid w:val="002E42D0"/>
    <w:rsid w:val="002E4C05"/>
    <w:rsid w:val="002E4D4C"/>
    <w:rsid w:val="002E7143"/>
    <w:rsid w:val="002E791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6C6B"/>
    <w:rsid w:val="00327E4E"/>
    <w:rsid w:val="003317AD"/>
    <w:rsid w:val="00333B5A"/>
    <w:rsid w:val="003369A0"/>
    <w:rsid w:val="0034251F"/>
    <w:rsid w:val="00343987"/>
    <w:rsid w:val="003459FC"/>
    <w:rsid w:val="00350A49"/>
    <w:rsid w:val="0035170E"/>
    <w:rsid w:val="0035204B"/>
    <w:rsid w:val="00352DDF"/>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2BD"/>
    <w:rsid w:val="003714B3"/>
    <w:rsid w:val="003721BA"/>
    <w:rsid w:val="0037348E"/>
    <w:rsid w:val="00373B90"/>
    <w:rsid w:val="00375CB8"/>
    <w:rsid w:val="003825B7"/>
    <w:rsid w:val="003844D8"/>
    <w:rsid w:val="0038457C"/>
    <w:rsid w:val="00386372"/>
    <w:rsid w:val="00386A61"/>
    <w:rsid w:val="0038722F"/>
    <w:rsid w:val="00387B66"/>
    <w:rsid w:val="0039017A"/>
    <w:rsid w:val="003935C7"/>
    <w:rsid w:val="00393AC8"/>
    <w:rsid w:val="00397420"/>
    <w:rsid w:val="003979FD"/>
    <w:rsid w:val="003A2017"/>
    <w:rsid w:val="003A4275"/>
    <w:rsid w:val="003A46E9"/>
    <w:rsid w:val="003A4957"/>
    <w:rsid w:val="003A5630"/>
    <w:rsid w:val="003A5A71"/>
    <w:rsid w:val="003A646D"/>
    <w:rsid w:val="003B1962"/>
    <w:rsid w:val="003B1B87"/>
    <w:rsid w:val="003B1ED9"/>
    <w:rsid w:val="003B2F8E"/>
    <w:rsid w:val="003B45A3"/>
    <w:rsid w:val="003B6094"/>
    <w:rsid w:val="003B65E2"/>
    <w:rsid w:val="003B7D3A"/>
    <w:rsid w:val="003C23AD"/>
    <w:rsid w:val="003C293C"/>
    <w:rsid w:val="003C37A4"/>
    <w:rsid w:val="003C37A5"/>
    <w:rsid w:val="003C5E90"/>
    <w:rsid w:val="003C7171"/>
    <w:rsid w:val="003D24C9"/>
    <w:rsid w:val="003D3027"/>
    <w:rsid w:val="003D4890"/>
    <w:rsid w:val="003D5445"/>
    <w:rsid w:val="003D73C7"/>
    <w:rsid w:val="003D7920"/>
    <w:rsid w:val="003E06D1"/>
    <w:rsid w:val="003E100F"/>
    <w:rsid w:val="003E1D04"/>
    <w:rsid w:val="003E75F6"/>
    <w:rsid w:val="003E785F"/>
    <w:rsid w:val="003F318F"/>
    <w:rsid w:val="003F6CCE"/>
    <w:rsid w:val="003F78E1"/>
    <w:rsid w:val="0040193F"/>
    <w:rsid w:val="00401D7B"/>
    <w:rsid w:val="00401ED0"/>
    <w:rsid w:val="004050CB"/>
    <w:rsid w:val="0040559C"/>
    <w:rsid w:val="00412C9B"/>
    <w:rsid w:val="0041372A"/>
    <w:rsid w:val="00413BDA"/>
    <w:rsid w:val="00414DA6"/>
    <w:rsid w:val="004156A9"/>
    <w:rsid w:val="00415ABF"/>
    <w:rsid w:val="004161E0"/>
    <w:rsid w:val="0041714A"/>
    <w:rsid w:val="004221B0"/>
    <w:rsid w:val="004223D9"/>
    <w:rsid w:val="004235D3"/>
    <w:rsid w:val="0042579A"/>
    <w:rsid w:val="00425B16"/>
    <w:rsid w:val="0042799E"/>
    <w:rsid w:val="004318A5"/>
    <w:rsid w:val="00433D0E"/>
    <w:rsid w:val="004342BF"/>
    <w:rsid w:val="004347DB"/>
    <w:rsid w:val="0043610F"/>
    <w:rsid w:val="00436F3C"/>
    <w:rsid w:val="00440411"/>
    <w:rsid w:val="004473CB"/>
    <w:rsid w:val="004503F5"/>
    <w:rsid w:val="00450748"/>
    <w:rsid w:val="004512D0"/>
    <w:rsid w:val="00451DE9"/>
    <w:rsid w:val="0045439F"/>
    <w:rsid w:val="00454698"/>
    <w:rsid w:val="00455485"/>
    <w:rsid w:val="00456542"/>
    <w:rsid w:val="00456CC6"/>
    <w:rsid w:val="00460CC9"/>
    <w:rsid w:val="00461CCC"/>
    <w:rsid w:val="00462577"/>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A7413"/>
    <w:rsid w:val="004B02FE"/>
    <w:rsid w:val="004B093C"/>
    <w:rsid w:val="004B2CC4"/>
    <w:rsid w:val="004B398B"/>
    <w:rsid w:val="004B7CA4"/>
    <w:rsid w:val="004C19B8"/>
    <w:rsid w:val="004C2EB9"/>
    <w:rsid w:val="004C3061"/>
    <w:rsid w:val="004C30AE"/>
    <w:rsid w:val="004C36A0"/>
    <w:rsid w:val="004C3E81"/>
    <w:rsid w:val="004C5C9E"/>
    <w:rsid w:val="004C6332"/>
    <w:rsid w:val="004C75A5"/>
    <w:rsid w:val="004C7695"/>
    <w:rsid w:val="004C7A14"/>
    <w:rsid w:val="004D006C"/>
    <w:rsid w:val="004D192C"/>
    <w:rsid w:val="004D2769"/>
    <w:rsid w:val="004D3CA9"/>
    <w:rsid w:val="004D3EE9"/>
    <w:rsid w:val="004D47EE"/>
    <w:rsid w:val="004D56FB"/>
    <w:rsid w:val="004D5968"/>
    <w:rsid w:val="004E3143"/>
    <w:rsid w:val="004E46A0"/>
    <w:rsid w:val="004E60FA"/>
    <w:rsid w:val="004E70D1"/>
    <w:rsid w:val="004F0560"/>
    <w:rsid w:val="004F0E96"/>
    <w:rsid w:val="004F282C"/>
    <w:rsid w:val="005012B2"/>
    <w:rsid w:val="00501E8E"/>
    <w:rsid w:val="00502B77"/>
    <w:rsid w:val="0050608F"/>
    <w:rsid w:val="00506CFA"/>
    <w:rsid w:val="00511DA3"/>
    <w:rsid w:val="00514115"/>
    <w:rsid w:val="00515589"/>
    <w:rsid w:val="0051598C"/>
    <w:rsid w:val="005166C5"/>
    <w:rsid w:val="00524254"/>
    <w:rsid w:val="00524516"/>
    <w:rsid w:val="0052596B"/>
    <w:rsid w:val="005267E3"/>
    <w:rsid w:val="005269DB"/>
    <w:rsid w:val="00526EC7"/>
    <w:rsid w:val="00530BB1"/>
    <w:rsid w:val="0053123E"/>
    <w:rsid w:val="0053175B"/>
    <w:rsid w:val="00531853"/>
    <w:rsid w:val="00532C03"/>
    <w:rsid w:val="0053321A"/>
    <w:rsid w:val="0053655F"/>
    <w:rsid w:val="00537B28"/>
    <w:rsid w:val="00540E15"/>
    <w:rsid w:val="00542AD1"/>
    <w:rsid w:val="00545E78"/>
    <w:rsid w:val="00546621"/>
    <w:rsid w:val="0055053A"/>
    <w:rsid w:val="00550946"/>
    <w:rsid w:val="00551C59"/>
    <w:rsid w:val="00556AC5"/>
    <w:rsid w:val="00556F5A"/>
    <w:rsid w:val="00557DDC"/>
    <w:rsid w:val="00557E04"/>
    <w:rsid w:val="00560769"/>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A0248"/>
    <w:rsid w:val="005A729C"/>
    <w:rsid w:val="005B0A0A"/>
    <w:rsid w:val="005B1EF7"/>
    <w:rsid w:val="005B3346"/>
    <w:rsid w:val="005B4A0C"/>
    <w:rsid w:val="005B73E7"/>
    <w:rsid w:val="005B740A"/>
    <w:rsid w:val="005C0AA5"/>
    <w:rsid w:val="005C1D93"/>
    <w:rsid w:val="005C2403"/>
    <w:rsid w:val="005C533A"/>
    <w:rsid w:val="005C7940"/>
    <w:rsid w:val="005D1E77"/>
    <w:rsid w:val="005D34F3"/>
    <w:rsid w:val="005D655A"/>
    <w:rsid w:val="005E4BD1"/>
    <w:rsid w:val="005E6B96"/>
    <w:rsid w:val="005E6D26"/>
    <w:rsid w:val="005F0B5C"/>
    <w:rsid w:val="005F1000"/>
    <w:rsid w:val="005F5CEB"/>
    <w:rsid w:val="006012ED"/>
    <w:rsid w:val="00604249"/>
    <w:rsid w:val="006046F4"/>
    <w:rsid w:val="00604D58"/>
    <w:rsid w:val="00607B22"/>
    <w:rsid w:val="00612558"/>
    <w:rsid w:val="00613446"/>
    <w:rsid w:val="006160EB"/>
    <w:rsid w:val="00616E30"/>
    <w:rsid w:val="006224DE"/>
    <w:rsid w:val="006226D3"/>
    <w:rsid w:val="00622999"/>
    <w:rsid w:val="00624E99"/>
    <w:rsid w:val="006252D0"/>
    <w:rsid w:val="00625B9F"/>
    <w:rsid w:val="0062772F"/>
    <w:rsid w:val="0062773F"/>
    <w:rsid w:val="00631857"/>
    <w:rsid w:val="006322C3"/>
    <w:rsid w:val="00634068"/>
    <w:rsid w:val="006347CB"/>
    <w:rsid w:val="0063617D"/>
    <w:rsid w:val="00636194"/>
    <w:rsid w:val="00636241"/>
    <w:rsid w:val="0063648A"/>
    <w:rsid w:val="0063751D"/>
    <w:rsid w:val="00637B93"/>
    <w:rsid w:val="00640955"/>
    <w:rsid w:val="006411B0"/>
    <w:rsid w:val="00642F6C"/>
    <w:rsid w:val="006430C3"/>
    <w:rsid w:val="006456C3"/>
    <w:rsid w:val="00647D43"/>
    <w:rsid w:val="00650F2C"/>
    <w:rsid w:val="00651302"/>
    <w:rsid w:val="00651BDA"/>
    <w:rsid w:val="006523DE"/>
    <w:rsid w:val="00652A6C"/>
    <w:rsid w:val="0065306F"/>
    <w:rsid w:val="00653332"/>
    <w:rsid w:val="00653F39"/>
    <w:rsid w:val="00656373"/>
    <w:rsid w:val="00657D26"/>
    <w:rsid w:val="00657D50"/>
    <w:rsid w:val="00660EA6"/>
    <w:rsid w:val="00660ED0"/>
    <w:rsid w:val="00661A30"/>
    <w:rsid w:val="006626EC"/>
    <w:rsid w:val="006634DC"/>
    <w:rsid w:val="00663BF9"/>
    <w:rsid w:val="006643A1"/>
    <w:rsid w:val="00664A78"/>
    <w:rsid w:val="0066604E"/>
    <w:rsid w:val="006733B8"/>
    <w:rsid w:val="00675DA4"/>
    <w:rsid w:val="0067618A"/>
    <w:rsid w:val="006774D8"/>
    <w:rsid w:val="00677C37"/>
    <w:rsid w:val="006801DC"/>
    <w:rsid w:val="00687AD3"/>
    <w:rsid w:val="00687B1F"/>
    <w:rsid w:val="006942A0"/>
    <w:rsid w:val="006950E9"/>
    <w:rsid w:val="00695BE1"/>
    <w:rsid w:val="006A0837"/>
    <w:rsid w:val="006A1C89"/>
    <w:rsid w:val="006A2EFC"/>
    <w:rsid w:val="006A5E0F"/>
    <w:rsid w:val="006B12E3"/>
    <w:rsid w:val="006B1CB8"/>
    <w:rsid w:val="006B212A"/>
    <w:rsid w:val="006B309B"/>
    <w:rsid w:val="006B3B78"/>
    <w:rsid w:val="006B3EFA"/>
    <w:rsid w:val="006B42DD"/>
    <w:rsid w:val="006B71BA"/>
    <w:rsid w:val="006B7AD2"/>
    <w:rsid w:val="006C271C"/>
    <w:rsid w:val="006C4D4D"/>
    <w:rsid w:val="006C4F79"/>
    <w:rsid w:val="006C7059"/>
    <w:rsid w:val="006D070F"/>
    <w:rsid w:val="006D46CE"/>
    <w:rsid w:val="006D5D36"/>
    <w:rsid w:val="006D77DA"/>
    <w:rsid w:val="006E1373"/>
    <w:rsid w:val="006E1852"/>
    <w:rsid w:val="006E2493"/>
    <w:rsid w:val="006E3C7D"/>
    <w:rsid w:val="006E3D07"/>
    <w:rsid w:val="006E43AF"/>
    <w:rsid w:val="006E53B6"/>
    <w:rsid w:val="006E5931"/>
    <w:rsid w:val="006F0FD0"/>
    <w:rsid w:val="006F1AC8"/>
    <w:rsid w:val="006F2772"/>
    <w:rsid w:val="006F3EC4"/>
    <w:rsid w:val="006F4002"/>
    <w:rsid w:val="006F4BC0"/>
    <w:rsid w:val="006F76EC"/>
    <w:rsid w:val="00700E2A"/>
    <w:rsid w:val="00700EDE"/>
    <w:rsid w:val="00701434"/>
    <w:rsid w:val="00702262"/>
    <w:rsid w:val="00702B5A"/>
    <w:rsid w:val="00702F9F"/>
    <w:rsid w:val="00706175"/>
    <w:rsid w:val="0071240E"/>
    <w:rsid w:val="0071283D"/>
    <w:rsid w:val="00712F62"/>
    <w:rsid w:val="00713A56"/>
    <w:rsid w:val="00714813"/>
    <w:rsid w:val="0071491B"/>
    <w:rsid w:val="00717276"/>
    <w:rsid w:val="007177B6"/>
    <w:rsid w:val="007202D5"/>
    <w:rsid w:val="0072046E"/>
    <w:rsid w:val="007222DB"/>
    <w:rsid w:val="0072316A"/>
    <w:rsid w:val="0073155B"/>
    <w:rsid w:val="007315AB"/>
    <w:rsid w:val="00733A2F"/>
    <w:rsid w:val="00737001"/>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06FB"/>
    <w:rsid w:val="00772ABE"/>
    <w:rsid w:val="00772D4D"/>
    <w:rsid w:val="00772E38"/>
    <w:rsid w:val="00773E8A"/>
    <w:rsid w:val="0077613F"/>
    <w:rsid w:val="0077623D"/>
    <w:rsid w:val="007763AD"/>
    <w:rsid w:val="007808CE"/>
    <w:rsid w:val="007825D2"/>
    <w:rsid w:val="007830C3"/>
    <w:rsid w:val="00784B4B"/>
    <w:rsid w:val="00784FDA"/>
    <w:rsid w:val="00787F53"/>
    <w:rsid w:val="00790888"/>
    <w:rsid w:val="00790B83"/>
    <w:rsid w:val="007A07D8"/>
    <w:rsid w:val="007A097C"/>
    <w:rsid w:val="007A0D40"/>
    <w:rsid w:val="007A1866"/>
    <w:rsid w:val="007A2438"/>
    <w:rsid w:val="007A3206"/>
    <w:rsid w:val="007A3627"/>
    <w:rsid w:val="007A6813"/>
    <w:rsid w:val="007B0FD7"/>
    <w:rsid w:val="007B1705"/>
    <w:rsid w:val="007B1D1F"/>
    <w:rsid w:val="007B20D3"/>
    <w:rsid w:val="007B52A6"/>
    <w:rsid w:val="007B647F"/>
    <w:rsid w:val="007B6D9E"/>
    <w:rsid w:val="007C0722"/>
    <w:rsid w:val="007C0CA3"/>
    <w:rsid w:val="007C26B5"/>
    <w:rsid w:val="007C277F"/>
    <w:rsid w:val="007C2840"/>
    <w:rsid w:val="007C377E"/>
    <w:rsid w:val="007C435B"/>
    <w:rsid w:val="007C5711"/>
    <w:rsid w:val="007C59A1"/>
    <w:rsid w:val="007C728C"/>
    <w:rsid w:val="007D0941"/>
    <w:rsid w:val="007D0D89"/>
    <w:rsid w:val="007D16C1"/>
    <w:rsid w:val="007D3C28"/>
    <w:rsid w:val="007D3DD0"/>
    <w:rsid w:val="007D54E4"/>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4444"/>
    <w:rsid w:val="00814A30"/>
    <w:rsid w:val="00817688"/>
    <w:rsid w:val="00817CA1"/>
    <w:rsid w:val="008217E1"/>
    <w:rsid w:val="00821C89"/>
    <w:rsid w:val="00821D4C"/>
    <w:rsid w:val="00822ABF"/>
    <w:rsid w:val="00824394"/>
    <w:rsid w:val="0082486A"/>
    <w:rsid w:val="00824A87"/>
    <w:rsid w:val="00825046"/>
    <w:rsid w:val="00826807"/>
    <w:rsid w:val="00826992"/>
    <w:rsid w:val="008272B9"/>
    <w:rsid w:val="00832781"/>
    <w:rsid w:val="008328A3"/>
    <w:rsid w:val="00835872"/>
    <w:rsid w:val="00836B7B"/>
    <w:rsid w:val="00837048"/>
    <w:rsid w:val="00837188"/>
    <w:rsid w:val="00842134"/>
    <w:rsid w:val="00844BD0"/>
    <w:rsid w:val="00844F9D"/>
    <w:rsid w:val="00847709"/>
    <w:rsid w:val="00850281"/>
    <w:rsid w:val="00850425"/>
    <w:rsid w:val="00850919"/>
    <w:rsid w:val="00850BE1"/>
    <w:rsid w:val="0085158C"/>
    <w:rsid w:val="00854C50"/>
    <w:rsid w:val="008600BD"/>
    <w:rsid w:val="008637C1"/>
    <w:rsid w:val="00863F8B"/>
    <w:rsid w:val="00864D13"/>
    <w:rsid w:val="00865189"/>
    <w:rsid w:val="00865EA5"/>
    <w:rsid w:val="00865EE8"/>
    <w:rsid w:val="00870D86"/>
    <w:rsid w:val="00871824"/>
    <w:rsid w:val="00872F14"/>
    <w:rsid w:val="00874B93"/>
    <w:rsid w:val="00875DE0"/>
    <w:rsid w:val="00876B78"/>
    <w:rsid w:val="008804F2"/>
    <w:rsid w:val="00882E61"/>
    <w:rsid w:val="00883A4B"/>
    <w:rsid w:val="00883BB2"/>
    <w:rsid w:val="00887655"/>
    <w:rsid w:val="008876D1"/>
    <w:rsid w:val="0088799E"/>
    <w:rsid w:val="0089079B"/>
    <w:rsid w:val="00890AAC"/>
    <w:rsid w:val="008934F6"/>
    <w:rsid w:val="00896230"/>
    <w:rsid w:val="00896FD1"/>
    <w:rsid w:val="008A007C"/>
    <w:rsid w:val="008A1745"/>
    <w:rsid w:val="008A5BEB"/>
    <w:rsid w:val="008A5E4F"/>
    <w:rsid w:val="008B2795"/>
    <w:rsid w:val="008B2F51"/>
    <w:rsid w:val="008B3083"/>
    <w:rsid w:val="008B3745"/>
    <w:rsid w:val="008B577C"/>
    <w:rsid w:val="008C09C1"/>
    <w:rsid w:val="008C0A41"/>
    <w:rsid w:val="008C2274"/>
    <w:rsid w:val="008C3EF1"/>
    <w:rsid w:val="008C76F6"/>
    <w:rsid w:val="008D0B9E"/>
    <w:rsid w:val="008D3ECB"/>
    <w:rsid w:val="008D40AB"/>
    <w:rsid w:val="008D4424"/>
    <w:rsid w:val="008D48F1"/>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3A38"/>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0A5A"/>
    <w:rsid w:val="00931828"/>
    <w:rsid w:val="009329BE"/>
    <w:rsid w:val="00932D6A"/>
    <w:rsid w:val="0093659D"/>
    <w:rsid w:val="00937FA6"/>
    <w:rsid w:val="00941EA3"/>
    <w:rsid w:val="00942841"/>
    <w:rsid w:val="0094344B"/>
    <w:rsid w:val="00944CA6"/>
    <w:rsid w:val="009469CA"/>
    <w:rsid w:val="00946AF3"/>
    <w:rsid w:val="00946E57"/>
    <w:rsid w:val="00947BF3"/>
    <w:rsid w:val="00950B78"/>
    <w:rsid w:val="00956996"/>
    <w:rsid w:val="00956D22"/>
    <w:rsid w:val="009571BD"/>
    <w:rsid w:val="00957968"/>
    <w:rsid w:val="00961E9B"/>
    <w:rsid w:val="00962833"/>
    <w:rsid w:val="00962E5E"/>
    <w:rsid w:val="009637B8"/>
    <w:rsid w:val="009661BD"/>
    <w:rsid w:val="00967F26"/>
    <w:rsid w:val="00972165"/>
    <w:rsid w:val="0097258E"/>
    <w:rsid w:val="0097636E"/>
    <w:rsid w:val="00981F0B"/>
    <w:rsid w:val="009837BA"/>
    <w:rsid w:val="00984982"/>
    <w:rsid w:val="009856EB"/>
    <w:rsid w:val="0098660E"/>
    <w:rsid w:val="0098747C"/>
    <w:rsid w:val="00987544"/>
    <w:rsid w:val="009876E3"/>
    <w:rsid w:val="00987F07"/>
    <w:rsid w:val="00990027"/>
    <w:rsid w:val="00992635"/>
    <w:rsid w:val="00995B90"/>
    <w:rsid w:val="00996D3E"/>
    <w:rsid w:val="009A1519"/>
    <w:rsid w:val="009A1E71"/>
    <w:rsid w:val="009A45F5"/>
    <w:rsid w:val="009A52E1"/>
    <w:rsid w:val="009A54EE"/>
    <w:rsid w:val="009B03B4"/>
    <w:rsid w:val="009B04E7"/>
    <w:rsid w:val="009B2C2E"/>
    <w:rsid w:val="009B3A90"/>
    <w:rsid w:val="009B3D6E"/>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E7D23"/>
    <w:rsid w:val="009F0D46"/>
    <w:rsid w:val="009F0DE7"/>
    <w:rsid w:val="009F1898"/>
    <w:rsid w:val="009F3071"/>
    <w:rsid w:val="009F4E89"/>
    <w:rsid w:val="00A011C4"/>
    <w:rsid w:val="00A013DA"/>
    <w:rsid w:val="00A03F72"/>
    <w:rsid w:val="00A049BE"/>
    <w:rsid w:val="00A04C5C"/>
    <w:rsid w:val="00A102AD"/>
    <w:rsid w:val="00A10983"/>
    <w:rsid w:val="00A11E61"/>
    <w:rsid w:val="00A12A4E"/>
    <w:rsid w:val="00A13044"/>
    <w:rsid w:val="00A138FF"/>
    <w:rsid w:val="00A151ED"/>
    <w:rsid w:val="00A165BD"/>
    <w:rsid w:val="00A213F5"/>
    <w:rsid w:val="00A2393F"/>
    <w:rsid w:val="00A247ED"/>
    <w:rsid w:val="00A271E5"/>
    <w:rsid w:val="00A273D3"/>
    <w:rsid w:val="00A27D95"/>
    <w:rsid w:val="00A34790"/>
    <w:rsid w:val="00A35972"/>
    <w:rsid w:val="00A40D16"/>
    <w:rsid w:val="00A4133D"/>
    <w:rsid w:val="00A417F8"/>
    <w:rsid w:val="00A429BF"/>
    <w:rsid w:val="00A43AA5"/>
    <w:rsid w:val="00A43E50"/>
    <w:rsid w:val="00A4426B"/>
    <w:rsid w:val="00A444F2"/>
    <w:rsid w:val="00A4584B"/>
    <w:rsid w:val="00A47F0F"/>
    <w:rsid w:val="00A505ED"/>
    <w:rsid w:val="00A50FA8"/>
    <w:rsid w:val="00A54074"/>
    <w:rsid w:val="00A556EC"/>
    <w:rsid w:val="00A576FA"/>
    <w:rsid w:val="00A643AB"/>
    <w:rsid w:val="00A67700"/>
    <w:rsid w:val="00A715FB"/>
    <w:rsid w:val="00A74481"/>
    <w:rsid w:val="00A76668"/>
    <w:rsid w:val="00A81A50"/>
    <w:rsid w:val="00A82A9F"/>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2777"/>
    <w:rsid w:val="00AA3D7C"/>
    <w:rsid w:val="00AB1C92"/>
    <w:rsid w:val="00AB21CF"/>
    <w:rsid w:val="00AB2B60"/>
    <w:rsid w:val="00AB2F83"/>
    <w:rsid w:val="00AB331D"/>
    <w:rsid w:val="00AB3AB3"/>
    <w:rsid w:val="00AB6F38"/>
    <w:rsid w:val="00AB749B"/>
    <w:rsid w:val="00AB7CE1"/>
    <w:rsid w:val="00AC12AE"/>
    <w:rsid w:val="00AC1905"/>
    <w:rsid w:val="00AC3767"/>
    <w:rsid w:val="00AC38E7"/>
    <w:rsid w:val="00AC495F"/>
    <w:rsid w:val="00AC58A3"/>
    <w:rsid w:val="00AC7176"/>
    <w:rsid w:val="00AD27F5"/>
    <w:rsid w:val="00AD3D98"/>
    <w:rsid w:val="00AD407F"/>
    <w:rsid w:val="00AD66B6"/>
    <w:rsid w:val="00AE1AD1"/>
    <w:rsid w:val="00AE1C6A"/>
    <w:rsid w:val="00AE2F63"/>
    <w:rsid w:val="00AE37A4"/>
    <w:rsid w:val="00AE74EE"/>
    <w:rsid w:val="00AF099F"/>
    <w:rsid w:val="00AF1C67"/>
    <w:rsid w:val="00AF3753"/>
    <w:rsid w:val="00AF5338"/>
    <w:rsid w:val="00AF7467"/>
    <w:rsid w:val="00B00C58"/>
    <w:rsid w:val="00B01BDE"/>
    <w:rsid w:val="00B03655"/>
    <w:rsid w:val="00B0573B"/>
    <w:rsid w:val="00B07573"/>
    <w:rsid w:val="00B07B8B"/>
    <w:rsid w:val="00B127DC"/>
    <w:rsid w:val="00B12AF6"/>
    <w:rsid w:val="00B1419A"/>
    <w:rsid w:val="00B17073"/>
    <w:rsid w:val="00B17E6D"/>
    <w:rsid w:val="00B205BE"/>
    <w:rsid w:val="00B24DED"/>
    <w:rsid w:val="00B274D6"/>
    <w:rsid w:val="00B27721"/>
    <w:rsid w:val="00B27751"/>
    <w:rsid w:val="00B3095A"/>
    <w:rsid w:val="00B318A4"/>
    <w:rsid w:val="00B33921"/>
    <w:rsid w:val="00B3428E"/>
    <w:rsid w:val="00B352BC"/>
    <w:rsid w:val="00B417B5"/>
    <w:rsid w:val="00B41CF9"/>
    <w:rsid w:val="00B42677"/>
    <w:rsid w:val="00B46694"/>
    <w:rsid w:val="00B5283F"/>
    <w:rsid w:val="00B57B90"/>
    <w:rsid w:val="00B62790"/>
    <w:rsid w:val="00B628CE"/>
    <w:rsid w:val="00B62F7C"/>
    <w:rsid w:val="00B6567C"/>
    <w:rsid w:val="00B661EC"/>
    <w:rsid w:val="00B6696B"/>
    <w:rsid w:val="00B671AF"/>
    <w:rsid w:val="00B67E73"/>
    <w:rsid w:val="00B72D35"/>
    <w:rsid w:val="00B73134"/>
    <w:rsid w:val="00B73B59"/>
    <w:rsid w:val="00B74CFF"/>
    <w:rsid w:val="00B75E81"/>
    <w:rsid w:val="00B777DC"/>
    <w:rsid w:val="00B810AC"/>
    <w:rsid w:val="00B81C86"/>
    <w:rsid w:val="00B84D0F"/>
    <w:rsid w:val="00B85CB9"/>
    <w:rsid w:val="00B86ACD"/>
    <w:rsid w:val="00B86C6A"/>
    <w:rsid w:val="00B9008D"/>
    <w:rsid w:val="00B91F88"/>
    <w:rsid w:val="00B95AC1"/>
    <w:rsid w:val="00B972D5"/>
    <w:rsid w:val="00BA08DC"/>
    <w:rsid w:val="00BA0A6D"/>
    <w:rsid w:val="00BA71DE"/>
    <w:rsid w:val="00BA798F"/>
    <w:rsid w:val="00BB0484"/>
    <w:rsid w:val="00BB196F"/>
    <w:rsid w:val="00BB2744"/>
    <w:rsid w:val="00BB491B"/>
    <w:rsid w:val="00BB4EBB"/>
    <w:rsid w:val="00BB711D"/>
    <w:rsid w:val="00BB7B84"/>
    <w:rsid w:val="00BC4132"/>
    <w:rsid w:val="00BC5AE5"/>
    <w:rsid w:val="00BC66F7"/>
    <w:rsid w:val="00BC6FE3"/>
    <w:rsid w:val="00BD0B83"/>
    <w:rsid w:val="00BD27FF"/>
    <w:rsid w:val="00BD329E"/>
    <w:rsid w:val="00BE1E28"/>
    <w:rsid w:val="00BE2432"/>
    <w:rsid w:val="00BE315A"/>
    <w:rsid w:val="00BE3C9B"/>
    <w:rsid w:val="00BE458C"/>
    <w:rsid w:val="00BE587C"/>
    <w:rsid w:val="00BE5DEB"/>
    <w:rsid w:val="00BF01C8"/>
    <w:rsid w:val="00BF02E0"/>
    <w:rsid w:val="00BF03E4"/>
    <w:rsid w:val="00BF1067"/>
    <w:rsid w:val="00BF4692"/>
    <w:rsid w:val="00BF48E2"/>
    <w:rsid w:val="00BF54AF"/>
    <w:rsid w:val="00BF69B9"/>
    <w:rsid w:val="00BF7CEC"/>
    <w:rsid w:val="00C010F2"/>
    <w:rsid w:val="00C0135E"/>
    <w:rsid w:val="00C044E4"/>
    <w:rsid w:val="00C04696"/>
    <w:rsid w:val="00C04FE9"/>
    <w:rsid w:val="00C074F2"/>
    <w:rsid w:val="00C07E89"/>
    <w:rsid w:val="00C13461"/>
    <w:rsid w:val="00C13FFE"/>
    <w:rsid w:val="00C141BA"/>
    <w:rsid w:val="00C167D3"/>
    <w:rsid w:val="00C17291"/>
    <w:rsid w:val="00C177C8"/>
    <w:rsid w:val="00C22077"/>
    <w:rsid w:val="00C23FA9"/>
    <w:rsid w:val="00C24220"/>
    <w:rsid w:val="00C25B48"/>
    <w:rsid w:val="00C3069F"/>
    <w:rsid w:val="00C314A7"/>
    <w:rsid w:val="00C32C09"/>
    <w:rsid w:val="00C34157"/>
    <w:rsid w:val="00C34AC1"/>
    <w:rsid w:val="00C36242"/>
    <w:rsid w:val="00C362A0"/>
    <w:rsid w:val="00C36676"/>
    <w:rsid w:val="00C36F56"/>
    <w:rsid w:val="00C379BA"/>
    <w:rsid w:val="00C37FDA"/>
    <w:rsid w:val="00C4130D"/>
    <w:rsid w:val="00C42C11"/>
    <w:rsid w:val="00C42E98"/>
    <w:rsid w:val="00C43757"/>
    <w:rsid w:val="00C448E0"/>
    <w:rsid w:val="00C46276"/>
    <w:rsid w:val="00C52770"/>
    <w:rsid w:val="00C554A3"/>
    <w:rsid w:val="00C55F9C"/>
    <w:rsid w:val="00C57EE8"/>
    <w:rsid w:val="00C656A0"/>
    <w:rsid w:val="00C659B1"/>
    <w:rsid w:val="00C66584"/>
    <w:rsid w:val="00C66C32"/>
    <w:rsid w:val="00C70250"/>
    <w:rsid w:val="00C70E82"/>
    <w:rsid w:val="00C722C3"/>
    <w:rsid w:val="00C72CEB"/>
    <w:rsid w:val="00C73209"/>
    <w:rsid w:val="00C74F21"/>
    <w:rsid w:val="00C761FD"/>
    <w:rsid w:val="00C762F4"/>
    <w:rsid w:val="00C82C63"/>
    <w:rsid w:val="00C833B0"/>
    <w:rsid w:val="00C84700"/>
    <w:rsid w:val="00C85236"/>
    <w:rsid w:val="00C8595A"/>
    <w:rsid w:val="00C86B02"/>
    <w:rsid w:val="00C86E5D"/>
    <w:rsid w:val="00C86FEF"/>
    <w:rsid w:val="00C87D3B"/>
    <w:rsid w:val="00C9066A"/>
    <w:rsid w:val="00C95850"/>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4D0"/>
    <w:rsid w:val="00CC485A"/>
    <w:rsid w:val="00CC51CE"/>
    <w:rsid w:val="00CC7109"/>
    <w:rsid w:val="00CD0E0B"/>
    <w:rsid w:val="00CD127E"/>
    <w:rsid w:val="00CD261A"/>
    <w:rsid w:val="00CD3395"/>
    <w:rsid w:val="00CD5B05"/>
    <w:rsid w:val="00CD5F94"/>
    <w:rsid w:val="00CE00E9"/>
    <w:rsid w:val="00CE13F7"/>
    <w:rsid w:val="00CE1C93"/>
    <w:rsid w:val="00CE3BE8"/>
    <w:rsid w:val="00CE5BF7"/>
    <w:rsid w:val="00CE6134"/>
    <w:rsid w:val="00CE63D8"/>
    <w:rsid w:val="00CF1715"/>
    <w:rsid w:val="00CF3DEF"/>
    <w:rsid w:val="00CF409C"/>
    <w:rsid w:val="00CF5088"/>
    <w:rsid w:val="00CF7C56"/>
    <w:rsid w:val="00CF7F11"/>
    <w:rsid w:val="00D016F4"/>
    <w:rsid w:val="00D01BBE"/>
    <w:rsid w:val="00D040DC"/>
    <w:rsid w:val="00D0552B"/>
    <w:rsid w:val="00D05D21"/>
    <w:rsid w:val="00D0686C"/>
    <w:rsid w:val="00D06FE9"/>
    <w:rsid w:val="00D07D94"/>
    <w:rsid w:val="00D07DD8"/>
    <w:rsid w:val="00D07E97"/>
    <w:rsid w:val="00D109A6"/>
    <w:rsid w:val="00D1106D"/>
    <w:rsid w:val="00D12BCF"/>
    <w:rsid w:val="00D13A35"/>
    <w:rsid w:val="00D13BFC"/>
    <w:rsid w:val="00D15A21"/>
    <w:rsid w:val="00D16F07"/>
    <w:rsid w:val="00D20661"/>
    <w:rsid w:val="00D2253E"/>
    <w:rsid w:val="00D226EE"/>
    <w:rsid w:val="00D23733"/>
    <w:rsid w:val="00D23E03"/>
    <w:rsid w:val="00D24329"/>
    <w:rsid w:val="00D253D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C1"/>
    <w:rsid w:val="00D8173B"/>
    <w:rsid w:val="00D81A51"/>
    <w:rsid w:val="00D8304C"/>
    <w:rsid w:val="00D83DE2"/>
    <w:rsid w:val="00D86073"/>
    <w:rsid w:val="00D867B7"/>
    <w:rsid w:val="00D878CA"/>
    <w:rsid w:val="00D91B5C"/>
    <w:rsid w:val="00D91C9F"/>
    <w:rsid w:val="00D9202C"/>
    <w:rsid w:val="00D92119"/>
    <w:rsid w:val="00D92B4B"/>
    <w:rsid w:val="00D93EB7"/>
    <w:rsid w:val="00D94438"/>
    <w:rsid w:val="00D9630E"/>
    <w:rsid w:val="00D96B8E"/>
    <w:rsid w:val="00D97317"/>
    <w:rsid w:val="00D9743F"/>
    <w:rsid w:val="00D97FA0"/>
    <w:rsid w:val="00DA1322"/>
    <w:rsid w:val="00DA4190"/>
    <w:rsid w:val="00DA4932"/>
    <w:rsid w:val="00DA4BD9"/>
    <w:rsid w:val="00DA6F52"/>
    <w:rsid w:val="00DA72ED"/>
    <w:rsid w:val="00DA76D6"/>
    <w:rsid w:val="00DB0693"/>
    <w:rsid w:val="00DB42D5"/>
    <w:rsid w:val="00DB4DC0"/>
    <w:rsid w:val="00DB5F8F"/>
    <w:rsid w:val="00DC0BD8"/>
    <w:rsid w:val="00DC1826"/>
    <w:rsid w:val="00DC22B1"/>
    <w:rsid w:val="00DC254B"/>
    <w:rsid w:val="00DC2730"/>
    <w:rsid w:val="00DC2AA2"/>
    <w:rsid w:val="00DC3B96"/>
    <w:rsid w:val="00DC439B"/>
    <w:rsid w:val="00DD0013"/>
    <w:rsid w:val="00DD1F3D"/>
    <w:rsid w:val="00DD2DF5"/>
    <w:rsid w:val="00DD561A"/>
    <w:rsid w:val="00DE03CE"/>
    <w:rsid w:val="00DE0BF3"/>
    <w:rsid w:val="00DE1505"/>
    <w:rsid w:val="00DE301F"/>
    <w:rsid w:val="00DE37DF"/>
    <w:rsid w:val="00DE38BC"/>
    <w:rsid w:val="00DE421D"/>
    <w:rsid w:val="00DE4905"/>
    <w:rsid w:val="00DE7FCC"/>
    <w:rsid w:val="00DF1725"/>
    <w:rsid w:val="00DF200B"/>
    <w:rsid w:val="00DF21E2"/>
    <w:rsid w:val="00DF527D"/>
    <w:rsid w:val="00DF59AD"/>
    <w:rsid w:val="00DF6F3F"/>
    <w:rsid w:val="00DF7696"/>
    <w:rsid w:val="00E02B93"/>
    <w:rsid w:val="00E037E4"/>
    <w:rsid w:val="00E05AE9"/>
    <w:rsid w:val="00E06E44"/>
    <w:rsid w:val="00E10910"/>
    <w:rsid w:val="00E1170D"/>
    <w:rsid w:val="00E11A6F"/>
    <w:rsid w:val="00E11B42"/>
    <w:rsid w:val="00E124E5"/>
    <w:rsid w:val="00E23056"/>
    <w:rsid w:val="00E2329A"/>
    <w:rsid w:val="00E23711"/>
    <w:rsid w:val="00E24818"/>
    <w:rsid w:val="00E25992"/>
    <w:rsid w:val="00E2662D"/>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0C67"/>
    <w:rsid w:val="00E43C6C"/>
    <w:rsid w:val="00E44550"/>
    <w:rsid w:val="00E449BA"/>
    <w:rsid w:val="00E46994"/>
    <w:rsid w:val="00E46E15"/>
    <w:rsid w:val="00E5043D"/>
    <w:rsid w:val="00E5078A"/>
    <w:rsid w:val="00E50CE8"/>
    <w:rsid w:val="00E5173A"/>
    <w:rsid w:val="00E51EB6"/>
    <w:rsid w:val="00E52E6F"/>
    <w:rsid w:val="00E57C14"/>
    <w:rsid w:val="00E610DA"/>
    <w:rsid w:val="00E6461E"/>
    <w:rsid w:val="00E71441"/>
    <w:rsid w:val="00E71875"/>
    <w:rsid w:val="00E71BF0"/>
    <w:rsid w:val="00E77C2F"/>
    <w:rsid w:val="00E80F43"/>
    <w:rsid w:val="00E818EC"/>
    <w:rsid w:val="00E81A7A"/>
    <w:rsid w:val="00E82B0D"/>
    <w:rsid w:val="00E833C4"/>
    <w:rsid w:val="00E837DF"/>
    <w:rsid w:val="00E86D70"/>
    <w:rsid w:val="00E87403"/>
    <w:rsid w:val="00E87DED"/>
    <w:rsid w:val="00E90204"/>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D703B"/>
    <w:rsid w:val="00EE54EF"/>
    <w:rsid w:val="00EE6733"/>
    <w:rsid w:val="00EF0F9B"/>
    <w:rsid w:val="00EF1F4E"/>
    <w:rsid w:val="00EF5671"/>
    <w:rsid w:val="00EF61D8"/>
    <w:rsid w:val="00EF64EB"/>
    <w:rsid w:val="00EF6944"/>
    <w:rsid w:val="00F0077C"/>
    <w:rsid w:val="00F026C1"/>
    <w:rsid w:val="00F02E46"/>
    <w:rsid w:val="00F0311C"/>
    <w:rsid w:val="00F03516"/>
    <w:rsid w:val="00F12172"/>
    <w:rsid w:val="00F1244D"/>
    <w:rsid w:val="00F16739"/>
    <w:rsid w:val="00F16AC4"/>
    <w:rsid w:val="00F232F6"/>
    <w:rsid w:val="00F247F7"/>
    <w:rsid w:val="00F251D0"/>
    <w:rsid w:val="00F268FA"/>
    <w:rsid w:val="00F30D3E"/>
    <w:rsid w:val="00F33585"/>
    <w:rsid w:val="00F35D72"/>
    <w:rsid w:val="00F40887"/>
    <w:rsid w:val="00F41C82"/>
    <w:rsid w:val="00F425C9"/>
    <w:rsid w:val="00F4274C"/>
    <w:rsid w:val="00F428B1"/>
    <w:rsid w:val="00F43401"/>
    <w:rsid w:val="00F43E37"/>
    <w:rsid w:val="00F44962"/>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4711"/>
    <w:rsid w:val="00F851BC"/>
    <w:rsid w:val="00F872D0"/>
    <w:rsid w:val="00F902DB"/>
    <w:rsid w:val="00F90C37"/>
    <w:rsid w:val="00F94115"/>
    <w:rsid w:val="00F96976"/>
    <w:rsid w:val="00FA1581"/>
    <w:rsid w:val="00FA2532"/>
    <w:rsid w:val="00FA6B83"/>
    <w:rsid w:val="00FB37DA"/>
    <w:rsid w:val="00FB46E4"/>
    <w:rsid w:val="00FB4AB8"/>
    <w:rsid w:val="00FB723D"/>
    <w:rsid w:val="00FC36BC"/>
    <w:rsid w:val="00FC60FB"/>
    <w:rsid w:val="00FC7A1C"/>
    <w:rsid w:val="00FD08F7"/>
    <w:rsid w:val="00FD1AFA"/>
    <w:rsid w:val="00FD285C"/>
    <w:rsid w:val="00FD305F"/>
    <w:rsid w:val="00FD32EF"/>
    <w:rsid w:val="00FD4291"/>
    <w:rsid w:val="00FD4BE8"/>
    <w:rsid w:val="00FD5A59"/>
    <w:rsid w:val="00FE10FC"/>
    <w:rsid w:val="00FE1872"/>
    <w:rsid w:val="00FE1AD3"/>
    <w:rsid w:val="00FE1C97"/>
    <w:rsid w:val="00FE2137"/>
    <w:rsid w:val="00FE7B4A"/>
    <w:rsid w:val="00FE7B50"/>
    <w:rsid w:val="00FF15AB"/>
    <w:rsid w:val="00FF1D6C"/>
    <w:rsid w:val="00FF20FC"/>
    <w:rsid w:val="00FF2685"/>
    <w:rsid w:val="00FF3412"/>
    <w:rsid w:val="00FF5017"/>
    <w:rsid w:val="00FF56C0"/>
    <w:rsid w:val="00FF57A6"/>
    <w:rsid w:val="00FF60C8"/>
    <w:rsid w:val="00FF6615"/>
    <w:rsid w:val="16164C35"/>
    <w:rsid w:val="239A4D42"/>
    <w:rsid w:val="54C35AE3"/>
    <w:rsid w:val="60A80972"/>
    <w:rsid w:val="6B26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0"/>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1"/>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2"/>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3"/>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4"/>
    <w:unhideWhenUsed/>
    <w:qFormat/>
    <w:uiPriority w:val="99"/>
    <w:rPr>
      <w:rFonts w:ascii="宋体" w:hAnsi="Calibri"/>
      <w:sz w:val="18"/>
      <w:szCs w:val="18"/>
    </w:rPr>
  </w:style>
  <w:style w:type="paragraph" w:styleId="9">
    <w:name w:val="annotation text"/>
    <w:basedOn w:val="1"/>
    <w:link w:val="45"/>
    <w:qFormat/>
    <w:uiPriority w:val="99"/>
    <w:pPr>
      <w:jc w:val="left"/>
    </w:pPr>
    <w:rPr>
      <w:kern w:val="0"/>
      <w:sz w:val="24"/>
      <w:szCs w:val="24"/>
    </w:rPr>
  </w:style>
  <w:style w:type="paragraph" w:styleId="10">
    <w:name w:val="Body Text 3"/>
    <w:basedOn w:val="1"/>
    <w:link w:val="46"/>
    <w:qFormat/>
    <w:uiPriority w:val="0"/>
    <w:pPr>
      <w:spacing w:line="840" w:lineRule="exact"/>
      <w:jc w:val="center"/>
    </w:pPr>
    <w:rPr>
      <w:rFonts w:ascii="方正大标宋简体" w:hAnsi="宋体" w:eastAsia="方正大标宋简体"/>
      <w:bCs/>
      <w:sz w:val="42"/>
      <w:szCs w:val="42"/>
    </w:rPr>
  </w:style>
  <w:style w:type="paragraph" w:styleId="11">
    <w:name w:val="Body Text"/>
    <w:basedOn w:val="1"/>
    <w:link w:val="47"/>
    <w:qFormat/>
    <w:uiPriority w:val="0"/>
    <w:pPr>
      <w:spacing w:after="120"/>
    </w:pPr>
    <w:rPr>
      <w:rFonts w:eastAsia="Times New Roman"/>
      <w:szCs w:val="24"/>
    </w:rPr>
  </w:style>
  <w:style w:type="paragraph" w:styleId="12">
    <w:name w:val="Body Text Indent"/>
    <w:basedOn w:val="1"/>
    <w:link w:val="48"/>
    <w:qFormat/>
    <w:uiPriority w:val="0"/>
    <w:pPr>
      <w:tabs>
        <w:tab w:val="left" w:pos="7020"/>
      </w:tabs>
      <w:spacing w:line="600" w:lineRule="exact"/>
      <w:ind w:firstLine="600" w:firstLineChars="200"/>
    </w:pPr>
    <w:rPr>
      <w:rFonts w:ascii="仿宋_GB2312" w:eastAsia="仿宋_GB2312"/>
      <w:sz w:val="30"/>
      <w:szCs w:val="24"/>
    </w:rPr>
  </w:style>
  <w:style w:type="paragraph" w:styleId="13">
    <w:name w:val="Block Text"/>
    <w:basedOn w:val="1"/>
    <w:unhideWhenUsed/>
    <w:qFormat/>
    <w:uiPriority w:val="99"/>
    <w:pPr>
      <w:widowControl/>
      <w:spacing w:after="240"/>
      <w:jc w:val="left"/>
    </w:pPr>
    <w:rPr>
      <w:kern w:val="0"/>
      <w:sz w:val="24"/>
      <w:lang w:eastAsia="en-US"/>
    </w:rPr>
  </w:style>
  <w:style w:type="paragraph" w:styleId="14">
    <w:name w:val="Plain Text"/>
    <w:basedOn w:val="1"/>
    <w:link w:val="49"/>
    <w:qFormat/>
    <w:uiPriority w:val="0"/>
    <w:rPr>
      <w:rFonts w:ascii="宋体" w:hAnsi="Courier New" w:cs="Courier New"/>
      <w:szCs w:val="21"/>
    </w:rPr>
  </w:style>
  <w:style w:type="paragraph" w:styleId="15">
    <w:name w:val="Date"/>
    <w:basedOn w:val="1"/>
    <w:next w:val="1"/>
    <w:link w:val="50"/>
    <w:qFormat/>
    <w:uiPriority w:val="0"/>
    <w:rPr>
      <w:rFonts w:ascii="楷体_GB2312" w:eastAsia="楷体_GB2312"/>
      <w:sz w:val="32"/>
    </w:rPr>
  </w:style>
  <w:style w:type="paragraph" w:styleId="16">
    <w:name w:val="Body Text Indent 2"/>
    <w:basedOn w:val="1"/>
    <w:link w:val="51"/>
    <w:qFormat/>
    <w:uiPriority w:val="0"/>
    <w:pPr>
      <w:spacing w:line="600" w:lineRule="exact"/>
      <w:ind w:firstLine="600" w:firstLineChars="200"/>
    </w:pPr>
    <w:rPr>
      <w:rFonts w:ascii="仿宋_GB2312" w:hAnsi="宋体" w:eastAsia="仿宋_GB2312"/>
      <w:sz w:val="30"/>
      <w:szCs w:val="30"/>
    </w:rPr>
  </w:style>
  <w:style w:type="paragraph" w:styleId="17">
    <w:name w:val="endnote text"/>
    <w:basedOn w:val="1"/>
    <w:link w:val="52"/>
    <w:qFormat/>
    <w:uiPriority w:val="0"/>
    <w:pPr>
      <w:snapToGrid w:val="0"/>
      <w:jc w:val="left"/>
    </w:pPr>
    <w:rPr>
      <w:kern w:val="0"/>
      <w:sz w:val="24"/>
      <w:szCs w:val="24"/>
    </w:rPr>
  </w:style>
  <w:style w:type="paragraph" w:styleId="18">
    <w:name w:val="Balloon Text"/>
    <w:basedOn w:val="1"/>
    <w:link w:val="53"/>
    <w:qFormat/>
    <w:uiPriority w:val="99"/>
    <w:rPr>
      <w:sz w:val="18"/>
      <w:szCs w:val="18"/>
    </w:rPr>
  </w:style>
  <w:style w:type="paragraph" w:styleId="19">
    <w:name w:val="footer"/>
    <w:basedOn w:val="1"/>
    <w:link w:val="54"/>
    <w:qFormat/>
    <w:uiPriority w:val="99"/>
    <w:pPr>
      <w:tabs>
        <w:tab w:val="center" w:pos="4153"/>
        <w:tab w:val="right" w:pos="8306"/>
      </w:tabs>
      <w:snapToGrid w:val="0"/>
      <w:jc w:val="left"/>
    </w:pPr>
    <w:rPr>
      <w:sz w:val="18"/>
      <w:szCs w:val="18"/>
    </w:rPr>
  </w:style>
  <w:style w:type="paragraph" w:styleId="20">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1">
    <w:name w:val="Subtitle"/>
    <w:basedOn w:val="1"/>
    <w:next w:val="1"/>
    <w:link w:val="56"/>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57"/>
    <w:qFormat/>
    <w:uiPriority w:val="0"/>
    <w:pPr>
      <w:snapToGrid w:val="0"/>
      <w:jc w:val="left"/>
    </w:pPr>
    <w:rPr>
      <w:rFonts w:eastAsia="Times New Roman"/>
      <w:sz w:val="18"/>
      <w:szCs w:val="18"/>
    </w:rPr>
  </w:style>
  <w:style w:type="paragraph" w:styleId="23">
    <w:name w:val="Body Text Indent 3"/>
    <w:basedOn w:val="1"/>
    <w:link w:val="58"/>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4">
    <w:name w:val="Body Text 2"/>
    <w:basedOn w:val="1"/>
    <w:link w:val="59"/>
    <w:qFormat/>
    <w:uiPriority w:val="0"/>
    <w:pPr>
      <w:spacing w:line="840" w:lineRule="exact"/>
      <w:jc w:val="center"/>
    </w:pPr>
    <w:rPr>
      <w:rFonts w:ascii="宋体" w:hAnsi="Courier New"/>
      <w:kern w:val="0"/>
      <w:szCs w:val="21"/>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21"/>
    <w:link w:val="60"/>
    <w:qFormat/>
    <w:uiPriority w:val="0"/>
    <w:pPr>
      <w:widowControl/>
      <w:suppressAutoHyphens/>
      <w:overflowPunct w:val="0"/>
      <w:autoSpaceDE w:val="0"/>
      <w:jc w:val="center"/>
    </w:pPr>
    <w:rPr>
      <w:rFonts w:ascii="ClassGarmnd BT" w:hAnsi="ClassGarmnd BT" w:cs="ClassGarmnd BT"/>
      <w:b/>
      <w:kern w:val="1"/>
      <w:sz w:val="32"/>
      <w:lang w:val="en-AU" w:eastAsia="ar-SA"/>
    </w:rPr>
  </w:style>
  <w:style w:type="paragraph" w:styleId="27">
    <w:name w:val="annotation subject"/>
    <w:basedOn w:val="9"/>
    <w:next w:val="9"/>
    <w:link w:val="61"/>
    <w:qFormat/>
    <w:uiPriority w:val="99"/>
    <w:rPr>
      <w:b/>
      <w:bCs/>
      <w:kern w:val="2"/>
      <w:sz w:val="21"/>
    </w:rPr>
  </w:style>
  <w:style w:type="table" w:styleId="29">
    <w:name w:val="Table Grid"/>
    <w:basedOn w:val="2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endnote reference"/>
    <w:qFormat/>
    <w:uiPriority w:val="0"/>
    <w:rPr>
      <w:rFonts w:cs="Times New Roman"/>
      <w:vertAlign w:val="superscript"/>
    </w:rPr>
  </w:style>
  <w:style w:type="character" w:styleId="33">
    <w:name w:val="page number"/>
    <w:basedOn w:val="30"/>
    <w:qFormat/>
    <w:uiPriority w:val="0"/>
  </w:style>
  <w:style w:type="character" w:styleId="34">
    <w:name w:val="FollowedHyperlink"/>
    <w:qFormat/>
    <w:uiPriority w:val="0"/>
    <w:rPr>
      <w:color w:val="800080"/>
      <w:u w:val="single"/>
    </w:rPr>
  </w:style>
  <w:style w:type="character" w:styleId="35">
    <w:name w:val="Hyperlink"/>
    <w:qFormat/>
    <w:uiPriority w:val="0"/>
    <w:rPr>
      <w:rFonts w:cs="Times New Roman"/>
      <w:color w:val="0000FF"/>
      <w:u w:val="single"/>
    </w:rPr>
  </w:style>
  <w:style w:type="character" w:styleId="36">
    <w:name w:val="annotation reference"/>
    <w:qFormat/>
    <w:uiPriority w:val="99"/>
    <w:rPr>
      <w:rFonts w:cs="Times New Roman"/>
      <w:sz w:val="21"/>
      <w:szCs w:val="21"/>
    </w:rPr>
  </w:style>
  <w:style w:type="character" w:styleId="37">
    <w:name w:val="footnote reference"/>
    <w:unhideWhenUsed/>
    <w:qFormat/>
    <w:uiPriority w:val="0"/>
    <w:rPr>
      <w:vertAlign w:val="superscript"/>
    </w:rPr>
  </w:style>
  <w:style w:type="character" w:customStyle="1" w:styleId="38">
    <w:name w:val="标题 1 字符1"/>
    <w:link w:val="2"/>
    <w:qFormat/>
    <w:locked/>
    <w:uiPriority w:val="9"/>
    <w:rPr>
      <w:rFonts w:eastAsia="宋体"/>
      <w:b/>
      <w:bCs/>
      <w:kern w:val="44"/>
      <w:sz w:val="44"/>
      <w:szCs w:val="44"/>
      <w:lang w:bidi="ar-SA"/>
    </w:rPr>
  </w:style>
  <w:style w:type="character" w:customStyle="1" w:styleId="39">
    <w:name w:val="标题 2 字符1"/>
    <w:link w:val="3"/>
    <w:qFormat/>
    <w:locked/>
    <w:uiPriority w:val="0"/>
    <w:rPr>
      <w:rFonts w:ascii="Arial" w:hAnsi="Arial" w:eastAsia="黑体"/>
      <w:b/>
      <w:bCs/>
      <w:sz w:val="32"/>
      <w:szCs w:val="32"/>
      <w:lang w:bidi="ar-SA"/>
    </w:rPr>
  </w:style>
  <w:style w:type="character" w:customStyle="1" w:styleId="40">
    <w:name w:val="标题 3 字符1"/>
    <w:link w:val="4"/>
    <w:qFormat/>
    <w:locked/>
    <w:uiPriority w:val="0"/>
    <w:rPr>
      <w:rFonts w:eastAsia="宋体"/>
      <w:b/>
      <w:bCs/>
      <w:sz w:val="32"/>
      <w:szCs w:val="32"/>
      <w:lang w:bidi="ar-SA"/>
    </w:rPr>
  </w:style>
  <w:style w:type="character" w:customStyle="1" w:styleId="41">
    <w:name w:val="标题 4 字符1"/>
    <w:link w:val="5"/>
    <w:semiHidden/>
    <w:qFormat/>
    <w:uiPriority w:val="0"/>
    <w:rPr>
      <w:rFonts w:ascii="Cambria" w:hAnsi="Cambria" w:eastAsia="宋体" w:cs="Times New Roman"/>
      <w:b/>
      <w:bCs/>
      <w:kern w:val="2"/>
      <w:sz w:val="28"/>
      <w:szCs w:val="28"/>
    </w:rPr>
  </w:style>
  <w:style w:type="character" w:customStyle="1" w:styleId="42">
    <w:name w:val="标题 5 字符"/>
    <w:link w:val="6"/>
    <w:semiHidden/>
    <w:qFormat/>
    <w:uiPriority w:val="0"/>
    <w:rPr>
      <w:b/>
      <w:bCs/>
      <w:kern w:val="2"/>
      <w:sz w:val="28"/>
      <w:szCs w:val="28"/>
    </w:rPr>
  </w:style>
  <w:style w:type="character" w:customStyle="1" w:styleId="43">
    <w:name w:val="标题 6 字符1"/>
    <w:link w:val="7"/>
    <w:semiHidden/>
    <w:qFormat/>
    <w:uiPriority w:val="0"/>
    <w:rPr>
      <w:rFonts w:ascii="Arial" w:hAnsi="Arial" w:eastAsia="黑体"/>
      <w:b/>
      <w:bCs/>
      <w:kern w:val="2"/>
      <w:sz w:val="24"/>
      <w:szCs w:val="24"/>
    </w:rPr>
  </w:style>
  <w:style w:type="character" w:customStyle="1" w:styleId="44">
    <w:name w:val="文档结构图 字符1"/>
    <w:link w:val="8"/>
    <w:qFormat/>
    <w:uiPriority w:val="99"/>
    <w:rPr>
      <w:rFonts w:ascii="宋体" w:hAnsi="Calibri"/>
      <w:kern w:val="2"/>
      <w:sz w:val="18"/>
      <w:szCs w:val="18"/>
    </w:rPr>
  </w:style>
  <w:style w:type="character" w:customStyle="1" w:styleId="45">
    <w:name w:val="批注文字 字符1"/>
    <w:link w:val="9"/>
    <w:qFormat/>
    <w:locked/>
    <w:uiPriority w:val="99"/>
    <w:rPr>
      <w:rFonts w:eastAsia="宋体"/>
      <w:sz w:val="24"/>
      <w:szCs w:val="24"/>
      <w:lang w:bidi="ar-SA"/>
    </w:rPr>
  </w:style>
  <w:style w:type="character" w:customStyle="1" w:styleId="46">
    <w:name w:val="正文文本 3 字符1"/>
    <w:link w:val="10"/>
    <w:qFormat/>
    <w:uiPriority w:val="0"/>
    <w:rPr>
      <w:rFonts w:ascii="方正大标宋简体" w:hAnsi="宋体" w:eastAsia="方正大标宋简体"/>
      <w:bCs/>
      <w:kern w:val="2"/>
      <w:sz w:val="42"/>
      <w:szCs w:val="42"/>
    </w:rPr>
  </w:style>
  <w:style w:type="character" w:customStyle="1" w:styleId="47">
    <w:name w:val="正文文本 字符1"/>
    <w:link w:val="11"/>
    <w:qFormat/>
    <w:uiPriority w:val="0"/>
    <w:rPr>
      <w:rFonts w:eastAsia="Times New Roman"/>
      <w:kern w:val="2"/>
      <w:sz w:val="21"/>
      <w:szCs w:val="24"/>
    </w:rPr>
  </w:style>
  <w:style w:type="character" w:customStyle="1" w:styleId="48">
    <w:name w:val="正文文本缩进 字符1"/>
    <w:link w:val="12"/>
    <w:qFormat/>
    <w:uiPriority w:val="0"/>
    <w:rPr>
      <w:rFonts w:ascii="仿宋_GB2312" w:eastAsia="仿宋_GB2312"/>
      <w:kern w:val="2"/>
      <w:sz w:val="30"/>
      <w:szCs w:val="24"/>
      <w:lang w:val="en-US" w:eastAsia="zh-CN" w:bidi="ar-SA"/>
    </w:rPr>
  </w:style>
  <w:style w:type="character" w:customStyle="1" w:styleId="49">
    <w:name w:val="纯文本 字符1"/>
    <w:link w:val="14"/>
    <w:qFormat/>
    <w:uiPriority w:val="0"/>
    <w:rPr>
      <w:rFonts w:ascii="宋体" w:hAnsi="Courier New" w:eastAsia="宋体" w:cs="Courier New"/>
      <w:kern w:val="2"/>
      <w:sz w:val="21"/>
      <w:szCs w:val="21"/>
      <w:lang w:val="en-US" w:eastAsia="zh-CN" w:bidi="ar-SA"/>
    </w:rPr>
  </w:style>
  <w:style w:type="character" w:customStyle="1" w:styleId="50">
    <w:name w:val="日期 字符1"/>
    <w:link w:val="15"/>
    <w:qFormat/>
    <w:uiPriority w:val="0"/>
    <w:rPr>
      <w:rFonts w:ascii="楷体_GB2312" w:eastAsia="楷体_GB2312"/>
      <w:kern w:val="2"/>
      <w:sz w:val="32"/>
      <w:lang w:val="en-US" w:eastAsia="zh-CN" w:bidi="ar-SA"/>
    </w:rPr>
  </w:style>
  <w:style w:type="character" w:customStyle="1" w:styleId="51">
    <w:name w:val="正文文本缩进 2 字符1"/>
    <w:link w:val="16"/>
    <w:qFormat/>
    <w:uiPriority w:val="0"/>
    <w:rPr>
      <w:rFonts w:ascii="仿宋_GB2312" w:hAnsi="宋体" w:eastAsia="仿宋_GB2312"/>
      <w:kern w:val="2"/>
      <w:sz w:val="30"/>
      <w:szCs w:val="30"/>
    </w:rPr>
  </w:style>
  <w:style w:type="character" w:customStyle="1" w:styleId="52">
    <w:name w:val="尾注文本 字符1"/>
    <w:link w:val="17"/>
    <w:qFormat/>
    <w:locked/>
    <w:uiPriority w:val="0"/>
    <w:rPr>
      <w:rFonts w:eastAsia="宋体"/>
      <w:sz w:val="24"/>
      <w:szCs w:val="24"/>
      <w:lang w:bidi="ar-SA"/>
    </w:rPr>
  </w:style>
  <w:style w:type="character" w:customStyle="1" w:styleId="53">
    <w:name w:val="批注框文本 字符1"/>
    <w:link w:val="18"/>
    <w:qFormat/>
    <w:locked/>
    <w:uiPriority w:val="99"/>
    <w:rPr>
      <w:rFonts w:eastAsia="宋体"/>
      <w:kern w:val="2"/>
      <w:sz w:val="18"/>
      <w:szCs w:val="18"/>
      <w:lang w:val="en-US" w:eastAsia="zh-CN" w:bidi="ar-SA"/>
    </w:rPr>
  </w:style>
  <w:style w:type="character" w:customStyle="1" w:styleId="54">
    <w:name w:val="页脚 字符1"/>
    <w:link w:val="19"/>
    <w:qFormat/>
    <w:locked/>
    <w:uiPriority w:val="99"/>
    <w:rPr>
      <w:rFonts w:eastAsia="宋体"/>
      <w:kern w:val="2"/>
      <w:sz w:val="18"/>
      <w:szCs w:val="18"/>
      <w:lang w:val="en-US" w:eastAsia="zh-CN" w:bidi="ar-SA"/>
    </w:rPr>
  </w:style>
  <w:style w:type="character" w:customStyle="1" w:styleId="55">
    <w:name w:val="页眉 字符1"/>
    <w:link w:val="20"/>
    <w:qFormat/>
    <w:locked/>
    <w:uiPriority w:val="99"/>
    <w:rPr>
      <w:rFonts w:eastAsia="宋体"/>
      <w:kern w:val="2"/>
      <w:sz w:val="18"/>
      <w:szCs w:val="18"/>
      <w:lang w:val="en-US" w:eastAsia="zh-CN" w:bidi="ar-SA"/>
    </w:rPr>
  </w:style>
  <w:style w:type="character" w:customStyle="1" w:styleId="56">
    <w:name w:val="副标题 字符"/>
    <w:link w:val="21"/>
    <w:qFormat/>
    <w:uiPriority w:val="0"/>
    <w:rPr>
      <w:rFonts w:ascii="Cambria" w:hAnsi="Cambria" w:cs="Times New Roman"/>
      <w:b/>
      <w:bCs/>
      <w:kern w:val="28"/>
      <w:sz w:val="32"/>
      <w:szCs w:val="32"/>
    </w:rPr>
  </w:style>
  <w:style w:type="character" w:customStyle="1" w:styleId="57">
    <w:name w:val="脚注文本 字符1"/>
    <w:link w:val="22"/>
    <w:qFormat/>
    <w:uiPriority w:val="0"/>
    <w:rPr>
      <w:rFonts w:eastAsia="Times New Roman"/>
      <w:kern w:val="2"/>
      <w:sz w:val="18"/>
      <w:szCs w:val="18"/>
    </w:rPr>
  </w:style>
  <w:style w:type="character" w:customStyle="1" w:styleId="58">
    <w:name w:val="正文文本缩进 3 字符1"/>
    <w:link w:val="23"/>
    <w:qFormat/>
    <w:uiPriority w:val="0"/>
    <w:rPr>
      <w:rFonts w:ascii="仿宋_GB2312" w:eastAsia="仿宋_GB2312"/>
      <w:sz w:val="30"/>
      <w:szCs w:val="28"/>
      <w:lang w:val="zh-CN"/>
    </w:rPr>
  </w:style>
  <w:style w:type="character" w:customStyle="1" w:styleId="59">
    <w:name w:val="正文文本 2 字符1"/>
    <w:link w:val="24"/>
    <w:qFormat/>
    <w:locked/>
    <w:uiPriority w:val="0"/>
    <w:rPr>
      <w:rFonts w:ascii="宋体" w:hAnsi="Courier New" w:eastAsia="宋体"/>
      <w:sz w:val="21"/>
      <w:szCs w:val="21"/>
      <w:lang w:bidi="ar-SA"/>
    </w:rPr>
  </w:style>
  <w:style w:type="character" w:customStyle="1" w:styleId="60">
    <w:name w:val="标题 字符1"/>
    <w:link w:val="26"/>
    <w:qFormat/>
    <w:uiPriority w:val="0"/>
    <w:rPr>
      <w:rFonts w:ascii="ClassGarmnd BT" w:hAnsi="ClassGarmnd BT" w:eastAsia="宋体" w:cs="ClassGarmnd BT"/>
      <w:b/>
      <w:kern w:val="1"/>
      <w:sz w:val="32"/>
      <w:lang w:val="en-AU" w:eastAsia="ar-SA"/>
    </w:rPr>
  </w:style>
  <w:style w:type="character" w:customStyle="1" w:styleId="61">
    <w:name w:val="批注主题 字符1"/>
    <w:link w:val="27"/>
    <w:qFormat/>
    <w:uiPriority w:val="99"/>
    <w:rPr>
      <w:rFonts w:eastAsia="宋体"/>
      <w:b/>
      <w:bCs/>
      <w:kern w:val="2"/>
      <w:sz w:val="21"/>
      <w:szCs w:val="24"/>
      <w:lang w:bidi="ar-SA"/>
    </w:rPr>
  </w:style>
  <w:style w:type="paragraph" w:customStyle="1" w:styleId="62">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3">
    <w:name w:val="dash6b63_6587__char"/>
    <w:basedOn w:val="30"/>
    <w:qFormat/>
    <w:uiPriority w:val="0"/>
  </w:style>
  <w:style w:type="character" w:customStyle="1" w:styleId="64">
    <w:name w:val="dash6b63_005f6587_005f_005fchar__char"/>
    <w:basedOn w:val="30"/>
    <w:qFormat/>
    <w:uiPriority w:val="0"/>
  </w:style>
  <w:style w:type="paragraph" w:customStyle="1" w:styleId="65">
    <w:name w:val="p0"/>
    <w:basedOn w:val="1"/>
    <w:qFormat/>
    <w:uiPriority w:val="0"/>
    <w:pPr>
      <w:widowControl/>
    </w:pPr>
    <w:rPr>
      <w:kern w:val="0"/>
      <w:szCs w:val="21"/>
    </w:rPr>
  </w:style>
  <w:style w:type="paragraph" w:styleId="66">
    <w:name w:val="List Paragraph"/>
    <w:basedOn w:val="1"/>
    <w:link w:val="67"/>
    <w:qFormat/>
    <w:uiPriority w:val="34"/>
    <w:pPr>
      <w:ind w:firstLine="420" w:firstLineChars="200"/>
    </w:pPr>
    <w:rPr>
      <w:szCs w:val="24"/>
    </w:rPr>
  </w:style>
  <w:style w:type="character" w:customStyle="1" w:styleId="67">
    <w:name w:val="列表段落 字符"/>
    <w:link w:val="66"/>
    <w:qFormat/>
    <w:uiPriority w:val="0"/>
    <w:rPr>
      <w:kern w:val="2"/>
      <w:sz w:val="21"/>
      <w:szCs w:val="24"/>
    </w:rPr>
  </w:style>
  <w:style w:type="paragraph" w:customStyle="1" w:styleId="68">
    <w:name w:val="列出段落1"/>
    <w:basedOn w:val="1"/>
    <w:qFormat/>
    <w:uiPriority w:val="0"/>
    <w:pPr>
      <w:ind w:firstLine="420" w:firstLineChars="200"/>
    </w:pPr>
    <w:rPr>
      <w:rFonts w:ascii="Calibri" w:hAnsi="Calibri"/>
      <w:szCs w:val="22"/>
    </w:rPr>
  </w:style>
  <w:style w:type="paragraph" w:customStyle="1" w:styleId="69">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70">
    <w:name w:val="列表段落1"/>
    <w:basedOn w:val="1"/>
    <w:qFormat/>
    <w:uiPriority w:val="0"/>
    <w:pPr>
      <w:ind w:firstLine="420" w:firstLineChars="200"/>
    </w:pPr>
    <w:rPr>
      <w:rFonts w:ascii="Calibri" w:hAnsi="Calibri"/>
      <w:szCs w:val="22"/>
    </w:rPr>
  </w:style>
  <w:style w:type="paragraph" w:customStyle="1" w:styleId="71">
    <w:name w:val="内页正文"/>
    <w:link w:val="72"/>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72">
    <w:name w:val="内页正文 Char"/>
    <w:link w:val="71"/>
    <w:qFormat/>
    <w:uiPriority w:val="0"/>
    <w:rPr>
      <w:rFonts w:ascii="Arial" w:hAnsi="Arial" w:eastAsia="汉仪中等线简"/>
      <w:color w:val="000000"/>
      <w:sz w:val="18"/>
      <w:szCs w:val="18"/>
      <w:lang w:bidi="ar-SA"/>
    </w:rPr>
  </w:style>
  <w:style w:type="paragraph" w:customStyle="1" w:styleId="7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75">
    <w:name w:val="Char Char15"/>
    <w:qFormat/>
    <w:uiPriority w:val="0"/>
    <w:rPr>
      <w:rFonts w:eastAsia="宋体"/>
      <w:b/>
      <w:bCs/>
      <w:kern w:val="44"/>
      <w:sz w:val="44"/>
      <w:szCs w:val="44"/>
      <w:lang w:val="en-US" w:eastAsia="zh-CN" w:bidi="ar-SA"/>
    </w:rPr>
  </w:style>
  <w:style w:type="character" w:customStyle="1" w:styleId="76">
    <w:name w:val="Char Char14"/>
    <w:qFormat/>
    <w:uiPriority w:val="0"/>
    <w:rPr>
      <w:rFonts w:eastAsia="宋体"/>
      <w:b/>
      <w:bCs/>
      <w:kern w:val="2"/>
      <w:sz w:val="32"/>
      <w:szCs w:val="32"/>
      <w:lang w:val="en-US" w:eastAsia="zh-CN" w:bidi="ar-SA"/>
    </w:rPr>
  </w:style>
  <w:style w:type="character" w:customStyle="1" w:styleId="77">
    <w:name w:val="Char Char13"/>
    <w:qFormat/>
    <w:uiPriority w:val="0"/>
    <w:rPr>
      <w:rFonts w:eastAsia="宋体"/>
      <w:kern w:val="2"/>
      <w:sz w:val="18"/>
      <w:szCs w:val="18"/>
      <w:lang w:val="en-US" w:eastAsia="zh-CN" w:bidi="ar-SA"/>
    </w:rPr>
  </w:style>
  <w:style w:type="character" w:customStyle="1" w:styleId="78">
    <w:name w:val="Char Char12"/>
    <w:qFormat/>
    <w:uiPriority w:val="0"/>
    <w:rPr>
      <w:rFonts w:eastAsia="宋体"/>
      <w:kern w:val="2"/>
      <w:sz w:val="18"/>
      <w:szCs w:val="18"/>
      <w:lang w:val="en-US" w:eastAsia="zh-CN" w:bidi="ar-SA"/>
    </w:rPr>
  </w:style>
  <w:style w:type="character" w:customStyle="1" w:styleId="79">
    <w:name w:val="正文文本缩进 Char1"/>
    <w:qFormat/>
    <w:uiPriority w:val="0"/>
    <w:rPr>
      <w:kern w:val="2"/>
      <w:sz w:val="21"/>
      <w:szCs w:val="24"/>
    </w:rPr>
  </w:style>
  <w:style w:type="character" w:customStyle="1" w:styleId="80">
    <w:name w:val="日期 Char1"/>
    <w:qFormat/>
    <w:uiPriority w:val="0"/>
    <w:rPr>
      <w:kern w:val="2"/>
      <w:sz w:val="21"/>
      <w:szCs w:val="24"/>
    </w:rPr>
  </w:style>
  <w:style w:type="character" w:customStyle="1" w:styleId="81">
    <w:name w:val="正文文本 Char1"/>
    <w:qFormat/>
    <w:uiPriority w:val="0"/>
    <w:rPr>
      <w:kern w:val="2"/>
      <w:sz w:val="21"/>
      <w:szCs w:val="24"/>
    </w:rPr>
  </w:style>
  <w:style w:type="character" w:customStyle="1" w:styleId="82">
    <w:name w:val="批注框文本 Char1"/>
    <w:qFormat/>
    <w:uiPriority w:val="0"/>
    <w:rPr>
      <w:kern w:val="2"/>
      <w:sz w:val="18"/>
      <w:szCs w:val="18"/>
    </w:rPr>
  </w:style>
  <w:style w:type="character" w:customStyle="1" w:styleId="83">
    <w:name w:val="正文文本缩进 2 Char1"/>
    <w:qFormat/>
    <w:uiPriority w:val="0"/>
    <w:rPr>
      <w:kern w:val="2"/>
      <w:sz w:val="21"/>
      <w:szCs w:val="24"/>
    </w:rPr>
  </w:style>
  <w:style w:type="character" w:customStyle="1" w:styleId="84">
    <w:name w:val="正文文本 2 Char1"/>
    <w:qFormat/>
    <w:uiPriority w:val="0"/>
    <w:rPr>
      <w:kern w:val="2"/>
      <w:sz w:val="21"/>
      <w:szCs w:val="24"/>
    </w:rPr>
  </w:style>
  <w:style w:type="character" w:customStyle="1" w:styleId="85">
    <w:name w:val="正文文本缩进 3 Char1"/>
    <w:qFormat/>
    <w:uiPriority w:val="0"/>
    <w:rPr>
      <w:kern w:val="2"/>
      <w:sz w:val="16"/>
      <w:szCs w:val="16"/>
    </w:rPr>
  </w:style>
  <w:style w:type="character" w:customStyle="1" w:styleId="86">
    <w:name w:val="正文文本 3 Char1"/>
    <w:qFormat/>
    <w:uiPriority w:val="0"/>
    <w:rPr>
      <w:kern w:val="2"/>
      <w:sz w:val="16"/>
      <w:szCs w:val="16"/>
    </w:rPr>
  </w:style>
  <w:style w:type="character" w:customStyle="1" w:styleId="87">
    <w:name w:val="纯文本 Char1"/>
    <w:qFormat/>
    <w:uiPriority w:val="0"/>
    <w:rPr>
      <w:rFonts w:ascii="宋体" w:hAnsi="Courier New" w:cs="Courier New"/>
      <w:kern w:val="2"/>
      <w:sz w:val="21"/>
      <w:szCs w:val="21"/>
    </w:rPr>
  </w:style>
  <w:style w:type="character" w:customStyle="1" w:styleId="88">
    <w:name w:val="条款 Char"/>
    <w:link w:val="89"/>
    <w:qFormat/>
    <w:uiPriority w:val="0"/>
    <w:rPr>
      <w:rFonts w:ascii="仿宋_GB2312" w:hAnsi="Calibri" w:eastAsia="仿宋_GB2312"/>
      <w:color w:val="000000"/>
      <w:sz w:val="28"/>
      <w:lang w:bidi="ar-SA"/>
    </w:rPr>
  </w:style>
  <w:style w:type="paragraph" w:customStyle="1" w:styleId="89">
    <w:name w:val="条款"/>
    <w:basedOn w:val="1"/>
    <w:link w:val="88"/>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90">
    <w:name w:val="脚注文本 Char1"/>
    <w:qFormat/>
    <w:uiPriority w:val="0"/>
    <w:rPr>
      <w:kern w:val="2"/>
      <w:sz w:val="18"/>
      <w:szCs w:val="18"/>
    </w:rPr>
  </w:style>
  <w:style w:type="paragraph" w:customStyle="1" w:styleId="91">
    <w:name w:val="Char3"/>
    <w:basedOn w:val="1"/>
    <w:qFormat/>
    <w:uiPriority w:val="0"/>
    <w:rPr>
      <w:szCs w:val="21"/>
    </w:rPr>
  </w:style>
  <w:style w:type="paragraph" w:customStyle="1" w:styleId="92">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93">
    <w:name w:val="样式1"/>
    <w:basedOn w:val="1"/>
    <w:link w:val="94"/>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94">
    <w:name w:val="样式1 Char"/>
    <w:link w:val="93"/>
    <w:qFormat/>
    <w:locked/>
    <w:uiPriority w:val="0"/>
    <w:rPr>
      <w:rFonts w:ascii="仿宋_GB2312" w:hAnsi="宋体" w:eastAsia="仿宋_GB2312"/>
      <w:sz w:val="30"/>
      <w:szCs w:val="30"/>
    </w:rPr>
  </w:style>
  <w:style w:type="paragraph" w:customStyle="1" w:styleId="95">
    <w:name w:val="SSE正文"/>
    <w:basedOn w:val="1"/>
    <w:link w:val="96"/>
    <w:qFormat/>
    <w:uiPriority w:val="0"/>
    <w:pPr>
      <w:ind w:firstLine="200" w:firstLineChars="200"/>
    </w:pPr>
    <w:rPr>
      <w:rFonts w:eastAsia="仿宋_GB2312"/>
      <w:sz w:val="28"/>
      <w:szCs w:val="28"/>
    </w:rPr>
  </w:style>
  <w:style w:type="character" w:customStyle="1" w:styleId="96">
    <w:name w:val="SSE正文 Char"/>
    <w:link w:val="95"/>
    <w:qFormat/>
    <w:uiPriority w:val="0"/>
    <w:rPr>
      <w:rFonts w:eastAsia="仿宋_GB2312"/>
      <w:kern w:val="2"/>
      <w:sz w:val="28"/>
      <w:szCs w:val="28"/>
    </w:rPr>
  </w:style>
  <w:style w:type="paragraph" w:customStyle="1" w:styleId="97">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8">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9">
    <w:name w:val="SSE标题1"/>
    <w:basedOn w:val="2"/>
    <w:link w:val="100"/>
    <w:qFormat/>
    <w:uiPriority w:val="0"/>
    <w:pPr>
      <w:spacing w:before="0" w:after="120" w:line="240" w:lineRule="auto"/>
      <w:ind w:left="1232" w:hanging="630"/>
    </w:pPr>
    <w:rPr>
      <w:rFonts w:eastAsia="黑体"/>
      <w:sz w:val="30"/>
      <w:szCs w:val="30"/>
    </w:rPr>
  </w:style>
  <w:style w:type="character" w:customStyle="1" w:styleId="100">
    <w:name w:val="SSE标题1 Char"/>
    <w:link w:val="99"/>
    <w:qFormat/>
    <w:uiPriority w:val="0"/>
    <w:rPr>
      <w:rFonts w:eastAsia="黑体"/>
      <w:b/>
      <w:bCs/>
      <w:kern w:val="44"/>
      <w:sz w:val="30"/>
      <w:szCs w:val="30"/>
    </w:rPr>
  </w:style>
  <w:style w:type="paragraph" w:customStyle="1" w:styleId="101">
    <w:name w:val="SSE标题0"/>
    <w:basedOn w:val="1"/>
    <w:link w:val="102"/>
    <w:qFormat/>
    <w:uiPriority w:val="0"/>
    <w:pPr>
      <w:spacing w:before="100" w:beforeAutospacing="1" w:after="100" w:afterAutospacing="1"/>
      <w:jc w:val="center"/>
    </w:pPr>
    <w:rPr>
      <w:rFonts w:eastAsia="华文中宋"/>
      <w:b/>
      <w:sz w:val="44"/>
      <w:szCs w:val="44"/>
    </w:rPr>
  </w:style>
  <w:style w:type="character" w:customStyle="1" w:styleId="102">
    <w:name w:val="SSE标题0 Char"/>
    <w:link w:val="101"/>
    <w:qFormat/>
    <w:uiPriority w:val="0"/>
    <w:rPr>
      <w:rFonts w:eastAsia="华文中宋"/>
      <w:b/>
      <w:kern w:val="2"/>
      <w:sz w:val="44"/>
      <w:szCs w:val="44"/>
    </w:rPr>
  </w:style>
  <w:style w:type="paragraph" w:customStyle="1" w:styleId="103">
    <w:name w:val="Стандартный HTML"/>
    <w:basedOn w:val="1"/>
    <w:qFormat/>
    <w:uiPriority w:val="0"/>
    <w:pPr>
      <w:widowControl/>
      <w:suppressAutoHyphens/>
      <w:jc w:val="left"/>
    </w:pPr>
    <w:rPr>
      <w:rFonts w:ascii="Courier New" w:hAnsi="Courier New" w:cs="Courier New"/>
      <w:kern w:val="1"/>
      <w:sz w:val="20"/>
      <w:lang w:eastAsia="ar-SA"/>
    </w:rPr>
  </w:style>
  <w:style w:type="paragraph" w:customStyle="1" w:styleId="104">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5">
    <w:name w:val="List Paragraph1"/>
    <w:basedOn w:val="1"/>
    <w:qFormat/>
    <w:uiPriority w:val="0"/>
    <w:pPr>
      <w:suppressAutoHyphens/>
      <w:ind w:left="720"/>
    </w:pPr>
    <w:rPr>
      <w:kern w:val="1"/>
      <w:sz w:val="32"/>
      <w:szCs w:val="24"/>
      <w:lang w:eastAsia="ar-SA"/>
    </w:rPr>
  </w:style>
  <w:style w:type="paragraph" w:customStyle="1" w:styleId="106">
    <w:name w:val="Style1"/>
    <w:basedOn w:val="1"/>
    <w:qFormat/>
    <w:uiPriority w:val="0"/>
    <w:pPr>
      <w:numPr>
        <w:ilvl w:val="0"/>
        <w:numId w:val="2"/>
      </w:numPr>
      <w:suppressAutoHyphens/>
    </w:pPr>
    <w:rPr>
      <w:kern w:val="1"/>
      <w:szCs w:val="24"/>
      <w:lang w:eastAsia="ar-SA"/>
    </w:rPr>
  </w:style>
  <w:style w:type="character" w:customStyle="1" w:styleId="107">
    <w:name w:val="语句 Char"/>
    <w:link w:val="108"/>
    <w:qFormat/>
    <w:locked/>
    <w:uiPriority w:val="0"/>
    <w:rPr>
      <w:rFonts w:ascii="仿宋_GB2312" w:eastAsia="仿宋_GB2312"/>
      <w:b/>
      <w:i/>
      <w:sz w:val="30"/>
      <w:szCs w:val="30"/>
    </w:rPr>
  </w:style>
  <w:style w:type="paragraph" w:customStyle="1" w:styleId="108">
    <w:name w:val="语句"/>
    <w:basedOn w:val="1"/>
    <w:link w:val="107"/>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9">
    <w:name w:val="KK一级 Char"/>
    <w:link w:val="110"/>
    <w:qFormat/>
    <w:locked/>
    <w:uiPriority w:val="0"/>
    <w:rPr>
      <w:rFonts w:ascii="仿宋_GB2312" w:hAnsi="Calibri" w:eastAsia="仿宋_GB2312"/>
      <w:b/>
      <w:bCs/>
      <w:sz w:val="30"/>
      <w:szCs w:val="30"/>
    </w:rPr>
  </w:style>
  <w:style w:type="paragraph" w:customStyle="1" w:styleId="110">
    <w:name w:val="KK一级"/>
    <w:basedOn w:val="1"/>
    <w:link w:val="109"/>
    <w:qFormat/>
    <w:uiPriority w:val="0"/>
    <w:pPr>
      <w:spacing w:line="600" w:lineRule="exact"/>
      <w:jc w:val="left"/>
    </w:pPr>
    <w:rPr>
      <w:rFonts w:ascii="仿宋_GB2312" w:hAnsi="Calibri" w:eastAsia="仿宋_GB2312"/>
      <w:b/>
      <w:bCs/>
      <w:kern w:val="0"/>
      <w:sz w:val="30"/>
      <w:szCs w:val="30"/>
    </w:rPr>
  </w:style>
  <w:style w:type="character" w:customStyle="1" w:styleId="111">
    <w:name w:val="KK二级 Char"/>
    <w:link w:val="112"/>
    <w:qFormat/>
    <w:locked/>
    <w:uiPriority w:val="0"/>
    <w:rPr>
      <w:rFonts w:ascii="仿宋_GB2312" w:hAnsi="Calibri" w:eastAsia="仿宋_GB2312"/>
      <w:b/>
      <w:bCs/>
      <w:sz w:val="30"/>
      <w:szCs w:val="30"/>
    </w:rPr>
  </w:style>
  <w:style w:type="paragraph" w:customStyle="1" w:styleId="112">
    <w:name w:val="KK二级"/>
    <w:basedOn w:val="1"/>
    <w:link w:val="111"/>
    <w:qFormat/>
    <w:uiPriority w:val="0"/>
    <w:pPr>
      <w:spacing w:line="600" w:lineRule="exact"/>
      <w:jc w:val="left"/>
    </w:pPr>
    <w:rPr>
      <w:rFonts w:ascii="仿宋_GB2312" w:hAnsi="Calibri" w:eastAsia="仿宋_GB2312"/>
      <w:b/>
      <w:bCs/>
      <w:kern w:val="0"/>
      <w:sz w:val="30"/>
      <w:szCs w:val="30"/>
    </w:rPr>
  </w:style>
  <w:style w:type="character" w:customStyle="1" w:styleId="113">
    <w:name w:val="eee Char"/>
    <w:link w:val="114"/>
    <w:qFormat/>
    <w:locked/>
    <w:uiPriority w:val="0"/>
    <w:rPr>
      <w:rFonts w:ascii="宋体" w:hAnsi="宋体"/>
      <w:sz w:val="24"/>
      <w:szCs w:val="24"/>
    </w:rPr>
  </w:style>
  <w:style w:type="paragraph" w:customStyle="1" w:styleId="114">
    <w:name w:val="eee"/>
    <w:basedOn w:val="1"/>
    <w:link w:val="113"/>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5">
    <w:name w:val="SSE内容提要正文 Char"/>
    <w:link w:val="116"/>
    <w:qFormat/>
    <w:locked/>
    <w:uiPriority w:val="0"/>
    <w:rPr>
      <w:rFonts w:ascii="仿宋_GB2312" w:eastAsia="仿宋_GB2312"/>
      <w:sz w:val="28"/>
    </w:rPr>
  </w:style>
  <w:style w:type="paragraph" w:customStyle="1" w:styleId="116">
    <w:name w:val="SSE内容提要正文"/>
    <w:basedOn w:val="1"/>
    <w:link w:val="115"/>
    <w:qFormat/>
    <w:uiPriority w:val="0"/>
    <w:pPr>
      <w:ind w:firstLine="560" w:firstLineChars="200"/>
    </w:pPr>
    <w:rPr>
      <w:rFonts w:ascii="仿宋_GB2312" w:eastAsia="仿宋_GB2312"/>
      <w:kern w:val="0"/>
      <w:sz w:val="28"/>
    </w:rPr>
  </w:style>
  <w:style w:type="character" w:customStyle="1" w:styleId="117">
    <w:name w:val="SSE资料来源 Char"/>
    <w:link w:val="118"/>
    <w:qFormat/>
    <w:locked/>
    <w:uiPriority w:val="0"/>
    <w:rPr>
      <w:rFonts w:ascii="仿宋_GB2312" w:eastAsia="仿宋_GB2312"/>
      <w:color w:val="000000"/>
    </w:rPr>
  </w:style>
  <w:style w:type="paragraph" w:customStyle="1" w:styleId="118">
    <w:name w:val="SSE资料来源"/>
    <w:basedOn w:val="1"/>
    <w:link w:val="117"/>
    <w:qFormat/>
    <w:uiPriority w:val="0"/>
    <w:pPr>
      <w:spacing w:after="100" w:afterAutospacing="1"/>
      <w:ind w:firstLine="200" w:firstLineChars="200"/>
    </w:pPr>
    <w:rPr>
      <w:rFonts w:ascii="仿宋_GB2312" w:eastAsia="仿宋_GB2312"/>
      <w:color w:val="000000"/>
      <w:kern w:val="0"/>
      <w:sz w:val="20"/>
    </w:rPr>
  </w:style>
  <w:style w:type="character" w:customStyle="1" w:styleId="119">
    <w:name w:val="SSE标题2 Char"/>
    <w:link w:val="120"/>
    <w:qFormat/>
    <w:locked/>
    <w:uiPriority w:val="0"/>
    <w:rPr>
      <w:rFonts w:ascii="仿宋_GB2312" w:eastAsia="仿宋_GB2312"/>
      <w:b/>
      <w:bCs/>
      <w:sz w:val="28"/>
      <w:szCs w:val="28"/>
    </w:rPr>
  </w:style>
  <w:style w:type="paragraph" w:customStyle="1" w:styleId="120">
    <w:name w:val="SSE标题2"/>
    <w:basedOn w:val="3"/>
    <w:link w:val="119"/>
    <w:qFormat/>
    <w:uiPriority w:val="0"/>
    <w:pPr>
      <w:spacing w:beforeLines="50" w:after="0" w:line="240" w:lineRule="auto"/>
    </w:pPr>
    <w:rPr>
      <w:rFonts w:ascii="仿宋_GB2312" w:hAnsi="Times New Roman" w:eastAsia="仿宋_GB2312"/>
      <w:sz w:val="28"/>
      <w:szCs w:val="28"/>
    </w:rPr>
  </w:style>
  <w:style w:type="character" w:customStyle="1" w:styleId="121">
    <w:name w:val="SSE表格文字 Char"/>
    <w:link w:val="122"/>
    <w:qFormat/>
    <w:locked/>
    <w:uiPriority w:val="0"/>
    <w:rPr>
      <w:rFonts w:ascii="仿宋_GB2312" w:eastAsia="仿宋_GB2312"/>
      <w:color w:val="000000"/>
      <w:sz w:val="24"/>
      <w:szCs w:val="24"/>
    </w:rPr>
  </w:style>
  <w:style w:type="paragraph" w:customStyle="1" w:styleId="122">
    <w:name w:val="SSE表格文字"/>
    <w:basedOn w:val="1"/>
    <w:link w:val="121"/>
    <w:qFormat/>
    <w:uiPriority w:val="0"/>
    <w:pPr>
      <w:widowControl/>
      <w:jc w:val="center"/>
    </w:pPr>
    <w:rPr>
      <w:rFonts w:ascii="仿宋_GB2312" w:eastAsia="仿宋_GB2312"/>
      <w:color w:val="000000"/>
      <w:kern w:val="0"/>
      <w:sz w:val="24"/>
      <w:szCs w:val="24"/>
    </w:rPr>
  </w:style>
  <w:style w:type="character" w:customStyle="1" w:styleId="123">
    <w:name w:val="SSE图表标题 Char"/>
    <w:link w:val="124"/>
    <w:qFormat/>
    <w:locked/>
    <w:uiPriority w:val="0"/>
    <w:rPr>
      <w:rFonts w:ascii="仿宋_GB2312" w:eastAsia="仿宋_GB2312"/>
      <w:b/>
      <w:bCs/>
      <w:color w:val="000000"/>
      <w:sz w:val="24"/>
      <w:szCs w:val="24"/>
    </w:rPr>
  </w:style>
  <w:style w:type="paragraph" w:customStyle="1" w:styleId="124">
    <w:name w:val="SSE图表标题"/>
    <w:basedOn w:val="7"/>
    <w:link w:val="123"/>
    <w:qFormat/>
    <w:uiPriority w:val="0"/>
    <w:pPr>
      <w:spacing w:beforeLines="50" w:after="0" w:line="240" w:lineRule="auto"/>
      <w:jc w:val="center"/>
    </w:pPr>
    <w:rPr>
      <w:rFonts w:ascii="仿宋_GB2312" w:hAnsi="Times New Roman" w:eastAsia="仿宋_GB2312"/>
      <w:color w:val="000000"/>
      <w:kern w:val="0"/>
    </w:rPr>
  </w:style>
  <w:style w:type="character" w:customStyle="1" w:styleId="125">
    <w:name w:val="标题 1 字符"/>
    <w:qFormat/>
    <w:uiPriority w:val="9"/>
    <w:rPr>
      <w:rFonts w:hint="default" w:ascii="Calibri" w:hAnsi="Calibri" w:eastAsia="宋体" w:cs="Times New Roman"/>
      <w:b/>
      <w:bCs/>
      <w:kern w:val="44"/>
      <w:sz w:val="44"/>
      <w:szCs w:val="44"/>
    </w:rPr>
  </w:style>
  <w:style w:type="character" w:customStyle="1" w:styleId="126">
    <w:name w:val="标题 2 字符"/>
    <w:semiHidden/>
    <w:qFormat/>
    <w:uiPriority w:val="9"/>
    <w:rPr>
      <w:rFonts w:hint="default" w:ascii="Cambria" w:hAnsi="Cambria" w:eastAsia="宋体" w:cs="Times New Roman"/>
      <w:b/>
      <w:bCs/>
      <w:sz w:val="32"/>
      <w:szCs w:val="32"/>
    </w:rPr>
  </w:style>
  <w:style w:type="character" w:customStyle="1" w:styleId="127">
    <w:name w:val="标题 3 字符"/>
    <w:semiHidden/>
    <w:qFormat/>
    <w:uiPriority w:val="9"/>
    <w:rPr>
      <w:rFonts w:hint="default" w:ascii="Calibri" w:hAnsi="Calibri" w:eastAsia="宋体" w:cs="Times New Roman"/>
      <w:b/>
      <w:bCs/>
      <w:sz w:val="32"/>
      <w:szCs w:val="32"/>
    </w:rPr>
  </w:style>
  <w:style w:type="character" w:customStyle="1" w:styleId="128">
    <w:name w:val="标题 4 字符"/>
    <w:semiHidden/>
    <w:qFormat/>
    <w:uiPriority w:val="9"/>
    <w:rPr>
      <w:rFonts w:hint="default" w:ascii="Cambria" w:hAnsi="Cambria" w:eastAsia="宋体" w:cs="Times New Roman"/>
      <w:b/>
      <w:bCs/>
      <w:sz w:val="28"/>
      <w:szCs w:val="28"/>
    </w:rPr>
  </w:style>
  <w:style w:type="character" w:customStyle="1" w:styleId="129">
    <w:name w:val="标题 6 字符"/>
    <w:semiHidden/>
    <w:qFormat/>
    <w:uiPriority w:val="9"/>
    <w:rPr>
      <w:rFonts w:hint="default" w:ascii="Cambria" w:hAnsi="Cambria" w:eastAsia="宋体" w:cs="Times New Roman"/>
      <w:b/>
      <w:bCs/>
      <w:sz w:val="24"/>
      <w:szCs w:val="24"/>
    </w:rPr>
  </w:style>
  <w:style w:type="character" w:customStyle="1" w:styleId="130">
    <w:name w:val="页眉 字符"/>
    <w:semiHidden/>
    <w:qFormat/>
    <w:uiPriority w:val="99"/>
    <w:rPr>
      <w:rFonts w:hint="default" w:ascii="Calibri" w:hAnsi="Calibri" w:eastAsia="宋体" w:cs="Times New Roman"/>
      <w:sz w:val="18"/>
      <w:szCs w:val="18"/>
    </w:rPr>
  </w:style>
  <w:style w:type="character" w:customStyle="1" w:styleId="131">
    <w:name w:val="页脚 字符"/>
    <w:qFormat/>
    <w:uiPriority w:val="99"/>
    <w:rPr>
      <w:rFonts w:hint="default" w:ascii="Calibri" w:hAnsi="Calibri" w:eastAsia="宋体" w:cs="Times New Roman"/>
      <w:sz w:val="18"/>
      <w:szCs w:val="18"/>
    </w:rPr>
  </w:style>
  <w:style w:type="character" w:customStyle="1" w:styleId="132">
    <w:name w:val="正文文本缩进 字符"/>
    <w:semiHidden/>
    <w:qFormat/>
    <w:uiPriority w:val="99"/>
    <w:rPr>
      <w:rFonts w:hint="default" w:ascii="Calibri" w:hAnsi="Calibri" w:eastAsia="宋体" w:cs="Times New Roman"/>
    </w:rPr>
  </w:style>
  <w:style w:type="character" w:customStyle="1" w:styleId="133">
    <w:name w:val="批注框文本 字符"/>
    <w:semiHidden/>
    <w:qFormat/>
    <w:uiPriority w:val="99"/>
    <w:rPr>
      <w:rFonts w:hint="default" w:ascii="Calibri" w:hAnsi="Calibri" w:eastAsia="宋体" w:cs="Times New Roman"/>
      <w:sz w:val="18"/>
      <w:szCs w:val="18"/>
    </w:rPr>
  </w:style>
  <w:style w:type="character" w:customStyle="1" w:styleId="134">
    <w:name w:val="日期 字符"/>
    <w:semiHidden/>
    <w:qFormat/>
    <w:uiPriority w:val="99"/>
    <w:rPr>
      <w:rFonts w:hint="default" w:ascii="Calibri" w:hAnsi="Calibri" w:eastAsia="宋体" w:cs="Times New Roman"/>
    </w:rPr>
  </w:style>
  <w:style w:type="character" w:customStyle="1" w:styleId="135">
    <w:name w:val="纯文本 字符"/>
    <w:semiHidden/>
    <w:qFormat/>
    <w:uiPriority w:val="99"/>
    <w:rPr>
      <w:rFonts w:hint="eastAsia" w:ascii="宋体" w:hAnsi="Courier New" w:eastAsia="宋体" w:cs="Courier New"/>
    </w:rPr>
  </w:style>
  <w:style w:type="character" w:customStyle="1" w:styleId="136">
    <w:name w:val="正文文本 2 字符"/>
    <w:semiHidden/>
    <w:qFormat/>
    <w:uiPriority w:val="99"/>
    <w:rPr>
      <w:rFonts w:hint="default" w:ascii="Calibri" w:hAnsi="Calibri" w:eastAsia="宋体" w:cs="Times New Roman"/>
    </w:rPr>
  </w:style>
  <w:style w:type="character" w:customStyle="1" w:styleId="137">
    <w:name w:val="尾注文本 Char1"/>
    <w:qFormat/>
    <w:locked/>
    <w:uiPriority w:val="0"/>
    <w:rPr>
      <w:rFonts w:ascii="Times New Roman" w:hAnsi="Times New Roman" w:eastAsia="宋体" w:cs="Times New Roman"/>
      <w:kern w:val="0"/>
      <w:sz w:val="24"/>
      <w:szCs w:val="24"/>
    </w:rPr>
  </w:style>
  <w:style w:type="character" w:customStyle="1" w:styleId="138">
    <w:name w:val="尾注文本 字符"/>
    <w:semiHidden/>
    <w:qFormat/>
    <w:uiPriority w:val="99"/>
    <w:rPr>
      <w:rFonts w:hint="default" w:ascii="Calibri" w:hAnsi="Calibri" w:eastAsia="宋体" w:cs="Times New Roman"/>
    </w:rPr>
  </w:style>
  <w:style w:type="character" w:customStyle="1" w:styleId="139">
    <w:name w:val="批注文字 Char1"/>
    <w:qFormat/>
    <w:locked/>
    <w:uiPriority w:val="0"/>
    <w:rPr>
      <w:rFonts w:ascii="Times New Roman" w:hAnsi="Times New Roman" w:eastAsia="宋体" w:cs="Times New Roman"/>
      <w:kern w:val="0"/>
      <w:sz w:val="24"/>
      <w:szCs w:val="24"/>
    </w:rPr>
  </w:style>
  <w:style w:type="character" w:customStyle="1" w:styleId="140">
    <w:name w:val="批注文字 字符"/>
    <w:semiHidden/>
    <w:qFormat/>
    <w:uiPriority w:val="99"/>
    <w:rPr>
      <w:rFonts w:hint="default" w:ascii="Calibri" w:hAnsi="Calibri" w:eastAsia="宋体" w:cs="Times New Roman"/>
    </w:rPr>
  </w:style>
  <w:style w:type="character" w:customStyle="1" w:styleId="141">
    <w:name w:val="正文文本 字符"/>
    <w:semiHidden/>
    <w:qFormat/>
    <w:uiPriority w:val="99"/>
    <w:rPr>
      <w:rFonts w:hint="default" w:ascii="Calibri" w:hAnsi="Calibri" w:eastAsia="宋体" w:cs="Times New Roman"/>
    </w:rPr>
  </w:style>
  <w:style w:type="character" w:customStyle="1" w:styleId="142">
    <w:name w:val="正文文本缩进 2 字符"/>
    <w:semiHidden/>
    <w:qFormat/>
    <w:uiPriority w:val="99"/>
    <w:rPr>
      <w:rFonts w:hint="default" w:ascii="Calibri" w:hAnsi="Calibri" w:eastAsia="宋体" w:cs="Times New Roman"/>
    </w:rPr>
  </w:style>
  <w:style w:type="character" w:customStyle="1" w:styleId="143">
    <w:name w:val="正文文本缩进 3 字符"/>
    <w:semiHidden/>
    <w:qFormat/>
    <w:uiPriority w:val="99"/>
    <w:rPr>
      <w:rFonts w:hint="default" w:ascii="Calibri" w:hAnsi="Calibri" w:eastAsia="宋体" w:cs="Times New Roman"/>
      <w:sz w:val="16"/>
      <w:szCs w:val="16"/>
    </w:rPr>
  </w:style>
  <w:style w:type="character" w:customStyle="1" w:styleId="144">
    <w:name w:val="正文文本 3 字符"/>
    <w:semiHidden/>
    <w:qFormat/>
    <w:uiPriority w:val="99"/>
    <w:rPr>
      <w:rFonts w:hint="default" w:ascii="Calibri" w:hAnsi="Calibri" w:eastAsia="宋体" w:cs="Times New Roman"/>
      <w:sz w:val="16"/>
      <w:szCs w:val="16"/>
    </w:rPr>
  </w:style>
  <w:style w:type="character" w:customStyle="1" w:styleId="145">
    <w:name w:val="脚注文本 字符"/>
    <w:semiHidden/>
    <w:qFormat/>
    <w:uiPriority w:val="99"/>
    <w:rPr>
      <w:rFonts w:hint="default" w:ascii="Calibri" w:hAnsi="Calibri" w:eastAsia="宋体" w:cs="Times New Roman"/>
      <w:sz w:val="18"/>
      <w:szCs w:val="18"/>
    </w:rPr>
  </w:style>
  <w:style w:type="character" w:customStyle="1" w:styleId="146">
    <w:name w:val="批注主题 Char1"/>
    <w:qFormat/>
    <w:locked/>
    <w:uiPriority w:val="0"/>
    <w:rPr>
      <w:rFonts w:ascii="Times New Roman" w:hAnsi="Times New Roman" w:eastAsia="宋体" w:cs="Times New Roman"/>
      <w:b/>
      <w:bCs/>
      <w:kern w:val="0"/>
      <w:sz w:val="24"/>
      <w:szCs w:val="24"/>
    </w:rPr>
  </w:style>
  <w:style w:type="character" w:customStyle="1" w:styleId="147">
    <w:name w:val="批注主题 字符"/>
    <w:semiHidden/>
    <w:qFormat/>
    <w:uiPriority w:val="99"/>
    <w:rPr>
      <w:rFonts w:hint="default" w:ascii="Calibri" w:hAnsi="Calibri" w:eastAsia="宋体" w:cs="Times New Roman"/>
      <w:b/>
      <w:bCs/>
    </w:rPr>
  </w:style>
  <w:style w:type="character" w:customStyle="1" w:styleId="148">
    <w:name w:val="标题 Char1"/>
    <w:qFormat/>
    <w:locked/>
    <w:uiPriority w:val="0"/>
    <w:rPr>
      <w:rFonts w:ascii="Arial" w:hAnsi="Arial" w:eastAsia="宋体" w:cs="Times New Roman"/>
      <w:b/>
      <w:bCs/>
      <w:kern w:val="0"/>
      <w:sz w:val="32"/>
      <w:szCs w:val="32"/>
    </w:rPr>
  </w:style>
  <w:style w:type="character" w:customStyle="1" w:styleId="149">
    <w:name w:val="标题 字符"/>
    <w:qFormat/>
    <w:uiPriority w:val="10"/>
    <w:rPr>
      <w:rFonts w:hint="default" w:ascii="Cambria" w:hAnsi="Cambria" w:eastAsia="宋体" w:cs="Times New Roman"/>
      <w:b/>
      <w:bCs/>
      <w:sz w:val="32"/>
      <w:szCs w:val="32"/>
    </w:rPr>
  </w:style>
  <w:style w:type="paragraph" w:customStyle="1" w:styleId="150">
    <w:name w:val="a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paragraph" w:customStyle="1" w:styleId="15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4">
    <w:name w:val="列出段落2"/>
    <w:basedOn w:val="1"/>
    <w:qFormat/>
    <w:uiPriority w:val="0"/>
    <w:pPr>
      <w:ind w:firstLine="420" w:firstLineChars="200"/>
    </w:pPr>
    <w:rPr>
      <w:rFonts w:ascii="Calibri" w:hAnsi="Calibri"/>
      <w:szCs w:val="22"/>
    </w:rPr>
  </w:style>
  <w:style w:type="paragraph" w:customStyle="1" w:styleId="155">
    <w:name w:val="无间隔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6">
    <w:name w:val="文档结构图 字符"/>
    <w:qFormat/>
    <w:uiPriority w:val="0"/>
    <w:rPr>
      <w:rFonts w:ascii="Microsoft YaHei UI" w:eastAsia="Microsoft YaHei UI"/>
      <w:kern w:val="2"/>
      <w:sz w:val="18"/>
      <w:szCs w:val="18"/>
    </w:rPr>
  </w:style>
  <w:style w:type="paragraph" w:customStyle="1" w:styleId="157">
    <w:name w:val="_Style 156"/>
    <w:semiHidden/>
    <w:qFormat/>
    <w:uiPriority w:val="99"/>
    <w:rPr>
      <w:rFonts w:ascii="Calibri" w:hAnsi="Calibri" w:eastAsia="宋体" w:cs="Times New Roman"/>
      <w:kern w:val="2"/>
      <w:sz w:val="21"/>
      <w:szCs w:val="22"/>
      <w:lang w:val="en-US" w:eastAsia="zh-CN" w:bidi="ar-SA"/>
    </w:rPr>
  </w:style>
  <w:style w:type="paragraph" w:customStyle="1" w:styleId="158">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5207</Words>
  <Characters>5225</Characters>
  <Lines>145</Lines>
  <Paragraphs>40</Paragraphs>
  <TotalTime>3</TotalTime>
  <ScaleCrop>false</ScaleCrop>
  <LinksUpToDate>false</LinksUpToDate>
  <CharactersWithSpaces>5228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2024-06-12T06:09:00Z</dcterms:created>
  <dc:creator>user</dc:creator>
  <cp:lastModifiedBy>波波</cp:lastModifiedBy>
  <cp:lastPrinted>2020-12-30T10:31:00Z</cp:lastPrinted>
  <dcterms:modified xsi:type="dcterms:W3CDTF">2025-07-14T02:16:15Z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7452746697BC47659494C547FDDF04B5_13</vt:lpwstr>
  </property>
  <property fmtid="{D5CDD505-2E9C-101B-9397-08002B2CF9AE}" pid="4" name="KSOTemplateDocerSaveRecord">
    <vt:lpwstr>eyJoZGlkIjoiOTEyYjhmYTA1NzhkMmZlYTA2ODViM2VmOTVkMzI4NWIiLCJ1c2VySWQiOiI3NzE1NTg4NzAifQ==</vt:lpwstr>
  </property>
</Properties>
</file>