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57" w:rsidRPr="0043014C" w:rsidRDefault="00EF5557" w:rsidP="00581850">
      <w:pPr>
        <w:adjustRightInd w:val="0"/>
        <w:snapToGrid w:val="0"/>
        <w:spacing w:line="560" w:lineRule="exact"/>
        <w:jc w:val="center"/>
        <w:rPr>
          <w:rFonts w:ascii="方正大标宋简体" w:eastAsia="方正大标宋简体" w:hAnsi="方正大标宋简体" w:cs="方正大标宋简体" w:hint="eastAsia"/>
          <w:sz w:val="42"/>
          <w:szCs w:val="42"/>
        </w:rPr>
      </w:pPr>
      <w:r w:rsidRPr="0043014C">
        <w:rPr>
          <w:rFonts w:ascii="方正大标宋简体" w:eastAsia="方正大标宋简体" w:hAnsi="方正大标宋简体" w:cs="方正大标宋简体" w:hint="eastAsia"/>
          <w:sz w:val="42"/>
          <w:szCs w:val="42"/>
        </w:rPr>
        <w:t>第</w:t>
      </w:r>
      <w:r w:rsidR="00D30027" w:rsidRPr="0043014C">
        <w:rPr>
          <w:rFonts w:ascii="方正大标宋简体" w:eastAsia="方正大标宋简体" w:hAnsi="方正大标宋简体" w:cs="方正大标宋简体" w:hint="eastAsia"/>
          <w:sz w:val="42"/>
          <w:szCs w:val="42"/>
        </w:rPr>
        <w:t>三</w:t>
      </w:r>
      <w:r w:rsidRPr="0043014C">
        <w:rPr>
          <w:rFonts w:ascii="方正大标宋简体" w:eastAsia="方正大标宋简体" w:hAnsi="方正大标宋简体" w:cs="方正大标宋简体" w:hint="eastAsia"/>
          <w:sz w:val="42"/>
          <w:szCs w:val="42"/>
        </w:rPr>
        <w:t>号——电力</w:t>
      </w:r>
    </w:p>
    <w:p w:rsidR="00EF5557" w:rsidRPr="00D60EB1" w:rsidRDefault="00EF5557" w:rsidP="00581850">
      <w:pPr>
        <w:spacing w:line="560" w:lineRule="exact"/>
        <w:jc w:val="center"/>
        <w:rPr>
          <w:rFonts w:ascii="宋体" w:hAnsi="宋体"/>
          <w:b/>
          <w:sz w:val="36"/>
          <w:szCs w:val="36"/>
        </w:rPr>
      </w:pPr>
    </w:p>
    <w:p w:rsidR="00EF5557" w:rsidRDefault="00EF5557" w:rsidP="00581850">
      <w:pPr>
        <w:spacing w:line="560" w:lineRule="exact"/>
        <w:ind w:firstLine="600"/>
        <w:rPr>
          <w:rFonts w:ascii="仿宋_GB2312" w:eastAsia="仿宋_GB2312" w:hAnsi="仿宋_GB2312" w:hint="eastAsia"/>
          <w:sz w:val="30"/>
          <w:szCs w:val="30"/>
        </w:rPr>
      </w:pPr>
      <w:r w:rsidRPr="00B750FA">
        <w:rPr>
          <w:rFonts w:ascii="仿宋_GB2312" w:eastAsia="仿宋_GB2312" w:hint="eastAsia"/>
          <w:kern w:val="0"/>
          <w:sz w:val="30"/>
          <w:szCs w:val="30"/>
        </w:rPr>
        <w:t>上海证券交易所（以下简称</w:t>
      </w:r>
      <w:r>
        <w:rPr>
          <w:rFonts w:ascii="仿宋_GB2312" w:eastAsia="仿宋_GB2312" w:hint="eastAsia"/>
          <w:kern w:val="0"/>
          <w:sz w:val="30"/>
          <w:szCs w:val="30"/>
        </w:rPr>
        <w:t>本所</w:t>
      </w:r>
      <w:r w:rsidRPr="00B750FA">
        <w:rPr>
          <w:rFonts w:ascii="仿宋_GB2312" w:eastAsia="仿宋_GB2312" w:hint="eastAsia"/>
          <w:kern w:val="0"/>
          <w:sz w:val="30"/>
          <w:szCs w:val="30"/>
        </w:rPr>
        <w:t>）</w:t>
      </w:r>
      <w:r w:rsidR="00B855FF">
        <w:rPr>
          <w:rFonts w:ascii="仿宋_GB2312" w:eastAsia="仿宋_GB2312" w:hint="eastAsia"/>
          <w:kern w:val="0"/>
          <w:sz w:val="30"/>
          <w:szCs w:val="30"/>
        </w:rPr>
        <w:t>从事</w:t>
      </w:r>
      <w:r w:rsidRPr="00B750FA">
        <w:rPr>
          <w:rFonts w:ascii="仿宋_GB2312" w:eastAsia="仿宋_GB2312" w:hint="eastAsia"/>
          <w:kern w:val="0"/>
          <w:sz w:val="30"/>
          <w:szCs w:val="30"/>
        </w:rPr>
        <w:t>电力</w:t>
      </w:r>
      <w:r w:rsidR="00B855FF">
        <w:rPr>
          <w:rFonts w:ascii="仿宋_GB2312" w:eastAsia="仿宋_GB2312" w:hint="eastAsia"/>
          <w:kern w:val="0"/>
          <w:sz w:val="30"/>
          <w:szCs w:val="30"/>
        </w:rPr>
        <w:t>相关业务</w:t>
      </w:r>
      <w:r w:rsidR="00566663">
        <w:rPr>
          <w:rFonts w:ascii="仿宋_GB2312" w:eastAsia="仿宋_GB2312" w:hint="eastAsia"/>
          <w:kern w:val="0"/>
          <w:sz w:val="30"/>
          <w:szCs w:val="30"/>
        </w:rPr>
        <w:t>的</w:t>
      </w:r>
      <w:r w:rsidRPr="00B750FA">
        <w:rPr>
          <w:rFonts w:ascii="仿宋_GB2312" w:eastAsia="仿宋_GB2312" w:hint="eastAsia"/>
          <w:kern w:val="0"/>
          <w:sz w:val="30"/>
          <w:szCs w:val="30"/>
        </w:rPr>
        <w:t>上市公司在年度报告和临时报告中披露行业经营性信息，适用本指引。从事电力生产的热力公司，应当</w:t>
      </w:r>
      <w:r w:rsidRPr="009573F7">
        <w:rPr>
          <w:rFonts w:ascii="仿宋_GB2312" w:eastAsia="仿宋_GB2312" w:hAnsi="仿宋_GB2312" w:hint="eastAsia"/>
          <w:sz w:val="30"/>
          <w:szCs w:val="30"/>
        </w:rPr>
        <w:t>比照本指引披露相关的行业经营性信息。</w:t>
      </w:r>
    </w:p>
    <w:p w:rsidR="00EF5557" w:rsidRPr="00AD29D6" w:rsidRDefault="00EF5557" w:rsidP="00581850">
      <w:pPr>
        <w:snapToGrid w:val="0"/>
        <w:spacing w:line="560" w:lineRule="exact"/>
        <w:ind w:firstLine="600"/>
        <w:rPr>
          <w:rFonts w:ascii="仿宋_GB2312" w:eastAsia="仿宋_GB2312" w:hAnsi="仿宋_GB2312" w:hint="eastAsia"/>
          <w:sz w:val="30"/>
          <w:szCs w:val="30"/>
        </w:rPr>
      </w:pPr>
      <w:r>
        <w:rPr>
          <w:rFonts w:ascii="仿宋_GB2312" w:eastAsia="仿宋_GB2312" w:hint="eastAsia"/>
          <w:sz w:val="30"/>
          <w:szCs w:val="30"/>
        </w:rPr>
        <w:t>本所</w:t>
      </w:r>
      <w:r w:rsidR="00B855FF">
        <w:rPr>
          <w:rFonts w:ascii="仿宋_GB2312" w:eastAsia="仿宋_GB2312" w:hint="eastAsia"/>
          <w:sz w:val="30"/>
          <w:szCs w:val="30"/>
        </w:rPr>
        <w:t>从事</w:t>
      </w:r>
      <w:r w:rsidRPr="00B750FA">
        <w:rPr>
          <w:rFonts w:ascii="仿宋_GB2312" w:eastAsia="仿宋_GB2312" w:hint="eastAsia"/>
          <w:kern w:val="0"/>
          <w:sz w:val="30"/>
          <w:szCs w:val="30"/>
        </w:rPr>
        <w:t>电力</w:t>
      </w:r>
      <w:r w:rsidR="00B855FF">
        <w:rPr>
          <w:rFonts w:ascii="仿宋_GB2312" w:eastAsia="仿宋_GB2312" w:hint="eastAsia"/>
          <w:kern w:val="0"/>
          <w:sz w:val="30"/>
          <w:szCs w:val="30"/>
        </w:rPr>
        <w:t>相关业务</w:t>
      </w:r>
      <w:r w:rsidR="00566663">
        <w:rPr>
          <w:rFonts w:ascii="仿宋_GB2312" w:eastAsia="仿宋_GB2312" w:hint="eastAsia"/>
          <w:kern w:val="0"/>
          <w:sz w:val="30"/>
          <w:szCs w:val="30"/>
        </w:rPr>
        <w:t>的</w:t>
      </w:r>
      <w:r w:rsidRPr="00B750FA">
        <w:rPr>
          <w:rFonts w:ascii="仿宋_GB2312" w:eastAsia="仿宋_GB2312" w:hint="eastAsia"/>
          <w:kern w:val="0"/>
          <w:sz w:val="30"/>
          <w:szCs w:val="30"/>
        </w:rPr>
        <w:t>上市公司</w:t>
      </w:r>
      <w:r>
        <w:rPr>
          <w:rFonts w:ascii="仿宋_GB2312" w:eastAsia="仿宋_GB2312" w:hint="eastAsia"/>
          <w:color w:val="000000"/>
          <w:kern w:val="0"/>
          <w:sz w:val="30"/>
          <w:szCs w:val="30"/>
        </w:rPr>
        <w:t>在适用本指引时，还应当同时遵守</w:t>
      </w:r>
      <w:r>
        <w:rPr>
          <w:rFonts w:ascii="仿宋_GB2312" w:eastAsia="仿宋_GB2312" w:hint="eastAsia"/>
          <w:sz w:val="30"/>
          <w:szCs w:val="30"/>
        </w:rPr>
        <w:t>《</w:t>
      </w:r>
      <w:r w:rsidR="00D30027" w:rsidRPr="00D30027">
        <w:rPr>
          <w:rFonts w:ascii="仿宋_GB2312" w:eastAsia="仿宋_GB2312" w:hint="eastAsia"/>
          <w:sz w:val="30"/>
          <w:szCs w:val="30"/>
        </w:rPr>
        <w:t>上海证券交易所上市公司自律监管指引第</w:t>
      </w:r>
      <w:r w:rsidR="00510739">
        <w:rPr>
          <w:rFonts w:ascii="仿宋_GB2312" w:eastAsia="仿宋_GB2312" w:hint="eastAsia"/>
          <w:sz w:val="30"/>
          <w:szCs w:val="30"/>
        </w:rPr>
        <w:t>3</w:t>
      </w:r>
      <w:r w:rsidR="00D30027" w:rsidRPr="00D30027">
        <w:rPr>
          <w:rFonts w:ascii="仿宋_GB2312" w:eastAsia="仿宋_GB2312" w:hint="eastAsia"/>
          <w:sz w:val="30"/>
          <w:szCs w:val="30"/>
        </w:rPr>
        <w:t>号——行业信息披露</w:t>
      </w:r>
      <w:r>
        <w:rPr>
          <w:rFonts w:ascii="仿宋_GB2312" w:eastAsia="仿宋_GB2312" w:hint="eastAsia"/>
          <w:sz w:val="30"/>
          <w:szCs w:val="30"/>
        </w:rPr>
        <w:t>》中的各项原则规定。</w:t>
      </w:r>
      <w:r w:rsidRPr="00455229">
        <w:rPr>
          <w:rFonts w:ascii="仿宋_GB2312" w:eastAsia="仿宋_GB2312" w:hAnsi="宋体" w:cs="宋体" w:hint="eastAsia"/>
          <w:kern w:val="0"/>
          <w:sz w:val="30"/>
          <w:szCs w:val="30"/>
        </w:rPr>
        <w:t>上市公司</w:t>
      </w:r>
      <w:r>
        <w:rPr>
          <w:rFonts w:ascii="仿宋_GB2312" w:eastAsia="仿宋_GB2312" w:hAnsi="宋体" w:cs="宋体" w:hint="eastAsia"/>
          <w:kern w:val="0"/>
          <w:sz w:val="30"/>
          <w:szCs w:val="30"/>
        </w:rPr>
        <w:t>确属客观原因难以按照本指引要求披露相关信息的，可以不予披露，但</w:t>
      </w:r>
      <w:r w:rsidRPr="00455229">
        <w:rPr>
          <w:rFonts w:ascii="仿宋_GB2312" w:eastAsia="仿宋_GB2312" w:hAnsi="宋体" w:cs="宋体" w:hint="eastAsia"/>
          <w:kern w:val="0"/>
          <w:sz w:val="30"/>
          <w:szCs w:val="30"/>
        </w:rPr>
        <w:t>应当在定期</w:t>
      </w:r>
      <w:r w:rsidRPr="00455229">
        <w:rPr>
          <w:rFonts w:eastAsia="仿宋_GB2312" w:hint="eastAsia"/>
          <w:kern w:val="0"/>
          <w:sz w:val="30"/>
          <w:szCs w:val="30"/>
        </w:rPr>
        <w:t>报告或临时报告中解释未</w:t>
      </w:r>
      <w:r>
        <w:rPr>
          <w:rFonts w:eastAsia="仿宋_GB2312" w:hint="eastAsia"/>
          <w:kern w:val="0"/>
          <w:sz w:val="30"/>
          <w:szCs w:val="30"/>
        </w:rPr>
        <w:t>按要求进行</w:t>
      </w:r>
      <w:r w:rsidRPr="00455229">
        <w:rPr>
          <w:rFonts w:eastAsia="仿宋_GB2312" w:hint="eastAsia"/>
          <w:kern w:val="0"/>
          <w:sz w:val="30"/>
          <w:szCs w:val="30"/>
        </w:rPr>
        <w:t>披露的原因，并予以特别提示。</w:t>
      </w:r>
    </w:p>
    <w:p w:rsidR="00EF5557" w:rsidRPr="00C255EE" w:rsidRDefault="00EF5557" w:rsidP="00581850">
      <w:pPr>
        <w:spacing w:line="560" w:lineRule="exact"/>
        <w:jc w:val="center"/>
        <w:rPr>
          <w:rFonts w:ascii="黑体" w:eastAsia="黑体" w:hAnsi="仿宋_GB2312" w:hint="eastAsia"/>
          <w:b/>
          <w:sz w:val="30"/>
          <w:szCs w:val="30"/>
        </w:rPr>
      </w:pPr>
      <w:r w:rsidRPr="00C255EE">
        <w:rPr>
          <w:rFonts w:ascii="黑体" w:eastAsia="黑体" w:hAnsi="仿宋_GB2312" w:hint="eastAsia"/>
          <w:b/>
          <w:sz w:val="30"/>
          <w:szCs w:val="30"/>
        </w:rPr>
        <w:t>第一节 年度报告</w:t>
      </w:r>
    </w:p>
    <w:p w:rsidR="00EF5557" w:rsidRDefault="00EF5557" w:rsidP="00581850">
      <w:pPr>
        <w:spacing w:line="560" w:lineRule="exact"/>
        <w:ind w:firstLine="600"/>
        <w:rPr>
          <w:rFonts w:ascii="仿宋_GB2312" w:eastAsia="仿宋_GB2312"/>
          <w:color w:val="000000"/>
          <w:kern w:val="0"/>
          <w:sz w:val="30"/>
          <w:szCs w:val="30"/>
        </w:rPr>
      </w:pPr>
      <w:r w:rsidRPr="009573F7">
        <w:rPr>
          <w:rFonts w:ascii="仿宋_GB2312" w:eastAsia="仿宋_GB2312" w:hAnsi="仿宋_GB2312" w:hint="eastAsia"/>
          <w:sz w:val="30"/>
          <w:szCs w:val="30"/>
        </w:rPr>
        <w:t>第一条</w:t>
      </w:r>
      <w:r>
        <w:rPr>
          <w:rFonts w:ascii="仿宋_GB2312" w:eastAsia="仿宋_GB2312" w:hAnsi="仿宋_GB2312" w:hint="eastAsia"/>
          <w:sz w:val="30"/>
          <w:szCs w:val="30"/>
        </w:rPr>
        <w:t xml:space="preserve"> </w:t>
      </w:r>
      <w:r w:rsidRPr="003A1AF8">
        <w:rPr>
          <w:rFonts w:ascii="仿宋_GB2312" w:eastAsia="仿宋_GB2312" w:hAnsi="宋体" w:cs="宋体" w:hint="eastAsia"/>
          <w:color w:val="000000"/>
          <w:kern w:val="0"/>
          <w:sz w:val="30"/>
          <w:szCs w:val="30"/>
        </w:rPr>
        <w:t>上市公司应当披露</w:t>
      </w:r>
      <w:r>
        <w:rPr>
          <w:rFonts w:ascii="仿宋_GB2312" w:eastAsia="仿宋_GB2312" w:hAnsi="宋体" w:cs="宋体" w:hint="eastAsia"/>
          <w:color w:val="000000"/>
          <w:kern w:val="0"/>
          <w:sz w:val="30"/>
          <w:szCs w:val="30"/>
        </w:rPr>
        <w:t>报告期内对其具有重大</w:t>
      </w:r>
      <w:r w:rsidRPr="003A1AF8">
        <w:rPr>
          <w:rFonts w:ascii="仿宋_GB2312" w:eastAsia="仿宋_GB2312" w:hAnsi="宋体" w:cs="宋体" w:hint="eastAsia"/>
          <w:color w:val="000000"/>
          <w:kern w:val="0"/>
          <w:sz w:val="30"/>
          <w:szCs w:val="30"/>
        </w:rPr>
        <w:t>影响</w:t>
      </w:r>
      <w:r>
        <w:rPr>
          <w:rFonts w:ascii="仿宋_GB2312" w:eastAsia="仿宋_GB2312" w:hAnsi="宋体" w:cs="宋体" w:hint="eastAsia"/>
          <w:color w:val="000000"/>
          <w:kern w:val="0"/>
          <w:sz w:val="30"/>
          <w:szCs w:val="30"/>
        </w:rPr>
        <w:t>的涉及</w:t>
      </w:r>
      <w:r w:rsidRPr="003A1AF8">
        <w:rPr>
          <w:rFonts w:ascii="仿宋_GB2312" w:eastAsia="仿宋_GB2312" w:hAnsi="宋体" w:cs="宋体" w:hint="eastAsia"/>
          <w:color w:val="000000"/>
          <w:kern w:val="0"/>
          <w:sz w:val="30"/>
          <w:szCs w:val="30"/>
        </w:rPr>
        <w:t>电力行业发展的国家宏观经济政策、电力政策、环保政策和法规</w:t>
      </w:r>
      <w:r>
        <w:rPr>
          <w:rFonts w:ascii="仿宋_GB2312" w:eastAsia="仿宋_GB2312" w:hAnsi="宋体" w:cs="宋体" w:hint="eastAsia"/>
          <w:color w:val="000000"/>
          <w:kern w:val="0"/>
          <w:sz w:val="30"/>
          <w:szCs w:val="30"/>
        </w:rPr>
        <w:t>的变化情况，</w:t>
      </w:r>
      <w:r w:rsidRPr="0077272F">
        <w:rPr>
          <w:rFonts w:ascii="仿宋_GB2312" w:eastAsia="仿宋_GB2312" w:hAnsi="宋体" w:cs="宋体" w:hint="eastAsia"/>
          <w:color w:val="000000"/>
          <w:kern w:val="0"/>
          <w:sz w:val="30"/>
          <w:szCs w:val="30"/>
        </w:rPr>
        <w:t>并说明其对公司当期和未来发展的具体影响</w:t>
      </w:r>
      <w:r>
        <w:rPr>
          <w:rFonts w:ascii="仿宋_GB2312" w:eastAsia="仿宋_GB2312" w:hAnsi="宋体" w:cs="宋体" w:hint="eastAsia"/>
          <w:color w:val="000000"/>
          <w:kern w:val="0"/>
          <w:sz w:val="30"/>
          <w:szCs w:val="30"/>
        </w:rPr>
        <w:t>，以及公司已经</w:t>
      </w:r>
      <w:r w:rsidRPr="000820E0">
        <w:rPr>
          <w:rFonts w:ascii="仿宋_GB2312" w:eastAsia="仿宋_GB2312" w:hint="eastAsia"/>
          <w:color w:val="000000"/>
          <w:kern w:val="0"/>
          <w:sz w:val="30"/>
          <w:szCs w:val="30"/>
        </w:rPr>
        <w:t>或计划</w:t>
      </w:r>
      <w:r>
        <w:rPr>
          <w:rFonts w:ascii="仿宋_GB2312" w:eastAsia="仿宋_GB2312" w:hAnsi="宋体" w:cs="宋体" w:hint="eastAsia"/>
          <w:color w:val="000000"/>
          <w:kern w:val="0"/>
          <w:sz w:val="30"/>
          <w:szCs w:val="30"/>
        </w:rPr>
        <w:t>采取的应对措施</w:t>
      </w:r>
      <w:r w:rsidRPr="003A1AF8">
        <w:rPr>
          <w:rFonts w:ascii="仿宋_GB2312" w:eastAsia="仿宋_GB2312" w:hAnsi="仿宋_GB2312" w:hint="eastAsia"/>
          <w:sz w:val="30"/>
          <w:szCs w:val="30"/>
        </w:rPr>
        <w:t>。</w:t>
      </w:r>
    </w:p>
    <w:p w:rsidR="00EF5557" w:rsidRDefault="00EF5557" w:rsidP="00581850">
      <w:pPr>
        <w:spacing w:line="56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第二条 上市公司应当披露</w:t>
      </w:r>
      <w:r w:rsidR="003305E7">
        <w:rPr>
          <w:rFonts w:ascii="仿宋_GB2312" w:eastAsia="仿宋_GB2312" w:hint="eastAsia"/>
          <w:color w:val="000000"/>
          <w:kern w:val="0"/>
          <w:sz w:val="30"/>
          <w:szCs w:val="30"/>
        </w:rPr>
        <w:t>以下</w:t>
      </w:r>
      <w:r>
        <w:rPr>
          <w:rFonts w:ascii="仿宋_GB2312" w:eastAsia="仿宋_GB2312" w:hint="eastAsia"/>
          <w:color w:val="000000"/>
          <w:kern w:val="0"/>
          <w:sz w:val="30"/>
          <w:szCs w:val="30"/>
        </w:rPr>
        <w:t>反映电力行业发展状况及公司行业地位的信息：</w:t>
      </w:r>
    </w:p>
    <w:p w:rsidR="00EF5557" w:rsidRDefault="00EF5557" w:rsidP="00581850">
      <w:pPr>
        <w:spacing w:line="56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（一）全国及公司</w:t>
      </w:r>
      <w:r w:rsidRPr="006E76EB">
        <w:rPr>
          <w:rFonts w:ascii="仿宋_GB2312" w:eastAsia="仿宋_GB2312" w:hint="eastAsia"/>
          <w:color w:val="000000"/>
          <w:kern w:val="0"/>
          <w:sz w:val="30"/>
          <w:szCs w:val="30"/>
        </w:rPr>
        <w:t>主要经营地区（分省、直辖市</w:t>
      </w:r>
      <w:r>
        <w:rPr>
          <w:rFonts w:ascii="仿宋_GB2312" w:eastAsia="仿宋_GB2312" w:hAnsi="仿宋_GB2312" w:hint="eastAsia"/>
          <w:color w:val="000000"/>
          <w:sz w:val="30"/>
          <w:szCs w:val="30"/>
        </w:rPr>
        <w:t>，下同</w:t>
      </w:r>
      <w:r w:rsidRPr="006E76EB">
        <w:rPr>
          <w:rFonts w:ascii="仿宋_GB2312" w:eastAsia="仿宋_GB2312" w:hint="eastAsia"/>
          <w:color w:val="000000"/>
          <w:kern w:val="0"/>
          <w:sz w:val="30"/>
          <w:szCs w:val="30"/>
        </w:rPr>
        <w:t>）内</w:t>
      </w:r>
      <w:r>
        <w:rPr>
          <w:rFonts w:ascii="仿宋_GB2312" w:eastAsia="仿宋_GB2312" w:hint="eastAsia"/>
          <w:color w:val="000000"/>
          <w:kern w:val="0"/>
          <w:sz w:val="30"/>
          <w:szCs w:val="30"/>
        </w:rPr>
        <w:t>的电力生产、销售状况及发展趋势；</w:t>
      </w:r>
    </w:p>
    <w:p w:rsidR="00EF5557" w:rsidRDefault="00EF5557" w:rsidP="00581850">
      <w:pPr>
        <w:spacing w:line="56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（二）公司主要</w:t>
      </w:r>
      <w:r w:rsidRPr="006E76EB">
        <w:rPr>
          <w:rFonts w:ascii="仿宋_GB2312" w:eastAsia="仿宋_GB2312" w:hint="eastAsia"/>
          <w:color w:val="000000"/>
          <w:kern w:val="0"/>
          <w:sz w:val="30"/>
          <w:szCs w:val="30"/>
        </w:rPr>
        <w:t>经营地区</w:t>
      </w:r>
      <w:r>
        <w:rPr>
          <w:rFonts w:ascii="仿宋_GB2312" w:eastAsia="仿宋_GB2312" w:hint="eastAsia"/>
          <w:color w:val="000000"/>
          <w:kern w:val="0"/>
          <w:sz w:val="30"/>
          <w:szCs w:val="30"/>
        </w:rPr>
        <w:t>、生产经营规模及当年变动情况；</w:t>
      </w:r>
    </w:p>
    <w:p w:rsidR="00EF5557" w:rsidRDefault="00EF5557" w:rsidP="00581850">
      <w:pPr>
        <w:spacing w:line="56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（三）公司在</w:t>
      </w:r>
      <w:r w:rsidRPr="001845D2">
        <w:rPr>
          <w:rFonts w:ascii="仿宋_GB2312" w:eastAsia="仿宋_GB2312" w:hAnsi="仿宋_GB2312" w:hint="eastAsia"/>
          <w:sz w:val="30"/>
          <w:szCs w:val="30"/>
        </w:rPr>
        <w:t>全行业</w:t>
      </w:r>
      <w:r>
        <w:rPr>
          <w:rFonts w:ascii="仿宋_GB2312" w:eastAsia="仿宋_GB2312" w:hint="eastAsia"/>
          <w:color w:val="000000"/>
          <w:kern w:val="0"/>
          <w:sz w:val="30"/>
          <w:szCs w:val="30"/>
        </w:rPr>
        <w:t>或地区市场的市场地位、竞争优势等。</w:t>
      </w:r>
    </w:p>
    <w:p w:rsidR="00EF5557" w:rsidRPr="000F5B12" w:rsidRDefault="00EF5557" w:rsidP="00581850">
      <w:pPr>
        <w:spacing w:line="560" w:lineRule="exact"/>
        <w:ind w:firstLine="600"/>
        <w:rPr>
          <w:rFonts w:ascii="仿宋_GB2312" w:eastAsia="仿宋_GB2312"/>
          <w:kern w:val="0"/>
          <w:sz w:val="30"/>
          <w:szCs w:val="30"/>
        </w:rPr>
      </w:pPr>
      <w:r w:rsidRPr="000F5B12">
        <w:rPr>
          <w:rFonts w:ascii="仿宋_GB2312" w:eastAsia="仿宋_GB2312" w:hint="eastAsia"/>
          <w:kern w:val="0"/>
          <w:sz w:val="30"/>
          <w:szCs w:val="30"/>
        </w:rPr>
        <w:t>第三条</w:t>
      </w:r>
      <w:r w:rsidRPr="000F5B12">
        <w:rPr>
          <w:rFonts w:ascii="仿宋_GB2312" w:eastAsia="仿宋_GB2312"/>
          <w:kern w:val="0"/>
          <w:sz w:val="30"/>
          <w:szCs w:val="30"/>
        </w:rPr>
        <w:t xml:space="preserve"> </w:t>
      </w:r>
      <w:r w:rsidRPr="000F5B12">
        <w:rPr>
          <w:rFonts w:ascii="仿宋_GB2312" w:eastAsia="仿宋_GB2312" w:hint="eastAsia"/>
          <w:kern w:val="0"/>
          <w:sz w:val="30"/>
          <w:szCs w:val="30"/>
        </w:rPr>
        <w:t>上市公司应当结合行业特点和自身经营模式，披露</w:t>
      </w:r>
      <w:r w:rsidRPr="000F5B12">
        <w:rPr>
          <w:rFonts w:ascii="仿宋_GB2312" w:eastAsia="仿宋_GB2312" w:hint="eastAsia"/>
          <w:kern w:val="0"/>
          <w:sz w:val="30"/>
          <w:szCs w:val="30"/>
        </w:rPr>
        <w:lastRenderedPageBreak/>
        <w:t>可能对公司未来发展战略和经营目标的实现产生不利影响的风险因素，包括电力行业相关的</w:t>
      </w:r>
      <w:r>
        <w:rPr>
          <w:rFonts w:ascii="仿宋_GB2312" w:eastAsia="仿宋_GB2312" w:hint="eastAsia"/>
          <w:sz w:val="30"/>
          <w:szCs w:val="30"/>
        </w:rPr>
        <w:t>政策</w:t>
      </w:r>
      <w:r w:rsidRPr="000F5B12">
        <w:rPr>
          <w:rFonts w:ascii="仿宋_GB2312" w:eastAsia="仿宋_GB2312" w:hint="eastAsia"/>
          <w:sz w:val="30"/>
          <w:szCs w:val="30"/>
        </w:rPr>
        <w:t>风险、环保风险、电价风险、</w:t>
      </w:r>
      <w:r>
        <w:rPr>
          <w:rFonts w:ascii="仿宋_GB2312" w:eastAsia="仿宋_GB2312" w:hint="eastAsia"/>
          <w:sz w:val="30"/>
          <w:szCs w:val="30"/>
        </w:rPr>
        <w:t>市场风险、</w:t>
      </w:r>
      <w:r w:rsidRPr="000F5B12">
        <w:rPr>
          <w:rFonts w:ascii="仿宋_GB2312" w:eastAsia="仿宋_GB2312" w:hint="eastAsia"/>
          <w:sz w:val="30"/>
          <w:szCs w:val="30"/>
        </w:rPr>
        <w:t>技术风险等</w:t>
      </w:r>
      <w:r w:rsidRPr="000F5B12">
        <w:rPr>
          <w:rFonts w:ascii="仿宋_GB2312" w:eastAsia="仿宋_GB2312" w:hint="eastAsia"/>
          <w:kern w:val="0"/>
          <w:sz w:val="30"/>
          <w:szCs w:val="30"/>
        </w:rPr>
        <w:t>。</w:t>
      </w:r>
    </w:p>
    <w:p w:rsidR="00EF5557" w:rsidRPr="000F5B12" w:rsidRDefault="00EF5557" w:rsidP="00581850">
      <w:pPr>
        <w:spacing w:line="560" w:lineRule="exact"/>
        <w:ind w:firstLine="600"/>
        <w:rPr>
          <w:rFonts w:ascii="仿宋_GB2312" w:eastAsia="仿宋_GB2312"/>
          <w:kern w:val="0"/>
          <w:sz w:val="30"/>
          <w:szCs w:val="30"/>
        </w:rPr>
      </w:pPr>
      <w:r w:rsidRPr="000F5B12">
        <w:rPr>
          <w:rFonts w:ascii="仿宋_GB2312" w:eastAsia="仿宋_GB2312" w:hint="eastAsia"/>
          <w:kern w:val="0"/>
          <w:sz w:val="30"/>
          <w:szCs w:val="30"/>
        </w:rPr>
        <w:t>上市公司披露的风险因素应当充分、准确、具体，并进行实质分析，说明对公司当期及未来经营业绩的影响，以及公司已经或计划采取的措施及效果。</w:t>
      </w:r>
    </w:p>
    <w:p w:rsidR="00EF5557" w:rsidRPr="000F5B12" w:rsidRDefault="00EF5557" w:rsidP="00581850">
      <w:pPr>
        <w:spacing w:line="560" w:lineRule="exact"/>
        <w:ind w:firstLine="600"/>
        <w:rPr>
          <w:rFonts w:ascii="仿宋_GB2312" w:eastAsia="仿宋_GB2312" w:hint="eastAsia"/>
          <w:kern w:val="0"/>
          <w:sz w:val="30"/>
          <w:szCs w:val="30"/>
        </w:rPr>
      </w:pPr>
      <w:r w:rsidRPr="000F5B12">
        <w:rPr>
          <w:rFonts w:ascii="仿宋_GB2312" w:eastAsia="仿宋_GB2312" w:hint="eastAsia"/>
          <w:kern w:val="0"/>
          <w:sz w:val="30"/>
          <w:szCs w:val="30"/>
        </w:rPr>
        <w:t>报告期内上市公司经营模式或市场环境发生重大变化的，应当对新增风险因素及其产生的原因、对公司的影响、拟采取的应对措施等进行分析。</w:t>
      </w:r>
    </w:p>
    <w:p w:rsidR="00EF5557" w:rsidRDefault="00EF5557" w:rsidP="00581850">
      <w:pPr>
        <w:spacing w:line="560" w:lineRule="exact"/>
        <w:ind w:firstLine="600"/>
        <w:rPr>
          <w:rFonts w:ascii="仿宋_GB2312" w:eastAsia="仿宋_GB2312" w:hAnsi="仿宋_GB2312"/>
          <w:color w:val="000000"/>
          <w:sz w:val="30"/>
          <w:szCs w:val="30"/>
        </w:rPr>
      </w:pPr>
      <w:r w:rsidRPr="007A120D">
        <w:rPr>
          <w:rFonts w:ascii="仿宋_GB2312" w:eastAsia="仿宋_GB2312" w:hint="eastAsia"/>
          <w:color w:val="000000"/>
          <w:kern w:val="0"/>
          <w:sz w:val="30"/>
          <w:szCs w:val="30"/>
        </w:rPr>
        <w:t>第四条 上市公司应当披露主要经营模式，并按电源种类</w:t>
      </w:r>
      <w:r w:rsidRPr="007A120D">
        <w:rPr>
          <w:rFonts w:ascii="仿宋_GB2312" w:eastAsia="仿宋_GB2312"/>
          <w:color w:val="000000"/>
          <w:kern w:val="0"/>
          <w:sz w:val="30"/>
          <w:szCs w:val="30"/>
        </w:rPr>
        <w:t>披露</w:t>
      </w:r>
      <w:r w:rsidRPr="007A120D">
        <w:rPr>
          <w:rFonts w:ascii="仿宋_GB2312" w:eastAsia="仿宋_GB2312" w:hint="eastAsia"/>
          <w:color w:val="000000"/>
          <w:kern w:val="0"/>
          <w:sz w:val="30"/>
          <w:szCs w:val="30"/>
        </w:rPr>
        <w:t>营业收入、</w:t>
      </w:r>
      <w:r w:rsidR="00696F98" w:rsidRPr="007A120D">
        <w:rPr>
          <w:rFonts w:ascii="仿宋_GB2312" w:eastAsia="仿宋_GB2312" w:hint="eastAsia"/>
          <w:color w:val="000000"/>
          <w:kern w:val="0"/>
          <w:sz w:val="30"/>
          <w:szCs w:val="30"/>
        </w:rPr>
        <w:t>营业成本构成</w:t>
      </w:r>
      <w:r w:rsidR="005C2BBF" w:rsidRPr="007A120D">
        <w:rPr>
          <w:rFonts w:ascii="仿宋_GB2312" w:eastAsia="仿宋_GB2312" w:hint="eastAsia"/>
          <w:color w:val="000000"/>
          <w:kern w:val="0"/>
          <w:sz w:val="30"/>
          <w:szCs w:val="30"/>
        </w:rPr>
        <w:t>及同比变化，</w:t>
      </w:r>
      <w:r w:rsidR="005C2BBF" w:rsidRPr="007A120D">
        <w:rPr>
          <w:rFonts w:ascii="仿宋_GB2312" w:eastAsia="仿宋_GB2312"/>
          <w:color w:val="000000"/>
          <w:kern w:val="0"/>
          <w:sz w:val="30"/>
          <w:szCs w:val="30"/>
        </w:rPr>
        <w:t>并</w:t>
      </w:r>
      <w:r w:rsidR="00696F98" w:rsidRPr="007A120D">
        <w:rPr>
          <w:rFonts w:ascii="仿宋_GB2312" w:eastAsia="仿宋_GB2312" w:hint="eastAsia"/>
          <w:color w:val="000000"/>
          <w:kern w:val="0"/>
          <w:sz w:val="30"/>
          <w:szCs w:val="30"/>
        </w:rPr>
        <w:t>说明</w:t>
      </w:r>
      <w:r w:rsidRPr="007A120D">
        <w:rPr>
          <w:rFonts w:ascii="仿宋_GB2312" w:eastAsia="仿宋_GB2312" w:hint="eastAsia"/>
          <w:color w:val="000000"/>
          <w:kern w:val="0"/>
          <w:sz w:val="30"/>
          <w:szCs w:val="30"/>
        </w:rPr>
        <w:t>经营</w:t>
      </w:r>
      <w:r w:rsidRPr="007A120D">
        <w:rPr>
          <w:rFonts w:ascii="仿宋_GB2312" w:eastAsia="仿宋_GB2312"/>
          <w:color w:val="000000"/>
          <w:kern w:val="0"/>
          <w:sz w:val="30"/>
          <w:szCs w:val="30"/>
        </w:rPr>
        <w:t>模式</w:t>
      </w:r>
      <w:r w:rsidRPr="007A120D">
        <w:rPr>
          <w:rFonts w:ascii="仿宋_GB2312" w:eastAsia="仿宋_GB2312" w:hint="eastAsia"/>
          <w:color w:val="000000"/>
          <w:kern w:val="0"/>
          <w:sz w:val="30"/>
          <w:szCs w:val="30"/>
        </w:rPr>
        <w:t>运行情况。</w:t>
      </w:r>
      <w:r w:rsidRPr="007A120D">
        <w:rPr>
          <w:rFonts w:ascii="仿宋_GB2312" w:eastAsia="仿宋_GB2312" w:hAnsi="仿宋_GB2312" w:hint="eastAsia"/>
          <w:color w:val="000000"/>
          <w:sz w:val="30"/>
          <w:szCs w:val="30"/>
        </w:rPr>
        <w:t>公司有售电业务的，还应当披露外购电量及其收入和成本情况。</w:t>
      </w:r>
    </w:p>
    <w:p w:rsidR="00EF5557" w:rsidRDefault="00EF5557" w:rsidP="00581850">
      <w:pPr>
        <w:spacing w:line="560" w:lineRule="exact"/>
        <w:ind w:firstLine="600"/>
        <w:rPr>
          <w:rFonts w:ascii="仿宋_GB2312" w:eastAsia="仿宋_GB2312" w:hAnsi="仿宋_GB2312"/>
          <w:color w:val="000000"/>
          <w:sz w:val="30"/>
          <w:szCs w:val="30"/>
        </w:rPr>
      </w:pPr>
      <w:r>
        <w:rPr>
          <w:rFonts w:ascii="仿宋_GB2312" w:eastAsia="仿宋_GB2312" w:hint="eastAsia"/>
          <w:color w:val="000000"/>
          <w:kern w:val="0"/>
          <w:sz w:val="30"/>
          <w:szCs w:val="30"/>
        </w:rPr>
        <w:t>第五条 上市公司应当披露</w:t>
      </w:r>
      <w:r w:rsidRPr="001845D2">
        <w:rPr>
          <w:rFonts w:ascii="仿宋_GB2312" w:eastAsia="仿宋_GB2312" w:hAnsi="仿宋_GB2312" w:hint="eastAsia"/>
          <w:sz w:val="30"/>
          <w:szCs w:val="30"/>
        </w:rPr>
        <w:t>装机容量</w:t>
      </w:r>
      <w:r>
        <w:rPr>
          <w:rFonts w:ascii="仿宋_GB2312" w:eastAsia="仿宋_GB2312" w:hint="eastAsia"/>
          <w:color w:val="000000"/>
          <w:kern w:val="0"/>
          <w:sz w:val="30"/>
          <w:szCs w:val="30"/>
        </w:rPr>
        <w:t>情况。公司应当按</w:t>
      </w:r>
      <w:r>
        <w:rPr>
          <w:rFonts w:ascii="仿宋_GB2312" w:eastAsia="仿宋_GB2312" w:hAnsi="仿宋_GB2312" w:hint="eastAsia"/>
          <w:color w:val="000000"/>
          <w:sz w:val="30"/>
          <w:szCs w:val="30"/>
        </w:rPr>
        <w:t>地区和电源种类，披露境内外控股电力公司总装机容量、新投产机组的装机容量、核准和在建项目的计划装机容量。</w:t>
      </w:r>
    </w:p>
    <w:p w:rsidR="00EF5557" w:rsidRPr="00037F5C" w:rsidRDefault="00EF5557" w:rsidP="00581850">
      <w:pPr>
        <w:spacing w:line="560" w:lineRule="exact"/>
        <w:ind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 xml:space="preserve">第六条 </w:t>
      </w:r>
      <w:r>
        <w:rPr>
          <w:rFonts w:ascii="仿宋_GB2312" w:eastAsia="仿宋_GB2312" w:hAnsi="宋体" w:hint="eastAsia"/>
          <w:sz w:val="30"/>
          <w:szCs w:val="20"/>
        </w:rPr>
        <w:t>上市公司应当披露</w:t>
      </w:r>
      <w:r w:rsidRPr="001845D2">
        <w:rPr>
          <w:rFonts w:ascii="仿宋_GB2312" w:eastAsia="仿宋_GB2312" w:hAnsi="仿宋_GB2312" w:hint="eastAsia"/>
          <w:sz w:val="30"/>
          <w:szCs w:val="30"/>
        </w:rPr>
        <w:t>发电量</w:t>
      </w:r>
      <w:r>
        <w:rPr>
          <w:rFonts w:ascii="仿宋_GB2312" w:eastAsia="仿宋_GB2312" w:hAnsi="仿宋_GB2312" w:hint="eastAsia"/>
          <w:color w:val="000000"/>
          <w:sz w:val="30"/>
          <w:szCs w:val="30"/>
        </w:rPr>
        <w:t>、上网电量或售电量情况。公司应当按总量、分地区和电源种类，披露报告期内发电量、上网电量。</w:t>
      </w:r>
      <w:r w:rsidRPr="00037F5C">
        <w:rPr>
          <w:rFonts w:ascii="仿宋_GB2312" w:eastAsia="仿宋_GB2312" w:hAnsi="仿宋_GB2312" w:hint="eastAsia"/>
          <w:color w:val="000000"/>
          <w:sz w:val="30"/>
          <w:szCs w:val="30"/>
        </w:rPr>
        <w:t>公司有售电业务</w:t>
      </w:r>
      <w:r w:rsidRPr="00037F5C">
        <w:rPr>
          <w:rFonts w:ascii="Calibri" w:eastAsia="仿宋_GB2312" w:hAnsi="Calibri" w:hint="eastAsia"/>
          <w:color w:val="000000"/>
          <w:sz w:val="30"/>
          <w:szCs w:val="30"/>
        </w:rPr>
        <w:t>的</w:t>
      </w:r>
      <w:r w:rsidRPr="00037F5C">
        <w:rPr>
          <w:rFonts w:ascii="仿宋_GB2312" w:eastAsia="仿宋_GB2312" w:hAnsi="仿宋_GB2312" w:hint="eastAsia"/>
          <w:color w:val="000000"/>
          <w:sz w:val="30"/>
          <w:szCs w:val="30"/>
        </w:rPr>
        <w:t>，应当按总量、分地区披露报告期内售电情况。</w:t>
      </w:r>
    </w:p>
    <w:p w:rsidR="00EF5557" w:rsidRDefault="00EF5557" w:rsidP="00581850">
      <w:pPr>
        <w:spacing w:line="560" w:lineRule="exact"/>
        <w:ind w:firstLine="600"/>
        <w:rPr>
          <w:rFonts w:ascii="仿宋_GB2312" w:eastAsia="仿宋_GB2312" w:hAnsi="仿宋_GB2312"/>
          <w:color w:val="000000"/>
          <w:sz w:val="30"/>
          <w:szCs w:val="30"/>
        </w:rPr>
      </w:pPr>
      <w:r w:rsidRPr="00037F5C">
        <w:rPr>
          <w:rFonts w:ascii="仿宋_GB2312" w:eastAsia="仿宋_GB2312" w:hAnsi="仿宋_GB2312" w:hint="eastAsia"/>
          <w:color w:val="000000"/>
          <w:sz w:val="30"/>
          <w:szCs w:val="30"/>
        </w:rPr>
        <w:t>第</w:t>
      </w:r>
      <w:r>
        <w:rPr>
          <w:rFonts w:ascii="仿宋_GB2312" w:eastAsia="仿宋_GB2312" w:hAnsi="仿宋_GB2312" w:hint="eastAsia"/>
          <w:sz w:val="30"/>
          <w:szCs w:val="30"/>
        </w:rPr>
        <w:t>七</w:t>
      </w:r>
      <w:r w:rsidRPr="00037F5C">
        <w:rPr>
          <w:rFonts w:ascii="仿宋_GB2312" w:eastAsia="仿宋_GB2312" w:hAnsi="仿宋_GB2312" w:hint="eastAsia"/>
          <w:color w:val="000000"/>
          <w:sz w:val="30"/>
          <w:szCs w:val="30"/>
        </w:rPr>
        <w:t>条</w:t>
      </w:r>
      <w:r>
        <w:rPr>
          <w:rFonts w:ascii="仿宋_GB2312" w:eastAsia="仿宋_GB2312" w:hAnsi="仿宋_GB2312" w:hint="eastAsia"/>
          <w:color w:val="000000"/>
          <w:sz w:val="30"/>
          <w:szCs w:val="30"/>
        </w:rPr>
        <w:t xml:space="preserve"> </w:t>
      </w:r>
      <w:r>
        <w:rPr>
          <w:rFonts w:ascii="仿宋_GB2312" w:eastAsia="仿宋_GB2312" w:hAnsi="宋体" w:hint="eastAsia"/>
          <w:sz w:val="30"/>
          <w:szCs w:val="20"/>
        </w:rPr>
        <w:t>上市公司应当披露</w:t>
      </w:r>
      <w:r w:rsidRPr="001845D2">
        <w:rPr>
          <w:rFonts w:ascii="仿宋_GB2312" w:eastAsia="仿宋_GB2312" w:hAnsi="仿宋_GB2312" w:hint="eastAsia"/>
          <w:sz w:val="30"/>
          <w:szCs w:val="30"/>
        </w:rPr>
        <w:t>上网</w:t>
      </w:r>
      <w:r>
        <w:rPr>
          <w:rFonts w:ascii="仿宋_GB2312" w:eastAsia="仿宋_GB2312" w:hAnsi="仿宋_GB2312" w:hint="eastAsia"/>
          <w:color w:val="000000"/>
          <w:sz w:val="30"/>
          <w:szCs w:val="30"/>
        </w:rPr>
        <w:t>电价或售电</w:t>
      </w:r>
      <w:r w:rsidR="006E23E3">
        <w:rPr>
          <w:rFonts w:ascii="仿宋_GB2312" w:eastAsia="仿宋_GB2312" w:hAnsi="仿宋_GB2312" w:hint="eastAsia"/>
          <w:color w:val="000000"/>
          <w:sz w:val="30"/>
          <w:szCs w:val="30"/>
        </w:rPr>
        <w:t>电</w:t>
      </w:r>
      <w:r>
        <w:rPr>
          <w:rFonts w:ascii="仿宋_GB2312" w:eastAsia="仿宋_GB2312" w:hAnsi="仿宋_GB2312" w:hint="eastAsia"/>
          <w:color w:val="000000"/>
          <w:sz w:val="30"/>
          <w:szCs w:val="30"/>
        </w:rPr>
        <w:t>价。公司应当按总量、分地区和电源种类，披露报告期内上网电价的均价及其与上年度差异。</w:t>
      </w:r>
      <w:r w:rsidRPr="00037F5C">
        <w:rPr>
          <w:rFonts w:ascii="仿宋_GB2312" w:eastAsia="仿宋_GB2312" w:hAnsi="仿宋_GB2312" w:hint="eastAsia"/>
          <w:color w:val="000000"/>
          <w:sz w:val="30"/>
          <w:szCs w:val="30"/>
        </w:rPr>
        <w:t>公司有售电业务的，应当按总量、分地区披露报告期内售电电价的均价及其与上年度差异。</w:t>
      </w:r>
    </w:p>
    <w:p w:rsidR="00EF5557" w:rsidRDefault="00EF5557" w:rsidP="00581850">
      <w:pPr>
        <w:spacing w:line="560" w:lineRule="exact"/>
        <w:ind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lastRenderedPageBreak/>
        <w:t>第</w:t>
      </w:r>
      <w:r>
        <w:rPr>
          <w:rFonts w:ascii="仿宋_GB2312" w:eastAsia="仿宋_GB2312" w:hAnsi="仿宋_GB2312" w:hint="eastAsia"/>
          <w:sz w:val="30"/>
          <w:szCs w:val="30"/>
        </w:rPr>
        <w:t>八</w:t>
      </w:r>
      <w:r>
        <w:rPr>
          <w:rFonts w:ascii="仿宋_GB2312" w:eastAsia="仿宋_GB2312" w:hAnsi="仿宋_GB2312" w:hint="eastAsia"/>
          <w:color w:val="000000"/>
          <w:sz w:val="30"/>
          <w:szCs w:val="30"/>
        </w:rPr>
        <w:t xml:space="preserve">条 </w:t>
      </w:r>
      <w:r>
        <w:rPr>
          <w:rFonts w:ascii="仿宋_GB2312" w:eastAsia="仿宋_GB2312" w:hAnsi="宋体" w:hint="eastAsia"/>
          <w:sz w:val="30"/>
          <w:szCs w:val="20"/>
        </w:rPr>
        <w:t>上市公司应当披露</w:t>
      </w:r>
      <w:r>
        <w:rPr>
          <w:rFonts w:ascii="仿宋_GB2312" w:eastAsia="仿宋_GB2312" w:hAnsi="仿宋_GB2312" w:hint="eastAsia"/>
          <w:color w:val="000000"/>
          <w:sz w:val="30"/>
          <w:szCs w:val="30"/>
        </w:rPr>
        <w:t>发电效率情况。公司应当按总量、分地区和电源种类，披露报告期内发电厂用电率、利用小时数及其与上年度差异。</w:t>
      </w:r>
    </w:p>
    <w:p w:rsidR="00EF5557" w:rsidRPr="00B41E49" w:rsidRDefault="00EF5557" w:rsidP="00581850">
      <w:pPr>
        <w:spacing w:line="560" w:lineRule="exact"/>
        <w:ind w:firstLine="600"/>
        <w:rPr>
          <w:rFonts w:ascii="仿宋_GB2312" w:eastAsia="仿宋_GB2312" w:hAnsi="仿宋_GB2312" w:hint="eastAsia"/>
          <w:color w:val="000000"/>
          <w:sz w:val="30"/>
          <w:szCs w:val="30"/>
        </w:rPr>
      </w:pPr>
      <w:r w:rsidRPr="00B41E49">
        <w:rPr>
          <w:rFonts w:ascii="仿宋_GB2312" w:eastAsia="仿宋_GB2312" w:hAnsi="仿宋_GB2312" w:hint="eastAsia"/>
          <w:color w:val="000000"/>
          <w:sz w:val="30"/>
          <w:szCs w:val="30"/>
        </w:rPr>
        <w:t>第九条 上市公司参与</w:t>
      </w:r>
      <w:r>
        <w:rPr>
          <w:rFonts w:ascii="仿宋_GB2312" w:eastAsia="仿宋_GB2312" w:hAnsi="仿宋_GB2312" w:hint="eastAsia"/>
          <w:color w:val="000000"/>
          <w:sz w:val="30"/>
          <w:szCs w:val="30"/>
        </w:rPr>
        <w:t>电力</w:t>
      </w:r>
      <w:r w:rsidRPr="00B41E49">
        <w:rPr>
          <w:rFonts w:ascii="仿宋_GB2312" w:eastAsia="仿宋_GB2312" w:hAnsi="仿宋_GB2312" w:hint="eastAsia"/>
          <w:color w:val="000000"/>
          <w:sz w:val="30"/>
          <w:szCs w:val="30"/>
        </w:rPr>
        <w:t>市场化交易的，应当披露报告期内市场化交易的总电量、</w:t>
      </w:r>
      <w:r>
        <w:rPr>
          <w:rFonts w:ascii="仿宋_GB2312" w:eastAsia="仿宋_GB2312" w:hAnsi="仿宋_GB2312" w:hint="eastAsia"/>
          <w:color w:val="000000"/>
          <w:sz w:val="30"/>
          <w:szCs w:val="30"/>
        </w:rPr>
        <w:t>市场化交易总电量占总上网电量的比例</w:t>
      </w:r>
      <w:r w:rsidRPr="00B41E49">
        <w:rPr>
          <w:rFonts w:ascii="仿宋_GB2312" w:eastAsia="仿宋_GB2312" w:hAnsi="仿宋_GB2312" w:hint="eastAsia"/>
          <w:color w:val="000000"/>
          <w:sz w:val="30"/>
          <w:szCs w:val="30"/>
        </w:rPr>
        <w:t>及同比变动情况。</w:t>
      </w:r>
    </w:p>
    <w:p w:rsidR="00EF5557" w:rsidRPr="000F5B12" w:rsidRDefault="00EF5557" w:rsidP="00581850">
      <w:pPr>
        <w:spacing w:line="560" w:lineRule="exact"/>
        <w:ind w:firstLine="600"/>
        <w:rPr>
          <w:rFonts w:ascii="仿宋_GB2312" w:eastAsia="仿宋_GB2312" w:hAnsi="仿宋_GB2312" w:hint="eastAsia"/>
          <w:color w:val="000000"/>
          <w:sz w:val="30"/>
          <w:szCs w:val="30"/>
        </w:rPr>
      </w:pPr>
      <w:r w:rsidRPr="00B41E49">
        <w:rPr>
          <w:rFonts w:ascii="仿宋_GB2312" w:eastAsia="仿宋_GB2312" w:hAnsi="仿宋_GB2312" w:hint="eastAsia"/>
          <w:color w:val="000000"/>
          <w:sz w:val="30"/>
          <w:szCs w:val="30"/>
        </w:rPr>
        <w:t>第十条 上市公司经营售电</w:t>
      </w:r>
      <w:r>
        <w:rPr>
          <w:rFonts w:ascii="仿宋_GB2312" w:eastAsia="仿宋_GB2312" w:hAnsi="仿宋_GB2312" w:hint="eastAsia"/>
          <w:color w:val="000000"/>
          <w:sz w:val="30"/>
          <w:szCs w:val="30"/>
        </w:rPr>
        <w:t>业务</w:t>
      </w:r>
      <w:r w:rsidRPr="00B41E49">
        <w:rPr>
          <w:rFonts w:ascii="仿宋_GB2312" w:eastAsia="仿宋_GB2312" w:hAnsi="仿宋_GB2312" w:hint="eastAsia"/>
          <w:color w:val="000000"/>
          <w:sz w:val="30"/>
          <w:szCs w:val="30"/>
        </w:rPr>
        <w:t>的，应当</w:t>
      </w:r>
      <w:r>
        <w:rPr>
          <w:rFonts w:ascii="仿宋_GB2312" w:eastAsia="仿宋_GB2312" w:hAnsi="仿宋_GB2312" w:hint="eastAsia"/>
          <w:color w:val="000000"/>
          <w:sz w:val="30"/>
          <w:szCs w:val="30"/>
        </w:rPr>
        <w:t>披露售电业务</w:t>
      </w:r>
      <w:r w:rsidRPr="00B41E49">
        <w:rPr>
          <w:rFonts w:ascii="仿宋_GB2312" w:eastAsia="仿宋_GB2312" w:hAnsi="仿宋_GB2312" w:hint="eastAsia"/>
          <w:color w:val="000000"/>
          <w:sz w:val="30"/>
          <w:szCs w:val="30"/>
        </w:rPr>
        <w:t>的经营模式、增值服务的具体内容，以及对公司的影响。</w:t>
      </w:r>
    </w:p>
    <w:p w:rsidR="00EF5557" w:rsidRDefault="00EF5557" w:rsidP="00581850">
      <w:pPr>
        <w:spacing w:line="560" w:lineRule="exact"/>
        <w:ind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第</w:t>
      </w:r>
      <w:r>
        <w:rPr>
          <w:rFonts w:ascii="仿宋_GB2312" w:eastAsia="仿宋_GB2312" w:hint="eastAsia"/>
          <w:color w:val="000000"/>
          <w:kern w:val="0"/>
          <w:sz w:val="30"/>
          <w:szCs w:val="30"/>
        </w:rPr>
        <w:t>十一</w:t>
      </w:r>
      <w:r>
        <w:rPr>
          <w:rFonts w:ascii="仿宋_GB2312" w:eastAsia="仿宋_GB2312" w:hAnsi="仿宋_GB2312" w:hint="eastAsia"/>
          <w:color w:val="000000"/>
          <w:sz w:val="30"/>
          <w:szCs w:val="30"/>
        </w:rPr>
        <w:t>条 上市公司应当披露供电煤耗等节能减排关键指标的情况。</w:t>
      </w:r>
    </w:p>
    <w:p w:rsidR="00EF5557" w:rsidRDefault="00EF5557" w:rsidP="00581850">
      <w:pPr>
        <w:spacing w:line="560" w:lineRule="exact"/>
        <w:ind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公司可以披露脱硫设备投运率、二氧化硫、氮氧化物、烟尘和废水排放情况等与节能减排相关的指标。</w:t>
      </w:r>
    </w:p>
    <w:p w:rsidR="00EF5557" w:rsidRDefault="00EF5557" w:rsidP="00581850">
      <w:pPr>
        <w:spacing w:line="560" w:lineRule="exact"/>
        <w:ind w:firstLine="600"/>
        <w:rPr>
          <w:rFonts w:ascii="仿宋_GB2312" w:eastAsia="仿宋_GB2312" w:hAnsi="仿宋_GB2312"/>
          <w:sz w:val="30"/>
          <w:szCs w:val="30"/>
        </w:rPr>
      </w:pPr>
      <w:r>
        <w:rPr>
          <w:rFonts w:ascii="仿宋_GB2312" w:eastAsia="仿宋_GB2312" w:hAnsi="仿宋_GB2312" w:hint="eastAsia"/>
          <w:sz w:val="30"/>
          <w:szCs w:val="30"/>
        </w:rPr>
        <w:t>第</w:t>
      </w:r>
      <w:r>
        <w:rPr>
          <w:rFonts w:ascii="仿宋_GB2312" w:eastAsia="仿宋_GB2312" w:hint="eastAsia"/>
          <w:sz w:val="30"/>
          <w:szCs w:val="30"/>
        </w:rPr>
        <w:t>十二</w:t>
      </w:r>
      <w:r>
        <w:rPr>
          <w:rFonts w:ascii="仿宋_GB2312" w:eastAsia="仿宋_GB2312" w:hAnsi="仿宋_GB2312" w:hint="eastAsia"/>
          <w:sz w:val="30"/>
          <w:szCs w:val="30"/>
        </w:rPr>
        <w:t xml:space="preserve">条 </w:t>
      </w:r>
      <w:r>
        <w:rPr>
          <w:rFonts w:ascii="仿宋_GB2312" w:eastAsia="仿宋_GB2312" w:hAnsi="宋体" w:hint="eastAsia"/>
          <w:sz w:val="30"/>
          <w:szCs w:val="20"/>
        </w:rPr>
        <w:t>上市公司应当披露</w:t>
      </w:r>
      <w:r>
        <w:rPr>
          <w:rFonts w:ascii="仿宋_GB2312" w:eastAsia="仿宋_GB2312" w:hAnsi="仿宋_GB2312" w:hint="eastAsia"/>
          <w:sz w:val="30"/>
          <w:szCs w:val="30"/>
        </w:rPr>
        <w:t>环保情况。公司应当披露报告期内环保政策、法规对公司的影响，公司</w:t>
      </w:r>
      <w:r w:rsidR="00B771E8">
        <w:rPr>
          <w:rFonts w:ascii="仿宋_GB2312" w:eastAsia="仿宋_GB2312" w:hAnsi="仿宋_GB2312" w:hint="eastAsia"/>
          <w:sz w:val="30"/>
          <w:szCs w:val="30"/>
        </w:rPr>
        <w:t>已采取</w:t>
      </w:r>
      <w:r w:rsidR="007E0621">
        <w:rPr>
          <w:rFonts w:ascii="仿宋_GB2312" w:eastAsia="仿宋_GB2312" w:hAnsi="仿宋_GB2312" w:hint="eastAsia"/>
          <w:sz w:val="30"/>
          <w:szCs w:val="30"/>
        </w:rPr>
        <w:t>及拟采取</w:t>
      </w:r>
      <w:r w:rsidR="00B771E8">
        <w:rPr>
          <w:rFonts w:ascii="仿宋_GB2312" w:eastAsia="仿宋_GB2312" w:hAnsi="仿宋_GB2312" w:hint="eastAsia"/>
          <w:sz w:val="30"/>
          <w:szCs w:val="30"/>
        </w:rPr>
        <w:t>的措施</w:t>
      </w:r>
      <w:r>
        <w:rPr>
          <w:rFonts w:ascii="仿宋_GB2312" w:eastAsia="仿宋_GB2312" w:hAnsi="仿宋_GB2312" w:hint="eastAsia"/>
          <w:sz w:val="30"/>
          <w:szCs w:val="30"/>
        </w:rPr>
        <w:t>。</w:t>
      </w:r>
    </w:p>
    <w:p w:rsidR="00EF5557" w:rsidRDefault="00EF5557" w:rsidP="00581850">
      <w:pPr>
        <w:spacing w:line="560" w:lineRule="exact"/>
        <w:ind w:firstLine="600"/>
        <w:rPr>
          <w:rFonts w:ascii="仿宋_GB2312" w:eastAsia="仿宋_GB2312" w:hAnsi="仿宋_GB2312"/>
          <w:color w:val="000000"/>
          <w:sz w:val="30"/>
          <w:szCs w:val="30"/>
        </w:rPr>
      </w:pPr>
      <w:r>
        <w:rPr>
          <w:rFonts w:ascii="仿宋_GB2312" w:eastAsia="仿宋_GB2312" w:hAnsi="仿宋_GB2312" w:hint="eastAsia"/>
          <w:sz w:val="30"/>
          <w:szCs w:val="30"/>
        </w:rPr>
        <w:t>第</w:t>
      </w:r>
      <w:r>
        <w:rPr>
          <w:rFonts w:ascii="仿宋_GB2312" w:eastAsia="仿宋_GB2312" w:hint="eastAsia"/>
          <w:sz w:val="30"/>
          <w:szCs w:val="30"/>
        </w:rPr>
        <w:t>十三</w:t>
      </w:r>
      <w:r>
        <w:rPr>
          <w:rFonts w:ascii="仿宋_GB2312" w:eastAsia="仿宋_GB2312" w:hAnsi="仿宋_GB2312" w:hint="eastAsia"/>
          <w:sz w:val="30"/>
          <w:szCs w:val="30"/>
        </w:rPr>
        <w:t xml:space="preserve">条 </w:t>
      </w:r>
      <w:r>
        <w:rPr>
          <w:rFonts w:ascii="仿宋_GB2312" w:eastAsia="仿宋_GB2312" w:hAnsi="宋体" w:hint="eastAsia"/>
          <w:sz w:val="30"/>
          <w:szCs w:val="20"/>
        </w:rPr>
        <w:t>上市公司应当披露</w:t>
      </w:r>
      <w:r>
        <w:rPr>
          <w:rFonts w:ascii="仿宋_GB2312" w:eastAsia="仿宋_GB2312" w:hint="eastAsia"/>
          <w:color w:val="000000"/>
          <w:kern w:val="0"/>
          <w:sz w:val="30"/>
          <w:szCs w:val="30"/>
        </w:rPr>
        <w:t>资本性支出情况。公司应当披露</w:t>
      </w:r>
      <w:r>
        <w:rPr>
          <w:rFonts w:ascii="仿宋_GB2312" w:eastAsia="仿宋_GB2312" w:hAnsi="仿宋_GB2312" w:cs="宋体" w:hint="eastAsia"/>
          <w:sz w:val="30"/>
          <w:szCs w:val="30"/>
        </w:rPr>
        <w:t>资本性支出计划总金额、资金来源及使用情况；并</w:t>
      </w:r>
      <w:r>
        <w:rPr>
          <w:rFonts w:ascii="仿宋_GB2312" w:eastAsia="仿宋_GB2312" w:hint="eastAsia"/>
          <w:color w:val="000000"/>
          <w:kern w:val="0"/>
          <w:sz w:val="30"/>
          <w:szCs w:val="30"/>
        </w:rPr>
        <w:t>按项目披露报告期内资本性支出项目进展，包括项目总预算、项目进度、报告期投入金额、累计实际投入金额以及报告期项目收益情况等。</w:t>
      </w:r>
    </w:p>
    <w:p w:rsidR="00EF5557" w:rsidRDefault="00EF5557" w:rsidP="00581850">
      <w:pPr>
        <w:spacing w:line="560" w:lineRule="exact"/>
        <w:ind w:firstLine="600"/>
        <w:rPr>
          <w:rFonts w:ascii="仿宋_GB2312" w:eastAsia="仿宋_GB2312" w:hAnsi="仿宋_GB2312" w:hint="eastAsia"/>
          <w:sz w:val="30"/>
          <w:szCs w:val="30"/>
        </w:rPr>
      </w:pPr>
      <w:r>
        <w:rPr>
          <w:rFonts w:ascii="仿宋_GB2312" w:eastAsia="仿宋_GB2312" w:hAnsi="仿宋_GB2312" w:hint="eastAsia"/>
          <w:sz w:val="30"/>
          <w:szCs w:val="30"/>
        </w:rPr>
        <w:t>第十四条 上市公司应当披露报告期内收购、出售和关停子公司或项目情况，及其对公司经营的影响。</w:t>
      </w:r>
    </w:p>
    <w:p w:rsidR="00EF5557" w:rsidRPr="00C255EE" w:rsidRDefault="00EF5557" w:rsidP="00581850">
      <w:pPr>
        <w:spacing w:line="560" w:lineRule="exact"/>
        <w:jc w:val="center"/>
        <w:rPr>
          <w:rFonts w:ascii="黑体" w:eastAsia="黑体" w:hint="eastAsia"/>
          <w:b/>
          <w:sz w:val="30"/>
          <w:szCs w:val="30"/>
        </w:rPr>
      </w:pPr>
      <w:r w:rsidRPr="00C255EE">
        <w:rPr>
          <w:rFonts w:ascii="黑体" w:eastAsia="黑体" w:hAnsi="仿宋_GB2312" w:hint="eastAsia"/>
          <w:b/>
          <w:sz w:val="30"/>
          <w:szCs w:val="30"/>
        </w:rPr>
        <w:t>第二节</w:t>
      </w:r>
      <w:r w:rsidRPr="00C255EE">
        <w:rPr>
          <w:rFonts w:ascii="黑体" w:eastAsia="黑体" w:hint="eastAsia"/>
          <w:b/>
          <w:sz w:val="30"/>
          <w:szCs w:val="30"/>
        </w:rPr>
        <w:t xml:space="preserve"> </w:t>
      </w:r>
      <w:r w:rsidRPr="00C255EE">
        <w:rPr>
          <w:rFonts w:ascii="黑体" w:eastAsia="黑体" w:hAnsi="仿宋_GB2312" w:hint="eastAsia"/>
          <w:b/>
          <w:sz w:val="30"/>
          <w:szCs w:val="30"/>
        </w:rPr>
        <w:t>临时报告</w:t>
      </w:r>
    </w:p>
    <w:p w:rsidR="00EF5557" w:rsidRDefault="00EF5557" w:rsidP="00581850">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 xml:space="preserve">第十五条 </w:t>
      </w:r>
      <w:r w:rsidR="00315544">
        <w:rPr>
          <w:rFonts w:ascii="仿宋_GB2312" w:eastAsia="仿宋_GB2312" w:hAnsi="仿宋_GB2312" w:hint="eastAsia"/>
          <w:color w:val="000000"/>
          <w:sz w:val="30"/>
          <w:szCs w:val="30"/>
        </w:rPr>
        <w:t>上市公司新投产项目发生重大变化的，应当及时披露新投产项目</w:t>
      </w:r>
      <w:r>
        <w:rPr>
          <w:rFonts w:ascii="仿宋_GB2312" w:eastAsia="仿宋_GB2312" w:hAnsi="仿宋_GB2312" w:hint="eastAsia"/>
          <w:color w:val="000000"/>
          <w:sz w:val="30"/>
          <w:szCs w:val="30"/>
        </w:rPr>
        <w:t>装机容量、当年预计发电量、供电煤耗、发电厂用电率、利用小时数等。</w:t>
      </w:r>
    </w:p>
    <w:p w:rsidR="00EF5557" w:rsidRDefault="00EF5557" w:rsidP="00581850">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lastRenderedPageBreak/>
        <w:t>第十六条 上市公司新核准项目发生重大变化的，应当及时披露新核准项目装机容量、总预算、资本性支出计划及其建设周期和投产预期等。</w:t>
      </w:r>
    </w:p>
    <w:p w:rsidR="00EF5557" w:rsidRDefault="00EF5557" w:rsidP="00581850">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第十七条 上市公司在建项目装机容量、总预算、资本性支出计划及其建设周期和投产预期发生重大变化的，应当及时披露变化原因及其对公司经营的影响。</w:t>
      </w:r>
    </w:p>
    <w:p w:rsidR="00EF5557" w:rsidRDefault="00EF5557" w:rsidP="00581850">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第十八条 上市公司上网电量或售电量、</w:t>
      </w:r>
      <w:r w:rsidRPr="002B1BE2">
        <w:rPr>
          <w:rFonts w:ascii="仿宋_GB2312" w:eastAsia="仿宋_GB2312" w:hAnsi="仿宋_GB2312" w:hint="eastAsia"/>
          <w:color w:val="000000"/>
          <w:sz w:val="30"/>
          <w:szCs w:val="30"/>
        </w:rPr>
        <w:t>上网电价或售电</w:t>
      </w:r>
      <w:r w:rsidR="008629D8">
        <w:rPr>
          <w:rFonts w:ascii="仿宋_GB2312" w:eastAsia="仿宋_GB2312" w:hAnsi="仿宋_GB2312" w:hint="eastAsia"/>
          <w:color w:val="000000"/>
          <w:sz w:val="30"/>
          <w:szCs w:val="30"/>
        </w:rPr>
        <w:t>电</w:t>
      </w:r>
      <w:r w:rsidRPr="002B1BE2">
        <w:rPr>
          <w:rFonts w:ascii="仿宋_GB2312" w:eastAsia="仿宋_GB2312" w:hAnsi="仿宋_GB2312" w:hint="eastAsia"/>
          <w:color w:val="000000"/>
          <w:sz w:val="30"/>
          <w:szCs w:val="30"/>
        </w:rPr>
        <w:t>价发生重大变化的，应当及时披露变化原因及其对公司经营的影响。</w:t>
      </w:r>
    </w:p>
    <w:p w:rsidR="00EF5557" w:rsidRDefault="00EF5557" w:rsidP="00581850">
      <w:pPr>
        <w:spacing w:line="560" w:lineRule="exact"/>
        <w:ind w:firstLineChars="200" w:firstLine="600"/>
        <w:rPr>
          <w:rFonts w:ascii="仿宋_GB2312" w:eastAsia="仿宋_GB2312" w:hAnsi="仿宋_GB2312" w:hint="eastAsia"/>
          <w:sz w:val="30"/>
          <w:szCs w:val="30"/>
        </w:rPr>
      </w:pPr>
      <w:r>
        <w:rPr>
          <w:rFonts w:ascii="仿宋_GB2312" w:eastAsia="仿宋_GB2312" w:hAnsi="仿宋_GB2312" w:hint="eastAsia"/>
          <w:sz w:val="30"/>
          <w:szCs w:val="30"/>
        </w:rPr>
        <w:t>第</w:t>
      </w:r>
      <w:r w:rsidR="00B771E8">
        <w:rPr>
          <w:rFonts w:ascii="仿宋_GB2312" w:eastAsia="仿宋_GB2312" w:hAnsi="仿宋_GB2312" w:hint="eastAsia"/>
          <w:sz w:val="30"/>
          <w:szCs w:val="30"/>
        </w:rPr>
        <w:t>十九</w:t>
      </w:r>
      <w:r w:rsidRPr="00C33CE4">
        <w:rPr>
          <w:rFonts w:ascii="仿宋_GB2312" w:eastAsia="仿宋_GB2312" w:hAnsi="仿宋_GB2312" w:hint="eastAsia"/>
          <w:sz w:val="30"/>
          <w:szCs w:val="30"/>
        </w:rPr>
        <w:t>条</w:t>
      </w:r>
      <w:r>
        <w:rPr>
          <w:rFonts w:ascii="仿宋_GB2312" w:eastAsia="仿宋_GB2312" w:hAnsi="仿宋_GB2312" w:hint="eastAsia"/>
          <w:sz w:val="30"/>
          <w:szCs w:val="30"/>
        </w:rPr>
        <w:t xml:space="preserve"> </w:t>
      </w:r>
      <w:r w:rsidRPr="00C33CE4">
        <w:rPr>
          <w:rFonts w:ascii="仿宋_GB2312" w:eastAsia="仿宋_GB2312" w:hAnsi="仿宋_GB2312" w:hint="eastAsia"/>
          <w:sz w:val="30"/>
          <w:szCs w:val="30"/>
        </w:rPr>
        <w:t>上市公司收购子公司，影响重大的，除按照本所《临时公告格式指引》的要求进行披露外，</w:t>
      </w:r>
      <w:r>
        <w:rPr>
          <w:rFonts w:ascii="仿宋_GB2312" w:eastAsia="仿宋_GB2312" w:hAnsi="仿宋_GB2312" w:hint="eastAsia"/>
          <w:sz w:val="30"/>
          <w:szCs w:val="30"/>
        </w:rPr>
        <w:t>还</w:t>
      </w:r>
      <w:r w:rsidRPr="00C33CE4">
        <w:rPr>
          <w:rFonts w:ascii="仿宋_GB2312" w:eastAsia="仿宋_GB2312" w:hAnsi="仿宋_GB2312" w:hint="eastAsia"/>
          <w:sz w:val="30"/>
          <w:szCs w:val="30"/>
        </w:rPr>
        <w:t>应当披露子公司的装机容量、发电量、上网电量及上网电价、发电效率</w:t>
      </w:r>
      <w:r>
        <w:rPr>
          <w:rFonts w:ascii="仿宋_GB2312" w:eastAsia="仿宋_GB2312" w:hAnsi="仿宋_GB2312" w:hint="eastAsia"/>
          <w:sz w:val="30"/>
          <w:szCs w:val="30"/>
        </w:rPr>
        <w:t>。</w:t>
      </w:r>
    </w:p>
    <w:p w:rsidR="00EF5557" w:rsidRPr="00C33CE4" w:rsidRDefault="00EF5557" w:rsidP="00581850">
      <w:pPr>
        <w:spacing w:line="560" w:lineRule="exact"/>
        <w:ind w:firstLineChars="200" w:firstLine="600"/>
        <w:rPr>
          <w:rFonts w:ascii="仿宋_GB2312" w:eastAsia="仿宋_GB2312" w:hAnsi="仿宋_GB2312"/>
          <w:sz w:val="30"/>
          <w:szCs w:val="30"/>
        </w:rPr>
      </w:pPr>
      <w:r>
        <w:rPr>
          <w:rFonts w:ascii="仿宋_GB2312" w:eastAsia="仿宋_GB2312" w:hAnsi="仿宋_GB2312" w:hint="eastAsia"/>
          <w:sz w:val="30"/>
          <w:szCs w:val="30"/>
        </w:rPr>
        <w:t>公司可以披露</w:t>
      </w:r>
      <w:r w:rsidRPr="00C33CE4">
        <w:rPr>
          <w:rFonts w:ascii="仿宋_GB2312" w:eastAsia="仿宋_GB2312" w:hAnsi="仿宋_GB2312" w:hint="eastAsia"/>
          <w:sz w:val="30"/>
          <w:szCs w:val="30"/>
        </w:rPr>
        <w:t>节能减排、</w:t>
      </w:r>
      <w:r w:rsidRPr="00C33CE4">
        <w:rPr>
          <w:rFonts w:ascii="仿宋_GB2312" w:eastAsia="仿宋_GB2312" w:hint="eastAsia"/>
          <w:kern w:val="0"/>
          <w:sz w:val="30"/>
          <w:szCs w:val="30"/>
        </w:rPr>
        <w:t>资本性支出及</w:t>
      </w:r>
      <w:r w:rsidRPr="00C33CE4">
        <w:rPr>
          <w:rFonts w:ascii="仿宋_GB2312" w:eastAsia="仿宋_GB2312" w:hAnsi="仿宋_GB2312" w:hint="eastAsia"/>
          <w:sz w:val="30"/>
          <w:szCs w:val="30"/>
        </w:rPr>
        <w:t>环保情况等。</w:t>
      </w:r>
    </w:p>
    <w:p w:rsidR="00EF5557" w:rsidRPr="00C33CE4" w:rsidRDefault="00EF5557" w:rsidP="00581850">
      <w:pPr>
        <w:spacing w:line="560" w:lineRule="exact"/>
        <w:ind w:firstLine="570"/>
        <w:rPr>
          <w:rFonts w:ascii="仿宋_GB2312" w:eastAsia="仿宋_GB2312" w:hAnsi="仿宋_GB2312"/>
          <w:sz w:val="30"/>
          <w:szCs w:val="30"/>
        </w:rPr>
      </w:pPr>
      <w:r w:rsidRPr="00C33CE4">
        <w:rPr>
          <w:rFonts w:ascii="仿宋_GB2312" w:eastAsia="仿宋_GB2312" w:hAnsi="仿宋_GB2312" w:hint="eastAsia"/>
          <w:sz w:val="30"/>
          <w:szCs w:val="30"/>
        </w:rPr>
        <w:t>第</w:t>
      </w:r>
      <w:r>
        <w:rPr>
          <w:rFonts w:ascii="仿宋_GB2312" w:eastAsia="仿宋_GB2312" w:hAnsi="仿宋_GB2312" w:hint="eastAsia"/>
          <w:sz w:val="30"/>
          <w:szCs w:val="30"/>
        </w:rPr>
        <w:t>二十</w:t>
      </w:r>
      <w:r w:rsidRPr="00C33CE4">
        <w:rPr>
          <w:rFonts w:ascii="仿宋_GB2312" w:eastAsia="仿宋_GB2312" w:hAnsi="仿宋_GB2312" w:hint="eastAsia"/>
          <w:sz w:val="30"/>
          <w:szCs w:val="30"/>
        </w:rPr>
        <w:t>条</w:t>
      </w:r>
      <w:r>
        <w:rPr>
          <w:rFonts w:ascii="仿宋_GB2312" w:eastAsia="仿宋_GB2312" w:hAnsi="仿宋_GB2312" w:hint="eastAsia"/>
          <w:sz w:val="30"/>
          <w:szCs w:val="30"/>
        </w:rPr>
        <w:t xml:space="preserve"> </w:t>
      </w:r>
      <w:r w:rsidRPr="00C33CE4">
        <w:rPr>
          <w:rFonts w:ascii="仿宋_GB2312" w:eastAsia="仿宋_GB2312" w:hAnsi="仿宋_GB2312" w:hint="eastAsia"/>
          <w:sz w:val="30"/>
          <w:szCs w:val="30"/>
        </w:rPr>
        <w:t>上市公司出售和关停子公司，影响重大的，除按照本所《临时公告格式指引》的要求进行披露外，</w:t>
      </w:r>
      <w:r>
        <w:rPr>
          <w:rFonts w:ascii="仿宋_GB2312" w:eastAsia="仿宋_GB2312" w:hAnsi="仿宋_GB2312" w:hint="eastAsia"/>
          <w:sz w:val="30"/>
          <w:szCs w:val="30"/>
        </w:rPr>
        <w:t>还</w:t>
      </w:r>
      <w:r w:rsidRPr="00C33CE4">
        <w:rPr>
          <w:rFonts w:ascii="仿宋_GB2312" w:eastAsia="仿宋_GB2312" w:hAnsi="仿宋_GB2312" w:hint="eastAsia"/>
          <w:sz w:val="30"/>
          <w:szCs w:val="30"/>
        </w:rPr>
        <w:t>应当披露子公司</w:t>
      </w:r>
      <w:r w:rsidR="00315544">
        <w:rPr>
          <w:rFonts w:ascii="仿宋_GB2312" w:eastAsia="仿宋_GB2312" w:hAnsi="仿宋_GB2312" w:hint="eastAsia"/>
          <w:sz w:val="30"/>
          <w:szCs w:val="30"/>
        </w:rPr>
        <w:t>的</w:t>
      </w:r>
      <w:r w:rsidRPr="00C33CE4">
        <w:rPr>
          <w:rFonts w:ascii="仿宋_GB2312" w:eastAsia="仿宋_GB2312" w:hAnsi="仿宋_GB2312" w:hint="eastAsia"/>
          <w:sz w:val="30"/>
          <w:szCs w:val="30"/>
        </w:rPr>
        <w:t>装机容量</w:t>
      </w:r>
      <w:r>
        <w:rPr>
          <w:rFonts w:ascii="仿宋_GB2312" w:eastAsia="仿宋_GB2312" w:hAnsi="仿宋_GB2312" w:hint="eastAsia"/>
          <w:sz w:val="30"/>
          <w:szCs w:val="30"/>
        </w:rPr>
        <w:t>、</w:t>
      </w:r>
      <w:r w:rsidRPr="00C33CE4">
        <w:rPr>
          <w:rFonts w:ascii="仿宋_GB2312" w:eastAsia="仿宋_GB2312" w:hAnsi="仿宋_GB2312" w:hint="eastAsia"/>
          <w:sz w:val="30"/>
          <w:szCs w:val="30"/>
        </w:rPr>
        <w:t>已发电量及公司持股比例</w:t>
      </w:r>
      <w:r>
        <w:rPr>
          <w:rFonts w:ascii="仿宋_GB2312" w:eastAsia="仿宋_GB2312" w:hAnsi="仿宋_GB2312" w:hint="eastAsia"/>
          <w:sz w:val="30"/>
          <w:szCs w:val="30"/>
        </w:rPr>
        <w:t>，</w:t>
      </w:r>
      <w:r w:rsidRPr="00C33CE4">
        <w:rPr>
          <w:rFonts w:ascii="仿宋_GB2312" w:eastAsia="仿宋_GB2312" w:hAnsi="仿宋_GB2312" w:hint="eastAsia"/>
          <w:sz w:val="30"/>
          <w:szCs w:val="30"/>
        </w:rPr>
        <w:t>并预计对公司经营的影响。</w:t>
      </w:r>
    </w:p>
    <w:p w:rsidR="00EF5557" w:rsidRPr="00C33CE4" w:rsidRDefault="00EF5557" w:rsidP="00581850">
      <w:pPr>
        <w:spacing w:line="560" w:lineRule="exact"/>
        <w:ind w:firstLine="570"/>
        <w:rPr>
          <w:rFonts w:ascii="仿宋_GB2312" w:eastAsia="仿宋_GB2312" w:hAnsi="仿宋_GB2312"/>
          <w:sz w:val="30"/>
          <w:szCs w:val="30"/>
        </w:rPr>
      </w:pPr>
      <w:r w:rsidRPr="00C33CE4">
        <w:rPr>
          <w:rFonts w:ascii="仿宋_GB2312" w:eastAsia="仿宋_GB2312" w:hAnsi="仿宋_GB2312" w:hint="eastAsia"/>
          <w:sz w:val="30"/>
          <w:szCs w:val="30"/>
        </w:rPr>
        <w:t>第</w:t>
      </w:r>
      <w:r>
        <w:rPr>
          <w:rFonts w:ascii="仿宋_GB2312" w:eastAsia="仿宋_GB2312" w:hAnsi="仿宋_GB2312" w:hint="eastAsia"/>
          <w:sz w:val="30"/>
          <w:szCs w:val="30"/>
        </w:rPr>
        <w:t>二十</w:t>
      </w:r>
      <w:r w:rsidR="00B771E8">
        <w:rPr>
          <w:rFonts w:ascii="仿宋_GB2312" w:eastAsia="仿宋_GB2312" w:hAnsi="仿宋_GB2312" w:hint="eastAsia"/>
          <w:sz w:val="30"/>
          <w:szCs w:val="30"/>
        </w:rPr>
        <w:t>一</w:t>
      </w:r>
      <w:r w:rsidRPr="00C33CE4">
        <w:rPr>
          <w:rFonts w:ascii="仿宋_GB2312" w:eastAsia="仿宋_GB2312" w:hAnsi="仿宋_GB2312" w:hint="eastAsia"/>
          <w:sz w:val="30"/>
          <w:szCs w:val="30"/>
        </w:rPr>
        <w:t>条</w:t>
      </w:r>
      <w:r>
        <w:rPr>
          <w:rFonts w:ascii="仿宋_GB2312" w:eastAsia="仿宋_GB2312" w:hAnsi="仿宋_GB2312" w:hint="eastAsia"/>
          <w:sz w:val="30"/>
          <w:szCs w:val="30"/>
        </w:rPr>
        <w:t xml:space="preserve"> </w:t>
      </w:r>
      <w:r w:rsidRPr="00C33CE4">
        <w:rPr>
          <w:rFonts w:ascii="仿宋_GB2312" w:eastAsia="仿宋_GB2312" w:hAnsi="仿宋_GB2312" w:hint="eastAsia"/>
          <w:sz w:val="30"/>
          <w:szCs w:val="30"/>
        </w:rPr>
        <w:t>上市公司发生重大安全、环保事故，或被相关部门要求进行安全、环保整改，影响重大的，应当披露事故的原因、涉事公司预计全年发电量、已发电量、停产整改期限及其对公司经营的影响。</w:t>
      </w:r>
    </w:p>
    <w:p w:rsidR="00EF5557" w:rsidRPr="00C255EE" w:rsidRDefault="00EF5557" w:rsidP="00581850">
      <w:pPr>
        <w:spacing w:line="560" w:lineRule="exact"/>
        <w:jc w:val="center"/>
        <w:rPr>
          <w:rFonts w:ascii="黑体" w:eastAsia="黑体" w:hAnsi="仿宋_GB2312" w:hint="eastAsia"/>
          <w:b/>
          <w:sz w:val="30"/>
          <w:szCs w:val="30"/>
        </w:rPr>
      </w:pPr>
      <w:r w:rsidRPr="00C255EE">
        <w:rPr>
          <w:rFonts w:ascii="黑体" w:eastAsia="黑体" w:hAnsi="仿宋_GB2312" w:hint="eastAsia"/>
          <w:b/>
          <w:sz w:val="30"/>
          <w:szCs w:val="30"/>
        </w:rPr>
        <w:t>第三节 附则</w:t>
      </w:r>
    </w:p>
    <w:p w:rsidR="00EF5557" w:rsidRDefault="00B771E8" w:rsidP="00581850">
      <w:pPr>
        <w:spacing w:line="560" w:lineRule="exact"/>
        <w:ind w:firstLineChars="200" w:firstLine="600"/>
        <w:rPr>
          <w:rFonts w:ascii="宋体" w:eastAsia="仿宋_GB2312" w:hAnsi="宋体"/>
          <w:sz w:val="30"/>
          <w:szCs w:val="20"/>
        </w:rPr>
      </w:pPr>
      <w:r>
        <w:rPr>
          <w:rFonts w:ascii="仿宋_GB2312" w:eastAsia="仿宋_GB2312" w:hAnsi="仿宋_GB2312" w:hint="eastAsia"/>
          <w:color w:val="000000"/>
          <w:sz w:val="30"/>
          <w:szCs w:val="30"/>
        </w:rPr>
        <w:t xml:space="preserve">第二十二条 </w:t>
      </w:r>
      <w:r w:rsidR="00EF5557">
        <w:rPr>
          <w:rFonts w:ascii="宋体" w:eastAsia="仿宋_GB2312" w:hAnsi="宋体" w:hint="eastAsia"/>
          <w:sz w:val="30"/>
          <w:szCs w:val="20"/>
        </w:rPr>
        <w:t>本指引</w:t>
      </w:r>
      <w:r w:rsidR="00B15AFB">
        <w:rPr>
          <w:rFonts w:ascii="宋体" w:eastAsia="仿宋_GB2312" w:hAnsi="宋体" w:hint="eastAsia"/>
          <w:sz w:val="30"/>
          <w:szCs w:val="20"/>
        </w:rPr>
        <w:t>有关用语</w:t>
      </w:r>
      <w:r w:rsidR="00EF5557">
        <w:rPr>
          <w:rFonts w:ascii="宋体" w:eastAsia="仿宋_GB2312" w:hAnsi="宋体" w:hint="eastAsia"/>
          <w:sz w:val="30"/>
          <w:szCs w:val="20"/>
        </w:rPr>
        <w:t>含义如下：</w:t>
      </w:r>
    </w:p>
    <w:p w:rsidR="00EF5557" w:rsidRDefault="00EF5557" w:rsidP="00581850">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（一）电源种</w:t>
      </w:r>
      <w:r w:rsidR="00FC7DF9">
        <w:rPr>
          <w:rFonts w:ascii="仿宋_GB2312" w:eastAsia="仿宋_GB2312" w:hAnsi="仿宋_GB2312" w:hint="eastAsia"/>
          <w:color w:val="000000"/>
          <w:sz w:val="30"/>
          <w:szCs w:val="30"/>
        </w:rPr>
        <w:t>类：指按照火电、水电、风电、太阳能、核能</w:t>
      </w:r>
      <w:r w:rsidR="00FC7DF9">
        <w:rPr>
          <w:rFonts w:ascii="仿宋_GB2312" w:eastAsia="仿宋_GB2312" w:hAnsi="仿宋_GB2312" w:hint="eastAsia"/>
          <w:color w:val="000000"/>
          <w:sz w:val="30"/>
          <w:szCs w:val="30"/>
        </w:rPr>
        <w:lastRenderedPageBreak/>
        <w:t>和生物质能等进行的分类；</w:t>
      </w:r>
    </w:p>
    <w:p w:rsidR="00EF5557" w:rsidRDefault="00EF5557" w:rsidP="00581850">
      <w:pPr>
        <w:spacing w:line="560" w:lineRule="exact"/>
        <w:ind w:firstLineChars="200" w:firstLine="600"/>
        <w:rPr>
          <w:rFonts w:ascii="仿宋_GB2312" w:eastAsia="仿宋_GB2312" w:hAnsi="仿宋_GB2312"/>
          <w:color w:val="000000"/>
          <w:sz w:val="30"/>
          <w:szCs w:val="30"/>
        </w:rPr>
      </w:pPr>
      <w:r>
        <w:rPr>
          <w:rFonts w:ascii="仿宋_GB2312" w:eastAsia="仿宋_GB2312" w:hAnsi="仿宋_GB2312" w:hint="eastAsia"/>
          <w:color w:val="000000"/>
          <w:sz w:val="30"/>
          <w:szCs w:val="30"/>
        </w:rPr>
        <w:t>（二）重大变化或重大事项：除</w:t>
      </w:r>
      <w:r w:rsidRPr="006263ED">
        <w:rPr>
          <w:rFonts w:ascii="仿宋_GB2312" w:eastAsia="仿宋_GB2312" w:hAnsi="仿宋_GB2312" w:hint="eastAsia"/>
          <w:color w:val="000000"/>
          <w:sz w:val="30"/>
          <w:szCs w:val="30"/>
        </w:rPr>
        <w:t>《上市公司行业信息披露指引第一号——一般规定》</w:t>
      </w:r>
      <w:r>
        <w:rPr>
          <w:rFonts w:ascii="仿宋_GB2312" w:eastAsia="仿宋_GB2312" w:hAnsi="仿宋_GB2312" w:hint="eastAsia"/>
          <w:color w:val="000000"/>
          <w:sz w:val="30"/>
          <w:szCs w:val="30"/>
        </w:rPr>
        <w:t>中的重大变化或重大事项外，本指引的重大变化或重大事项还包括上市公司的装机容量、发电量等的变化累计分别占上年度公司总装机容量、发电量的10%</w:t>
      </w:r>
      <w:r w:rsidR="00FC7DF9">
        <w:rPr>
          <w:rFonts w:ascii="仿宋_GB2312" w:eastAsia="仿宋_GB2312" w:hAnsi="仿宋_GB2312" w:hint="eastAsia"/>
          <w:color w:val="000000"/>
          <w:sz w:val="30"/>
          <w:szCs w:val="30"/>
        </w:rPr>
        <w:t>以上的重大变化或重大事项；</w:t>
      </w:r>
    </w:p>
    <w:p w:rsidR="00EF5557" w:rsidRDefault="00EF5557" w:rsidP="00581850">
      <w:pPr>
        <w:pStyle w:val="Default"/>
        <w:spacing w:line="560" w:lineRule="exact"/>
        <w:ind w:firstLineChars="200" w:firstLine="600"/>
        <w:jc w:val="both"/>
        <w:rPr>
          <w:rFonts w:ascii="宋体" w:eastAsia="仿宋_GB2312" w:hAnsi="宋体"/>
          <w:sz w:val="30"/>
          <w:szCs w:val="20"/>
        </w:rPr>
      </w:pPr>
      <w:r>
        <w:rPr>
          <w:rFonts w:ascii="仿宋_GB2312" w:eastAsia="仿宋_GB2312" w:hAnsi="仿宋_GB2312" w:hint="eastAsia"/>
          <w:sz w:val="30"/>
          <w:szCs w:val="30"/>
        </w:rPr>
        <w:t>（三）发电厂用电率：指</w:t>
      </w:r>
      <w:r>
        <w:rPr>
          <w:rFonts w:ascii="仿宋_GB2312" w:eastAsia="仿宋_GB2312" w:cs="宋体" w:hint="eastAsia"/>
          <w:sz w:val="30"/>
          <w:szCs w:val="30"/>
        </w:rPr>
        <w:t>发电厂生产电能过程中消耗的电量与发电量的比率</w:t>
      </w:r>
      <w:r w:rsidR="00FC7DF9">
        <w:rPr>
          <w:rFonts w:ascii="仿宋_GB2312" w:eastAsia="仿宋_GB2312" w:hAnsi="Times New Roman" w:cs="宋体" w:hint="eastAsia"/>
          <w:sz w:val="30"/>
          <w:szCs w:val="30"/>
        </w:rPr>
        <w:t>；</w:t>
      </w:r>
    </w:p>
    <w:p w:rsidR="00EF5557" w:rsidRDefault="00EF5557" w:rsidP="00581850">
      <w:pPr>
        <w:pStyle w:val="Default"/>
        <w:spacing w:line="560" w:lineRule="exact"/>
        <w:ind w:firstLineChars="200" w:firstLine="600"/>
        <w:jc w:val="both"/>
        <w:rPr>
          <w:rFonts w:ascii="仿宋_GB2312" w:eastAsia="仿宋_GB2312" w:hAnsi="Times New Roman" w:cs="宋体" w:hint="eastAsia"/>
          <w:sz w:val="30"/>
          <w:szCs w:val="30"/>
        </w:rPr>
      </w:pPr>
      <w:r>
        <w:rPr>
          <w:rFonts w:ascii="仿宋_GB2312" w:eastAsia="仿宋_GB2312" w:hAnsi="仿宋_GB2312" w:hint="eastAsia"/>
          <w:sz w:val="30"/>
          <w:szCs w:val="30"/>
        </w:rPr>
        <w:t>（四）供电煤耗：指</w:t>
      </w:r>
      <w:r>
        <w:rPr>
          <w:rFonts w:ascii="仿宋_GB2312" w:eastAsia="仿宋_GB2312" w:cs="宋体" w:hint="eastAsia"/>
          <w:sz w:val="30"/>
          <w:szCs w:val="30"/>
        </w:rPr>
        <w:t>火力发电机组每供出</w:t>
      </w:r>
      <w:r>
        <w:rPr>
          <w:rFonts w:ascii="仿宋_GB2312" w:eastAsia="仿宋_GB2312" w:hAnsi="Times New Roman" w:cs="Times New Roman" w:hint="eastAsia"/>
          <w:sz w:val="30"/>
          <w:szCs w:val="30"/>
        </w:rPr>
        <w:t>1</w:t>
      </w:r>
      <w:r>
        <w:rPr>
          <w:rFonts w:ascii="仿宋_GB2312" w:eastAsia="仿宋_GB2312" w:hAnsi="Times New Roman" w:cs="宋体" w:hint="eastAsia"/>
          <w:sz w:val="30"/>
          <w:szCs w:val="30"/>
        </w:rPr>
        <w:t>千瓦时电能平均耗用的标准煤量。</w:t>
      </w:r>
    </w:p>
    <w:p w:rsidR="00EF5557" w:rsidRPr="008D5914" w:rsidRDefault="00B771E8" w:rsidP="00581850">
      <w:pPr>
        <w:spacing w:line="560" w:lineRule="exact"/>
        <w:ind w:firstLineChars="200" w:firstLine="600"/>
        <w:rPr>
          <w:rFonts w:ascii="仿宋_GB2312" w:eastAsia="仿宋_GB2312" w:hAnsi="仿宋_GB2312" w:hint="eastAsia"/>
          <w:color w:val="000000"/>
          <w:sz w:val="30"/>
          <w:szCs w:val="30"/>
        </w:rPr>
      </w:pPr>
      <w:r>
        <w:rPr>
          <w:rFonts w:ascii="仿宋_GB2312" w:eastAsia="仿宋_GB2312" w:hAnsi="仿宋_GB2312" w:hint="eastAsia"/>
          <w:color w:val="000000"/>
          <w:sz w:val="30"/>
          <w:szCs w:val="30"/>
        </w:rPr>
        <w:t xml:space="preserve">第二十三条  </w:t>
      </w:r>
      <w:r w:rsidR="00EF5557" w:rsidRPr="008D5914">
        <w:rPr>
          <w:rFonts w:ascii="仿宋_GB2312" w:eastAsia="仿宋_GB2312" w:hAnsi="仿宋_GB2312" w:hint="eastAsia"/>
          <w:color w:val="000000"/>
          <w:sz w:val="30"/>
          <w:szCs w:val="30"/>
        </w:rPr>
        <w:t>本指引由本所负责解释。</w:t>
      </w:r>
    </w:p>
    <w:p w:rsidR="00EF5557" w:rsidRPr="00A05537" w:rsidRDefault="00EF5557" w:rsidP="00581850">
      <w:pPr>
        <w:widowControl/>
        <w:spacing w:line="560" w:lineRule="exact"/>
        <w:rPr>
          <w:sz w:val="30"/>
          <w:szCs w:val="30"/>
        </w:rPr>
      </w:pPr>
    </w:p>
    <w:p w:rsidR="00EF5557" w:rsidRPr="001146AC" w:rsidRDefault="00EF5557" w:rsidP="00581850">
      <w:pPr>
        <w:spacing w:line="560" w:lineRule="exact"/>
      </w:pPr>
    </w:p>
    <w:p w:rsidR="00B17643" w:rsidRDefault="00B17643" w:rsidP="00581850">
      <w:pPr>
        <w:spacing w:line="560" w:lineRule="exact"/>
      </w:pPr>
    </w:p>
    <w:sectPr w:rsidR="00B17643" w:rsidSect="00EF555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AFC" w:rsidRDefault="009F1AFC" w:rsidP="00723179">
      <w:r>
        <w:separator/>
      </w:r>
    </w:p>
  </w:endnote>
  <w:endnote w:type="continuationSeparator" w:id="0">
    <w:p w:rsidR="009F1AFC" w:rsidRDefault="009F1AFC" w:rsidP="007231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ì.">
    <w:altName w:val="方正舒体"/>
    <w:charset w:val="86"/>
    <w:family w:val="auto"/>
    <w:pitch w:val="default"/>
    <w:sig w:usb0="00000001" w:usb1="080E0000" w:usb2="00000010" w:usb3="00000000" w:csb0="00040000" w:csb1="00000000"/>
  </w:font>
  <w:font w:name="方正大标宋简体">
    <w:panose1 w:val="03000509000000000000"/>
    <w:charset w:val="86"/>
    <w:family w:val="script"/>
    <w:pitch w:val="fixed"/>
    <w:sig w:usb0="00000003" w:usb1="080E0000" w:usb2="00000010"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557" w:rsidRDefault="00EF5557">
    <w:pPr>
      <w:pStyle w:val="a3"/>
      <w:jc w:val="center"/>
    </w:pPr>
    <w:fldSimple w:instr=" PAGE   \* MERGEFORMAT ">
      <w:r w:rsidR="008E5DB6" w:rsidRPr="008E5DB6">
        <w:rPr>
          <w:noProof/>
          <w:lang w:val="zh-CN"/>
        </w:rPr>
        <w:t>5</w:t>
      </w:r>
    </w:fldSimple>
  </w:p>
  <w:p w:rsidR="00EF5557" w:rsidRDefault="00EF555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AFC" w:rsidRDefault="009F1AFC" w:rsidP="00723179">
      <w:r>
        <w:separator/>
      </w:r>
    </w:p>
  </w:footnote>
  <w:footnote w:type="continuationSeparator" w:id="0">
    <w:p w:rsidR="009F1AFC" w:rsidRDefault="009F1AFC" w:rsidP="007231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5557"/>
    <w:rsid w:val="000A3F89"/>
    <w:rsid w:val="001D07FB"/>
    <w:rsid w:val="001E1288"/>
    <w:rsid w:val="00206570"/>
    <w:rsid w:val="00284ED6"/>
    <w:rsid w:val="00315544"/>
    <w:rsid w:val="003305E7"/>
    <w:rsid w:val="003D6827"/>
    <w:rsid w:val="003F1987"/>
    <w:rsid w:val="0043014C"/>
    <w:rsid w:val="004812F4"/>
    <w:rsid w:val="004E1C1E"/>
    <w:rsid w:val="004F0071"/>
    <w:rsid w:val="004F1AAD"/>
    <w:rsid w:val="00510739"/>
    <w:rsid w:val="00542477"/>
    <w:rsid w:val="00566663"/>
    <w:rsid w:val="00581850"/>
    <w:rsid w:val="005B3B7A"/>
    <w:rsid w:val="005B5913"/>
    <w:rsid w:val="005C2BBF"/>
    <w:rsid w:val="00652AE9"/>
    <w:rsid w:val="006746FA"/>
    <w:rsid w:val="00696F98"/>
    <w:rsid w:val="006A2C0C"/>
    <w:rsid w:val="006E23E3"/>
    <w:rsid w:val="00723179"/>
    <w:rsid w:val="0074231E"/>
    <w:rsid w:val="00752D62"/>
    <w:rsid w:val="007A120D"/>
    <w:rsid w:val="007E0621"/>
    <w:rsid w:val="008629D8"/>
    <w:rsid w:val="008E07DB"/>
    <w:rsid w:val="008E5094"/>
    <w:rsid w:val="008E5DB6"/>
    <w:rsid w:val="009F1AFC"/>
    <w:rsid w:val="00A30496"/>
    <w:rsid w:val="00A43110"/>
    <w:rsid w:val="00A73966"/>
    <w:rsid w:val="00A74A31"/>
    <w:rsid w:val="00AB505C"/>
    <w:rsid w:val="00AC7630"/>
    <w:rsid w:val="00B15AFB"/>
    <w:rsid w:val="00B17643"/>
    <w:rsid w:val="00B771E8"/>
    <w:rsid w:val="00B855FF"/>
    <w:rsid w:val="00C25E4C"/>
    <w:rsid w:val="00C505C1"/>
    <w:rsid w:val="00CC39C5"/>
    <w:rsid w:val="00D30027"/>
    <w:rsid w:val="00DC7760"/>
    <w:rsid w:val="00E002D5"/>
    <w:rsid w:val="00E82724"/>
    <w:rsid w:val="00E96BD7"/>
    <w:rsid w:val="00EC2DC1"/>
    <w:rsid w:val="00EF46C4"/>
    <w:rsid w:val="00EF5557"/>
    <w:rsid w:val="00F572A3"/>
    <w:rsid w:val="00F840E3"/>
    <w:rsid w:val="00FB6BAF"/>
    <w:rsid w:val="00FC7D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55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F5557"/>
    <w:pPr>
      <w:widowControl w:val="0"/>
      <w:autoSpaceDE w:val="0"/>
      <w:autoSpaceDN w:val="0"/>
      <w:adjustRightInd w:val="0"/>
    </w:pPr>
    <w:rPr>
      <w:rFonts w:ascii="..ì." w:eastAsia="..ì." w:cs="..ì."/>
      <w:color w:val="000000"/>
      <w:sz w:val="24"/>
      <w:szCs w:val="24"/>
    </w:rPr>
  </w:style>
  <w:style w:type="paragraph" w:styleId="a3">
    <w:name w:val="footer"/>
    <w:basedOn w:val="a"/>
    <w:link w:val="Char"/>
    <w:uiPriority w:val="99"/>
    <w:unhideWhenUsed/>
    <w:rsid w:val="00EF5557"/>
    <w:pPr>
      <w:tabs>
        <w:tab w:val="center" w:pos="4153"/>
        <w:tab w:val="right" w:pos="8306"/>
      </w:tabs>
      <w:snapToGrid w:val="0"/>
      <w:jc w:val="left"/>
    </w:pPr>
    <w:rPr>
      <w:kern w:val="0"/>
      <w:sz w:val="18"/>
      <w:szCs w:val="18"/>
      <w:lang/>
    </w:rPr>
  </w:style>
  <w:style w:type="character" w:customStyle="1" w:styleId="Char">
    <w:name w:val="页脚 Char"/>
    <w:link w:val="a3"/>
    <w:uiPriority w:val="99"/>
    <w:rsid w:val="00EF5557"/>
    <w:rPr>
      <w:rFonts w:ascii="Times New Roman" w:eastAsia="宋体" w:hAnsi="Times New Roman" w:cs="Times New Roman"/>
      <w:sz w:val="18"/>
      <w:szCs w:val="18"/>
    </w:rPr>
  </w:style>
  <w:style w:type="paragraph" w:styleId="a4">
    <w:name w:val="header"/>
    <w:basedOn w:val="a"/>
    <w:link w:val="Char0"/>
    <w:uiPriority w:val="99"/>
    <w:unhideWhenUsed/>
    <w:rsid w:val="00B855FF"/>
    <w:pPr>
      <w:pBdr>
        <w:bottom w:val="single" w:sz="6" w:space="1" w:color="auto"/>
      </w:pBdr>
      <w:tabs>
        <w:tab w:val="center" w:pos="4153"/>
        <w:tab w:val="right" w:pos="8306"/>
      </w:tabs>
      <w:snapToGrid w:val="0"/>
      <w:jc w:val="center"/>
    </w:pPr>
    <w:rPr>
      <w:sz w:val="18"/>
      <w:szCs w:val="18"/>
      <w:lang/>
    </w:rPr>
  </w:style>
  <w:style w:type="character" w:customStyle="1" w:styleId="Char0">
    <w:name w:val="页眉 Char"/>
    <w:link w:val="a4"/>
    <w:uiPriority w:val="99"/>
    <w:rsid w:val="00B855FF"/>
    <w:rPr>
      <w:rFonts w:ascii="Times New Roman" w:hAnsi="Times New Roman"/>
      <w:kern w:val="2"/>
      <w:sz w:val="18"/>
      <w:szCs w:val="18"/>
    </w:rPr>
  </w:style>
  <w:style w:type="paragraph" w:styleId="a5">
    <w:name w:val="Balloon Text"/>
    <w:basedOn w:val="a"/>
    <w:link w:val="Char1"/>
    <w:uiPriority w:val="99"/>
    <w:semiHidden/>
    <w:unhideWhenUsed/>
    <w:rsid w:val="008E07DB"/>
    <w:rPr>
      <w:sz w:val="18"/>
      <w:szCs w:val="18"/>
      <w:lang/>
    </w:rPr>
  </w:style>
  <w:style w:type="character" w:customStyle="1" w:styleId="Char1">
    <w:name w:val="批注框文本 Char"/>
    <w:link w:val="a5"/>
    <w:uiPriority w:val="99"/>
    <w:semiHidden/>
    <w:rsid w:val="008E07D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shiyan</dc:creator>
  <cp:lastModifiedBy>user</cp:lastModifiedBy>
  <cp:revision>2</cp:revision>
  <cp:lastPrinted>2020-12-30T02:14:00Z</cp:lastPrinted>
  <dcterms:created xsi:type="dcterms:W3CDTF">2025-06-19T06:28:00Z</dcterms:created>
  <dcterms:modified xsi:type="dcterms:W3CDTF">2025-06-19T06:28:00Z</dcterms:modified>
</cp:coreProperties>
</file>