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F442A">
      <w:pPr>
        <w:spacing w:line="560" w:lineRule="exact"/>
        <w:jc w:val="left"/>
        <w:outlineLvl w:val="0"/>
        <w:rPr>
          <w:rFonts w:hint="default" w:ascii="Times New Roman" w:hAnsi="Times New Roman" w:eastAsia="黑体" w:cs="Times New Roman"/>
          <w:bCs/>
          <w:sz w:val="32"/>
          <w:szCs w:val="32"/>
          <w:lang w:eastAsia="zh"/>
        </w:rPr>
      </w:pPr>
      <w:r>
        <w:rPr>
          <w:rFonts w:hint="eastAsia" w:ascii="黑体" w:hAnsi="黑体" w:eastAsia="黑体" w:cs="黑体"/>
          <w:bCs/>
          <w:sz w:val="32"/>
          <w:szCs w:val="32"/>
          <w:lang w:eastAsia="zh"/>
        </w:rPr>
        <w:t>附件</w:t>
      </w:r>
      <w:r>
        <w:rPr>
          <w:rFonts w:hint="default" w:ascii="Times New Roman" w:hAnsi="Times New Roman" w:eastAsia="黑体" w:cs="Times New Roman"/>
          <w:bCs/>
          <w:sz w:val="32"/>
          <w:szCs w:val="32"/>
          <w:lang w:eastAsia="zh"/>
        </w:rPr>
        <w:t>2</w:t>
      </w:r>
    </w:p>
    <w:p w14:paraId="7109EB9A">
      <w:pPr>
        <w:spacing w:line="560" w:lineRule="exact"/>
        <w:jc w:val="left"/>
        <w:outlineLvl w:val="0"/>
        <w:rPr>
          <w:rFonts w:hint="eastAsia" w:ascii="Times New Roman" w:hAnsi="Times New Roman" w:eastAsia="黑体" w:cs="Times New Roman"/>
          <w:bCs/>
          <w:sz w:val="32"/>
          <w:szCs w:val="32"/>
          <w:lang w:eastAsia="zh"/>
        </w:rPr>
      </w:pPr>
    </w:p>
    <w:p w14:paraId="12F3B4D8">
      <w:pPr>
        <w:spacing w:line="560" w:lineRule="exact"/>
        <w:jc w:val="center"/>
        <w:outlineLvl w:val="0"/>
        <w:rPr>
          <w:rFonts w:ascii="Times New Roman" w:hAnsi="Times New Roman" w:eastAsia="方正大标宋简体" w:cs="Times New Roman"/>
          <w:bCs/>
          <w:sz w:val="44"/>
          <w:szCs w:val="44"/>
        </w:rPr>
      </w:pPr>
      <w:r>
        <w:rPr>
          <w:rFonts w:hint="default" w:ascii="Times New Roman" w:hAnsi="Times New Roman" w:eastAsia="方正大标宋简体" w:cs="Times New Roman"/>
          <w:bCs/>
          <w:sz w:val="44"/>
          <w:szCs w:val="44"/>
        </w:rPr>
        <w:t>《上海证券交易所上市公司自律监管指引第</w:t>
      </w:r>
      <w:r>
        <w:rPr>
          <w:rFonts w:ascii="Times New Roman" w:hAnsi="Times New Roman" w:eastAsia="方正大标宋简体" w:cs="Times New Roman"/>
          <w:bCs/>
          <w:sz w:val="44"/>
          <w:szCs w:val="44"/>
        </w:rPr>
        <w:t>9号——信息披露工作评价</w:t>
      </w:r>
    </w:p>
    <w:p w14:paraId="3E28E337">
      <w:pPr>
        <w:spacing w:line="560" w:lineRule="exact"/>
        <w:jc w:val="center"/>
        <w:outlineLvl w:val="0"/>
        <w:rPr>
          <w:rFonts w:ascii="Times New Roman" w:hAnsi="Times New Roman" w:eastAsia="方正大标宋简体" w:cs="Times New Roman"/>
          <w:bCs/>
          <w:sz w:val="44"/>
          <w:szCs w:val="44"/>
        </w:rPr>
      </w:pPr>
      <w:r>
        <w:rPr>
          <w:rFonts w:hint="default" w:ascii="Times New Roman" w:hAnsi="Times New Roman" w:eastAsia="方正大标宋简体" w:cs="Times New Roman"/>
          <w:bCs/>
          <w:sz w:val="44"/>
          <w:szCs w:val="44"/>
        </w:rPr>
        <w:t>（2025年3月修订）</w:t>
      </w:r>
      <w:r>
        <w:rPr>
          <w:rFonts w:ascii="Times New Roman" w:hAnsi="Times New Roman" w:eastAsia="方正大标宋简体" w:cs="Times New Roman"/>
          <w:bCs/>
          <w:sz w:val="44"/>
          <w:szCs w:val="44"/>
        </w:rPr>
        <w:t>》修订说明</w:t>
      </w:r>
    </w:p>
    <w:p w14:paraId="0AEF0A98">
      <w:pPr>
        <w:spacing w:line="560" w:lineRule="exact"/>
        <w:ind w:firstLine="600" w:firstLineChars="200"/>
        <w:rPr>
          <w:rFonts w:ascii="Times New Roman" w:hAnsi="Times New Roman" w:eastAsia="楷体_GB2312" w:cs="Times New Roman"/>
          <w:sz w:val="30"/>
          <w:szCs w:val="30"/>
        </w:rPr>
      </w:pPr>
    </w:p>
    <w:p w14:paraId="7C3E8DC2">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bookmarkStart w:id="0" w:name="OLE_LINK2"/>
      <w:bookmarkStart w:id="1" w:name="OLE_LINK1"/>
      <w:r>
        <w:rPr>
          <w:rFonts w:ascii="Times New Roman" w:hAnsi="Times New Roman" w:eastAsia="仿宋_GB2312" w:cs="Times New Roman"/>
          <w:color w:val="000000" w:themeColor="text1"/>
          <w:sz w:val="32"/>
          <w:szCs w:val="32"/>
          <w14:textFill>
            <w14:solidFill>
              <w14:schemeClr w14:val="tx1"/>
            </w14:solidFill>
          </w14:textFill>
        </w:rPr>
        <w:t>为贯彻落实</w:t>
      </w:r>
      <w:bookmarkEnd w:id="0"/>
      <w:bookmarkEnd w:id="1"/>
      <w:r>
        <w:rPr>
          <w:rFonts w:ascii="Times New Roman" w:hAnsi="Times New Roman" w:eastAsia="仿宋_GB2312" w:cs="Times New Roman"/>
          <w:color w:val="000000" w:themeColor="text1"/>
          <w:sz w:val="32"/>
          <w:szCs w:val="32"/>
          <w14:textFill>
            <w14:solidFill>
              <w14:schemeClr w14:val="tx1"/>
            </w14:solidFill>
          </w14:textFill>
        </w:rPr>
        <w:t>《国务院关于加强监管防范风险推动资本市场高质量发展的若干意见》，</w:t>
      </w:r>
      <w:bookmarkStart w:id="2" w:name="_GoBack"/>
      <w:bookmarkEnd w:id="2"/>
      <w:r>
        <w:rPr>
          <w:rFonts w:ascii="Times New Roman" w:hAnsi="Times New Roman" w:eastAsia="仿宋_GB2312" w:cs="Times New Roman"/>
          <w:color w:val="000000" w:themeColor="text1"/>
          <w:sz w:val="32"/>
          <w:szCs w:val="32"/>
          <w14:textFill>
            <w14:solidFill>
              <w14:schemeClr w14:val="tx1"/>
            </w14:solidFill>
          </w14:textFill>
        </w:rPr>
        <w:t>引导督促上市公司等相关主体提高信息披露质量，保护投资者合法权益，上海证券交易所（以下简称上交所）</w:t>
      </w:r>
      <w:r>
        <w:rPr>
          <w:rFonts w:hint="eastAsia" w:ascii="Times New Roman" w:hAnsi="Times New Roman" w:eastAsia="仿宋_GB2312" w:cs="Times New Roman"/>
          <w:color w:val="000000" w:themeColor="text1"/>
          <w:sz w:val="32"/>
          <w:szCs w:val="32"/>
          <w14:textFill>
            <w14:solidFill>
              <w14:schemeClr w14:val="tx1"/>
            </w14:solidFill>
          </w14:textFill>
        </w:rPr>
        <w:t>对</w:t>
      </w:r>
      <w:r>
        <w:rPr>
          <w:rFonts w:ascii="Times New Roman" w:hAnsi="Times New Roman" w:eastAsia="仿宋_GB2312" w:cs="Times New Roman"/>
          <w:color w:val="000000" w:themeColor="text1"/>
          <w:sz w:val="32"/>
          <w:szCs w:val="32"/>
          <w14:textFill>
            <w14:solidFill>
              <w14:schemeClr w14:val="tx1"/>
            </w14:solidFill>
          </w14:textFill>
        </w:rPr>
        <w:t>《上海证券交易所上市公司自律监管指引第9号——信息披露工作评价》（以下简称《评价指引》）</w:t>
      </w:r>
      <w:r>
        <w:rPr>
          <w:rFonts w:hint="eastAsia" w:ascii="Times New Roman" w:hAnsi="Times New Roman" w:eastAsia="仿宋_GB2312" w:cs="Times New Roman"/>
          <w:color w:val="000000" w:themeColor="text1"/>
          <w:sz w:val="32"/>
          <w:szCs w:val="32"/>
          <w14:textFill>
            <w14:solidFill>
              <w14:schemeClr w14:val="tx1"/>
            </w14:solidFill>
          </w14:textFill>
        </w:rPr>
        <w:t>进行了修订</w:t>
      </w:r>
      <w:r>
        <w:rPr>
          <w:rFonts w:ascii="Times New Roman" w:hAnsi="Times New Roman" w:eastAsia="仿宋_GB2312" w:cs="Times New Roman"/>
          <w:color w:val="000000" w:themeColor="text1"/>
          <w:sz w:val="32"/>
          <w:szCs w:val="32"/>
          <w14:textFill>
            <w14:solidFill>
              <w14:schemeClr w14:val="tx1"/>
            </w14:solidFill>
          </w14:textFill>
        </w:rPr>
        <w:t>，现将有关情况说明如下。</w:t>
      </w:r>
    </w:p>
    <w:p w14:paraId="74F87FA4">
      <w:pPr>
        <w:spacing w:line="560" w:lineRule="exact"/>
        <w:ind w:firstLine="640" w:firstLineChars="200"/>
        <w:outlineLvl w:val="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一、修订背景</w:t>
      </w:r>
    </w:p>
    <w:p w14:paraId="02004964">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上市公司是资本市场的基石。高质量上市公司是支持资本市场平稳健康发展、促进金融和实体经济良性循环的微观基础。信息披露质量是上市公司质量的重要体现，对投资者决策具有重要影响。上交所聚焦信息披露监管主责主业，自2013年以来每年对沪市公司年度信息披露工作情况进行评价，并根据监管形势和市场需求的变化持续修订完善相关评价规则。经过多年实践，信息披露评价工作已积累了较为成熟的经验，在引导上市公司切实履行信息披露义务、推动上市公司规范运作、保护投资者合法权益等方面发挥了积极作用。</w:t>
      </w:r>
    </w:p>
    <w:p w14:paraId="78CD527B">
      <w:pPr>
        <w:widowControl/>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本次修订《评价指引》，是上交所全面贯彻落实党的二十届三中全会精神、</w:t>
      </w:r>
      <w:r>
        <w:rPr>
          <w:rFonts w:ascii="Times New Roman" w:hAnsi="Times New Roman" w:eastAsia="仿宋_GB2312" w:cs="Times New Roman"/>
          <w:color w:val="000000" w:themeColor="text1"/>
          <w:sz w:val="32"/>
          <w:szCs w:val="32"/>
          <w14:textFill>
            <w14:solidFill>
              <w14:schemeClr w14:val="tx1"/>
            </w14:solidFill>
          </w14:textFill>
        </w:rPr>
        <w:t>《国务院关于加强监管防范风险推动资本市场高质量发展的若干意见》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以</w:t>
      </w:r>
      <w:r>
        <w:rPr>
          <w:rFonts w:ascii="Times New Roman" w:hAnsi="Times New Roman" w:eastAsia="仿宋_GB2312" w:cs="Times New Roman"/>
          <w:color w:val="000000" w:themeColor="text1"/>
          <w:sz w:val="32"/>
          <w:szCs w:val="32"/>
          <w14:textFill>
            <w14:solidFill>
              <w14:schemeClr w14:val="tx1"/>
            </w14:solidFill>
          </w14:textFill>
        </w:rPr>
        <w:t>及一系列配套政策</w:t>
      </w:r>
      <w:r>
        <w:rPr>
          <w:rFonts w:hint="eastAsia" w:ascii="仿宋_GB2312" w:eastAsia="仿宋_GB2312"/>
          <w:color w:val="000000" w:themeColor="text1"/>
          <w:sz w:val="32"/>
          <w:szCs w:val="32"/>
          <w14:textFill>
            <w14:solidFill>
              <w14:schemeClr w14:val="tx1"/>
            </w14:solidFill>
          </w14:textFill>
        </w:rPr>
        <w:t>的具体举措。《评价指引》聚焦加强信息披露监管、严惩财务造假、强化现金分红监管、推动上市公司提升投资价值等工作部署，对上市公司信息披露质量提出更高要求。</w:t>
      </w:r>
    </w:p>
    <w:p w14:paraId="54A63989">
      <w:pPr>
        <w:spacing w:line="560" w:lineRule="exact"/>
        <w:ind w:firstLine="640" w:firstLineChars="200"/>
        <w:outlineLvl w:val="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二、修订主要内容</w:t>
      </w:r>
    </w:p>
    <w:p w14:paraId="51645F05">
      <w:pPr>
        <w:widowControl/>
        <w:spacing w:line="560" w:lineRule="exact"/>
        <w:ind w:firstLine="640" w:firstLineChars="200"/>
        <w:rPr>
          <w:rFonts w:ascii="Times New Roman" w:hAnsi="Times New Roman" w:eastAsia="仿宋_GB2312" w:cs="Times New Roman"/>
          <w:bCs/>
          <w:color w:val="000000" w:themeColor="text1"/>
          <w:kern w:val="0"/>
          <w:sz w:val="32"/>
          <w:szCs w:val="32"/>
          <w14:textFill>
            <w14:solidFill>
              <w14:schemeClr w14:val="tx1"/>
            </w14:solidFill>
          </w14:textFill>
        </w:rPr>
      </w:pPr>
      <w:r>
        <w:rPr>
          <w:rFonts w:ascii="Times New Roman" w:hAnsi="Times New Roman" w:eastAsia="仿宋_GB2312" w:cs="Times New Roman"/>
          <w:bCs/>
          <w:color w:val="000000" w:themeColor="text1"/>
          <w:kern w:val="0"/>
          <w:sz w:val="32"/>
          <w:szCs w:val="32"/>
          <w14:textFill>
            <w14:solidFill>
              <w14:schemeClr w14:val="tx1"/>
            </w14:solidFill>
          </w14:textFill>
        </w:rPr>
        <w:t>本次修订《评价指引》，主要考虑以下几方面。</w:t>
      </w:r>
    </w:p>
    <w:p w14:paraId="6344EBFA">
      <w:pPr>
        <w:widowControl/>
        <w:spacing w:line="560" w:lineRule="exact"/>
        <w:ind w:firstLine="640" w:firstLineChars="200"/>
        <w:rPr>
          <w:rFonts w:hint="eastAsia" w:ascii="楷体_GB2312" w:hAnsi="楷体_GB2312" w:eastAsia="楷体_GB2312" w:cs="楷体_GB2312"/>
          <w:b w:val="0"/>
          <w:bCs w:val="0"/>
          <w:color w:val="000000" w:themeColor="text1"/>
          <w:kern w:val="0"/>
          <w:sz w:val="32"/>
          <w:szCs w:val="32"/>
          <w:lang w:eastAsia="zh-CN"/>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14:textFill>
            <w14:solidFill>
              <w14:schemeClr w14:val="tx1"/>
            </w14:solidFill>
          </w14:textFill>
        </w:rPr>
        <w:t>（一）</w:t>
      </w:r>
      <w:r>
        <w:rPr>
          <w:rFonts w:hint="eastAsia" w:ascii="楷体_GB2312" w:hAnsi="楷体_GB2312" w:eastAsia="楷体_GB2312" w:cs="楷体_GB2312"/>
          <w:b w:val="0"/>
          <w:bCs w:val="0"/>
          <w:color w:val="000000" w:themeColor="text1"/>
          <w:kern w:val="0"/>
          <w:sz w:val="32"/>
          <w:szCs w:val="32"/>
          <w:lang w:eastAsia="zh-CN"/>
          <w14:textFill>
            <w14:solidFill>
              <w14:schemeClr w14:val="tx1"/>
            </w14:solidFill>
          </w14:textFill>
        </w:rPr>
        <w:t>加大现金分红引导力度</w:t>
      </w:r>
    </w:p>
    <w:p w14:paraId="53AC185D">
      <w:pPr>
        <w:widowControl/>
        <w:spacing w:line="56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本次修订</w:t>
      </w:r>
      <w:r>
        <w:rPr>
          <w:rFonts w:hint="eastAsia" w:ascii="Times New Roman" w:hAnsi="Times New Roman" w:eastAsia="仿宋_GB2312" w:cs="Times New Roman"/>
          <w:color w:val="000000" w:themeColor="text1"/>
          <w:kern w:val="0"/>
          <w:sz w:val="32"/>
          <w:szCs w:val="32"/>
          <w14:textFill>
            <w14:solidFill>
              <w14:schemeClr w14:val="tx1"/>
            </w14:solidFill>
          </w14:textFill>
        </w:rPr>
        <w:t>坚持</w:t>
      </w:r>
      <w:r>
        <w:rPr>
          <w:rFonts w:ascii="Times New Roman" w:hAnsi="Times New Roman" w:eastAsia="仿宋_GB2312" w:cs="Times New Roman"/>
          <w:color w:val="000000" w:themeColor="text1"/>
          <w:kern w:val="0"/>
          <w:sz w:val="32"/>
          <w:szCs w:val="32"/>
          <w14:textFill>
            <w14:solidFill>
              <w14:schemeClr w14:val="tx1"/>
            </w14:solidFill>
          </w14:textFill>
        </w:rPr>
        <w:t>激励和约束并举，提升现金分红对评价结果的影响权重，引导上市公司积极实施现金分红。</w:t>
      </w:r>
      <w:r>
        <w:rPr>
          <w:rFonts w:ascii="Times New Roman" w:hAnsi="Times New Roman" w:eastAsia="仿宋_GB2312" w:cs="Times New Roman"/>
          <w:b/>
          <w:color w:val="000000" w:themeColor="text1"/>
          <w:kern w:val="0"/>
          <w:sz w:val="32"/>
          <w:szCs w:val="32"/>
          <w14:textFill>
            <w14:solidFill>
              <w14:schemeClr w14:val="tx1"/>
            </w14:solidFill>
          </w14:textFill>
        </w:rPr>
        <w:t>一是细化多分红加分情形。</w:t>
      </w:r>
      <w:r>
        <w:rPr>
          <w:rFonts w:ascii="Times New Roman" w:hAnsi="Times New Roman" w:eastAsia="仿宋_GB2312" w:cs="Times New Roman"/>
          <w:color w:val="000000" w:themeColor="text1"/>
          <w:kern w:val="0"/>
          <w:sz w:val="32"/>
          <w:szCs w:val="32"/>
          <w14:textFill>
            <w14:solidFill>
              <w14:schemeClr w14:val="tx1"/>
            </w14:solidFill>
          </w14:textFill>
        </w:rPr>
        <w:t>《评价指引》进一步明确制定披露中长期分红规划</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合理提高股息率</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一年多次分红等加分情形，鼓励支持上市公司加大现金分红力度，提高投资者回报水平。</w:t>
      </w:r>
      <w:r>
        <w:rPr>
          <w:rFonts w:ascii="Times New Roman" w:hAnsi="Times New Roman" w:eastAsia="仿宋_GB2312" w:cs="Times New Roman"/>
          <w:b/>
          <w:color w:val="000000" w:themeColor="text1"/>
          <w:kern w:val="0"/>
          <w:sz w:val="32"/>
          <w:szCs w:val="32"/>
          <w14:textFill>
            <w14:solidFill>
              <w14:schemeClr w14:val="tx1"/>
            </w14:solidFill>
          </w14:textFill>
        </w:rPr>
        <w:t>二是明确不分红减分情形。</w:t>
      </w:r>
      <w:r>
        <w:rPr>
          <w:rFonts w:ascii="Times New Roman" w:hAnsi="Times New Roman" w:eastAsia="仿宋_GB2312" w:cs="Times New Roman"/>
          <w:color w:val="000000" w:themeColor="text1"/>
          <w:kern w:val="0"/>
          <w:sz w:val="32"/>
          <w:szCs w:val="32"/>
          <w14:textFill>
            <w14:solidFill>
              <w14:schemeClr w14:val="tx1"/>
            </w14:solidFill>
          </w14:textFill>
        </w:rPr>
        <w:t>《评价指引》将具备分红能力但长期不分红的行为纳入重大负面事项，通过评价减分机制，加强监管约束，督促不分红公司实施分红。</w:t>
      </w:r>
    </w:p>
    <w:p w14:paraId="0EF7B867">
      <w:pPr>
        <w:widowControl/>
        <w:spacing w:line="560" w:lineRule="exact"/>
        <w:ind w:firstLine="640" w:firstLineChars="200"/>
        <w:rPr>
          <w:rFonts w:hint="eastAsia" w:ascii="楷体_GB2312" w:hAnsi="楷体_GB2312" w:eastAsia="楷体_GB2312" w:cs="楷体_GB2312"/>
          <w:b w:val="0"/>
          <w:bCs w:val="0"/>
          <w:color w:val="000000" w:themeColor="text1"/>
          <w:kern w:val="0"/>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14:textFill>
            <w14:solidFill>
              <w14:schemeClr w14:val="tx1"/>
            </w14:solidFill>
          </w14:textFill>
        </w:rPr>
        <w:t>（二）</w:t>
      </w:r>
      <w:r>
        <w:rPr>
          <w:rFonts w:hint="eastAsia" w:ascii="楷体_GB2312" w:hAnsi="楷体_GB2312" w:eastAsia="楷体_GB2312" w:cs="楷体_GB2312"/>
          <w:b w:val="0"/>
          <w:bCs w:val="0"/>
          <w:color w:val="000000" w:themeColor="text1"/>
          <w:kern w:val="0"/>
          <w:sz w:val="32"/>
          <w:szCs w:val="32"/>
          <w:lang w:eastAsia="zh-CN"/>
          <w14:textFill>
            <w14:solidFill>
              <w14:schemeClr w14:val="tx1"/>
            </w14:solidFill>
          </w14:textFill>
        </w:rPr>
        <w:t>坚持投资者保护导向</w:t>
      </w:r>
    </w:p>
    <w:p w14:paraId="1D4BB3A6">
      <w:pPr>
        <w:widowControl/>
        <w:spacing w:line="560" w:lineRule="exact"/>
        <w:ind w:firstLine="640" w:firstLineChars="200"/>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本次修订对当前投资者广泛关注的一些重点事项在评价体系中予以针对性回应。</w:t>
      </w:r>
      <w:r>
        <w:rPr>
          <w:rFonts w:ascii="Times New Roman" w:hAnsi="Times New Roman" w:eastAsia="仿宋_GB2312" w:cs="Times New Roman"/>
          <w:b/>
          <w:color w:val="000000" w:themeColor="text1"/>
          <w:kern w:val="0"/>
          <w:sz w:val="32"/>
          <w:szCs w:val="32"/>
          <w14:textFill>
            <w14:solidFill>
              <w14:schemeClr w14:val="tx1"/>
            </w14:solidFill>
          </w14:textFill>
        </w:rPr>
        <w:t>一是</w:t>
      </w:r>
      <w:r>
        <w:rPr>
          <w:rFonts w:hint="eastAsia" w:ascii="Times New Roman" w:hAnsi="Times New Roman" w:eastAsia="仿宋_GB2312" w:cs="Times New Roman"/>
          <w:b/>
          <w:color w:val="000000" w:themeColor="text1"/>
          <w:kern w:val="0"/>
          <w:sz w:val="32"/>
          <w:szCs w:val="32"/>
          <w:lang w:eastAsia="zh-CN"/>
          <w14:textFill>
            <w14:solidFill>
              <w14:schemeClr w14:val="tx1"/>
            </w14:solidFill>
          </w14:textFill>
        </w:rPr>
        <w:t>更加聚焦信息披露真实性的底线要求。</w:t>
      </w:r>
      <w:r>
        <w:rPr>
          <w:rFonts w:hint="eastAsia" w:ascii="仿宋_GB2312" w:hAnsi="宋体" w:eastAsia="仿宋_GB2312" w:cs="宋体"/>
          <w:color w:val="000000" w:themeColor="text1"/>
          <w:kern w:val="0"/>
          <w:sz w:val="32"/>
          <w:szCs w:val="32"/>
          <w14:textFill>
            <w14:solidFill>
              <w14:schemeClr w14:val="tx1"/>
            </w14:solidFill>
          </w14:textFill>
        </w:rPr>
        <w:t>《评价指引》落实财务造假综合惩防工作要求，新增财务真实性存在重大疑点的负面情形，进一步加大扣分力度</w:t>
      </w:r>
      <w:r>
        <w:rPr>
          <w:rFonts w:hint="eastAsia" w:ascii="仿宋_GB2312" w:hAnsi="宋体" w:eastAsia="仿宋_GB2312" w:cs="宋体"/>
          <w:color w:val="000000" w:themeColor="text1"/>
          <w:kern w:val="0"/>
          <w:sz w:val="32"/>
          <w:szCs w:val="32"/>
          <w:lang w:eastAsia="zh-CN"/>
          <w14:textFill>
            <w14:solidFill>
              <w14:schemeClr w14:val="tx1"/>
            </w14:solidFill>
          </w14:textFill>
        </w:rPr>
        <w:t>，保护投资者合法权益。</w:t>
      </w:r>
      <w:r>
        <w:rPr>
          <w:rFonts w:hint="eastAsia" w:ascii="仿宋_GB2312" w:hAnsi="宋体" w:eastAsia="仿宋_GB2312" w:cs="宋体"/>
          <w:color w:val="000000" w:themeColor="text1"/>
          <w:kern w:val="0"/>
          <w:sz w:val="32"/>
          <w:szCs w:val="32"/>
          <w14:textFill>
            <w14:solidFill>
              <w14:schemeClr w14:val="tx1"/>
            </w14:solidFill>
          </w14:textFill>
        </w:rPr>
        <w:t>同时，还特别关注投资者反响强烈的信息披露文件编辑错误等情形，督促上市公司完善内部控制，防止再次发生。</w:t>
      </w:r>
      <w:r>
        <w:rPr>
          <w:rFonts w:hint="eastAsia" w:ascii="Times New Roman" w:hAnsi="Times New Roman" w:eastAsia="仿宋_GB2312" w:cs="Times New Roman"/>
          <w:b/>
          <w:color w:val="000000" w:themeColor="text1"/>
          <w:kern w:val="0"/>
          <w:sz w:val="32"/>
          <w:szCs w:val="32"/>
          <w:lang w:eastAsia="zh-CN"/>
          <w14:textFill>
            <w14:solidFill>
              <w14:schemeClr w14:val="tx1"/>
            </w14:solidFill>
          </w14:textFill>
        </w:rPr>
        <w:t>二是</w:t>
      </w:r>
      <w:r>
        <w:rPr>
          <w:rFonts w:ascii="Times New Roman" w:hAnsi="Times New Roman" w:eastAsia="仿宋_GB2312" w:cs="Times New Roman"/>
          <w:b/>
          <w:color w:val="000000" w:themeColor="text1"/>
          <w:kern w:val="0"/>
          <w:sz w:val="32"/>
          <w:szCs w:val="32"/>
          <w14:textFill>
            <w14:solidFill>
              <w14:schemeClr w14:val="tx1"/>
            </w14:solidFill>
          </w14:textFill>
        </w:rPr>
        <w:t>强化提升投资价值的评价考量。</w:t>
      </w:r>
      <w:r>
        <w:rPr>
          <w:rFonts w:hint="eastAsia" w:ascii="仿宋_GB2312" w:hAnsi="宋体" w:eastAsia="仿宋_GB2312" w:cs="宋体"/>
          <w:color w:val="000000" w:themeColor="text1"/>
          <w:kern w:val="0"/>
          <w:sz w:val="32"/>
          <w:szCs w:val="32"/>
          <w14:textFill>
            <w14:solidFill>
              <w14:schemeClr w14:val="tx1"/>
            </w14:solidFill>
          </w14:textFill>
        </w:rPr>
        <w:t>《评价指引》压实上市公司市值管理主体责任，单设关于上市公司投资者回报情况的评价条款，重点关注“提质增效重回报”倡议响应情况、回购增持实施情况以及市值管理主体责任履行情况，推动上市公司持续提升投资价值</w:t>
      </w:r>
      <w:r>
        <w:rPr>
          <w:rFonts w:hint="eastAsia" w:ascii="仿宋_GB2312" w:hAnsi="宋体" w:eastAsia="仿宋_GB2312" w:cs="宋体"/>
          <w:color w:val="000000" w:themeColor="text1"/>
          <w:kern w:val="0"/>
          <w:sz w:val="32"/>
          <w:szCs w:val="32"/>
          <w:lang w:eastAsia="zh-CN"/>
          <w14:textFill>
            <w14:solidFill>
              <w14:schemeClr w14:val="tx1"/>
            </w14:solidFill>
          </w14:textFill>
        </w:rPr>
        <w:t>、维护市场稳定。</w:t>
      </w:r>
    </w:p>
    <w:p w14:paraId="1788A8DA">
      <w:pPr>
        <w:widowControl/>
        <w:spacing w:line="560" w:lineRule="exact"/>
        <w:ind w:firstLine="640" w:firstLineChars="200"/>
        <w:rPr>
          <w:rFonts w:hint="eastAsia" w:ascii="楷体_GB2312" w:hAnsi="楷体_GB2312" w:eastAsia="楷体_GB2312" w:cs="楷体_GB2312"/>
          <w:b w:val="0"/>
          <w:bCs w:val="0"/>
          <w:color w:val="000000" w:themeColor="text1"/>
          <w:kern w:val="0"/>
          <w:sz w:val="32"/>
          <w:szCs w:val="32"/>
          <w:lang w:eastAsia="zh-CN"/>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14:textFill>
            <w14:solidFill>
              <w14:schemeClr w14:val="tx1"/>
            </w14:solidFill>
          </w14:textFill>
        </w:rPr>
        <w:t>（三）</w:t>
      </w:r>
      <w:r>
        <w:rPr>
          <w:rFonts w:hint="eastAsia" w:ascii="楷体_GB2312" w:hAnsi="楷体_GB2312" w:eastAsia="楷体_GB2312" w:cs="楷体_GB2312"/>
          <w:b w:val="0"/>
          <w:bCs w:val="0"/>
          <w:color w:val="000000" w:themeColor="text1"/>
          <w:kern w:val="0"/>
          <w:sz w:val="32"/>
          <w:szCs w:val="32"/>
          <w:lang w:eastAsia="zh-CN"/>
          <w14:textFill>
            <w14:solidFill>
              <w14:schemeClr w14:val="tx1"/>
            </w14:solidFill>
          </w14:textFill>
        </w:rPr>
        <w:t>突出公司治理有效性</w:t>
      </w:r>
    </w:p>
    <w:p w14:paraId="4E47DD1C">
      <w:pPr>
        <w:widowControl/>
        <w:spacing w:line="560" w:lineRule="exact"/>
        <w:ind w:firstLine="643" w:firstLineChars="200"/>
        <w:rPr>
          <w:rFonts w:ascii="Times New Roman" w:hAnsi="Times New Roman" w:eastAsia="仿宋_GB2312" w:cs="Times New Roman"/>
          <w:color w:val="000000" w:themeColor="text1"/>
          <w:kern w:val="0"/>
          <w:sz w:val="30"/>
          <w:szCs w:val="30"/>
          <w14:textFill>
            <w14:solidFill>
              <w14:schemeClr w14:val="tx1"/>
            </w14:solidFill>
          </w14:textFill>
        </w:rPr>
      </w:pPr>
      <w:r>
        <w:rPr>
          <w:rFonts w:hint="eastAsia" w:ascii="仿宋_GB2312" w:hAnsi="宋体" w:eastAsia="仿宋_GB2312" w:cs="宋体"/>
          <w:b/>
          <w:bCs/>
          <w:color w:val="000000" w:themeColor="text1"/>
          <w:kern w:val="0"/>
          <w:sz w:val="32"/>
          <w:szCs w:val="32"/>
          <w:lang w:eastAsia="zh-CN"/>
          <w14:textFill>
            <w14:solidFill>
              <w14:schemeClr w14:val="tx1"/>
            </w14:solidFill>
          </w14:textFill>
        </w:rPr>
        <w:t>一是支持服务中小投资者行权。</w:t>
      </w:r>
      <w:r>
        <w:rPr>
          <w:rFonts w:hint="eastAsia" w:ascii="仿宋_GB2312" w:hAnsi="宋体" w:eastAsia="仿宋_GB2312" w:cs="宋体"/>
          <w:color w:val="000000" w:themeColor="text1"/>
          <w:kern w:val="0"/>
          <w:sz w:val="32"/>
          <w:szCs w:val="32"/>
          <w14:textFill>
            <w14:solidFill>
              <w14:schemeClr w14:val="tx1"/>
            </w14:solidFill>
          </w14:textFill>
        </w:rPr>
        <w:t>《评价指引》高度关注</w:t>
      </w:r>
      <w:r>
        <w:rPr>
          <w:rFonts w:hint="eastAsia" w:ascii="仿宋_GB2312" w:hAnsi="宋体" w:eastAsia="仿宋_GB2312" w:cs="宋体"/>
          <w:color w:val="000000" w:themeColor="text1"/>
          <w:kern w:val="0"/>
          <w:sz w:val="32"/>
          <w:szCs w:val="32"/>
          <w:lang w:eastAsia="zh-CN"/>
          <w14:textFill>
            <w14:solidFill>
              <w14:schemeClr w14:val="tx1"/>
            </w14:solidFill>
          </w14:textFill>
        </w:rPr>
        <w:t>上市公司内部</w:t>
      </w:r>
      <w:r>
        <w:rPr>
          <w:rFonts w:hint="eastAsia" w:ascii="仿宋_GB2312" w:hAnsi="宋体" w:eastAsia="仿宋_GB2312" w:cs="宋体"/>
          <w:color w:val="000000" w:themeColor="text1"/>
          <w:kern w:val="0"/>
          <w:sz w:val="32"/>
          <w:szCs w:val="32"/>
          <w14:textFill>
            <w14:solidFill>
              <w14:schemeClr w14:val="tx1"/>
            </w14:solidFill>
          </w14:textFill>
        </w:rPr>
        <w:t>治理情况，将运用股东会网络投票提醒服务（即“一键通”）的情况作为评价维度，引导上市公司为中小投资者参与股东会、行使表决权提供便利。</w:t>
      </w:r>
      <w:r>
        <w:rPr>
          <w:rFonts w:ascii="Times New Roman" w:hAnsi="Times New Roman" w:eastAsia="仿宋_GB2312" w:cs="Times New Roman"/>
          <w:b/>
          <w:color w:val="000000" w:themeColor="text1"/>
          <w:kern w:val="0"/>
          <w:sz w:val="32"/>
          <w:szCs w:val="32"/>
          <w14:textFill>
            <w14:solidFill>
              <w14:schemeClr w14:val="tx1"/>
            </w14:solidFill>
          </w14:textFill>
        </w:rPr>
        <w:t>二是强化独立董事履职保障。</w:t>
      </w:r>
      <w:r>
        <w:rPr>
          <w:rFonts w:ascii="Times New Roman" w:hAnsi="Times New Roman" w:eastAsia="仿宋_GB2312" w:cs="Times New Roman"/>
          <w:color w:val="000000" w:themeColor="text1"/>
          <w:kern w:val="0"/>
          <w:sz w:val="32"/>
          <w:szCs w:val="32"/>
          <w14:textFill>
            <w14:solidFill>
              <w14:schemeClr w14:val="tx1"/>
            </w14:solidFill>
          </w14:textFill>
        </w:rPr>
        <w:t>落实独立董事制度改革要求，</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新增</w:t>
      </w:r>
      <w:r>
        <w:rPr>
          <w:rFonts w:ascii="Times New Roman" w:hAnsi="Times New Roman" w:eastAsia="仿宋_GB2312" w:cs="Times New Roman"/>
          <w:color w:val="000000" w:themeColor="text1"/>
          <w:kern w:val="0"/>
          <w:sz w:val="32"/>
          <w:szCs w:val="32"/>
          <w14:textFill>
            <w14:solidFill>
              <w14:schemeClr w14:val="tx1"/>
            </w14:solidFill>
          </w14:textFill>
        </w:rPr>
        <w:t>公司为独立董事依法履职提供保障</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的评价指标</w:t>
      </w:r>
      <w:r>
        <w:rPr>
          <w:rFonts w:ascii="Times New Roman" w:hAnsi="Times New Roman" w:eastAsia="仿宋_GB2312" w:cs="Times New Roman"/>
          <w:color w:val="000000" w:themeColor="text1"/>
          <w:kern w:val="0"/>
          <w:sz w:val="32"/>
          <w:szCs w:val="32"/>
          <w14:textFill>
            <w14:solidFill>
              <w14:schemeClr w14:val="tx1"/>
            </w14:solidFill>
          </w14:textFill>
        </w:rPr>
        <w:t>，充分发挥独立董事的内部监督作用，推动公司优化内部治理，提升规范运作水平。</w:t>
      </w:r>
    </w:p>
    <w:p w14:paraId="7BC6934C">
      <w:pPr>
        <w:spacing w:line="560" w:lineRule="exact"/>
        <w:rPr>
          <w:rFonts w:ascii="Times New Roman" w:hAnsi="Times New Roman" w:cs="Times New Roman"/>
          <w:color w:val="000000" w:themeColor="text1"/>
          <w:sz w:val="30"/>
          <w:szCs w:val="30"/>
          <w14:textFill>
            <w14:solidFill>
              <w14:schemeClr w14:val="tx1"/>
            </w14:solidFill>
          </w14:textFill>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FZFSK--GBK1-0">
    <w:altName w:val="Times New Roman"/>
    <w:panose1 w:val="00000000000000000000"/>
    <w:charset w:val="00"/>
    <w:family w:val="roman"/>
    <w:pitch w:val="default"/>
    <w:sig w:usb0="00000000" w:usb1="00000000" w:usb2="00000000" w:usb3="00000000" w:csb0="00000000" w:csb1="00000000"/>
  </w:font>
  <w:font w:name="楷体_GB2312">
    <w:panose1 w:val="02000000000000000000"/>
    <w:charset w:val="86"/>
    <w:family w:val="modern"/>
    <w:pitch w:val="default"/>
    <w:sig w:usb0="A00002BF" w:usb1="184F6CFA" w:usb2="00000012"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732907"/>
    </w:sdtPr>
    <w:sdtContent>
      <w:p w14:paraId="6E4BE7B7">
        <w:pPr>
          <w:pStyle w:val="4"/>
          <w:jc w:val="center"/>
        </w:pPr>
        <w:r>
          <w:fldChar w:fldCharType="begin"/>
        </w:r>
        <w:r>
          <w:instrText xml:space="preserve"> PAGE   \* MERGEFORMAT </w:instrText>
        </w:r>
        <w:r>
          <w:fldChar w:fldCharType="separate"/>
        </w:r>
        <w:r>
          <w:rPr>
            <w:lang w:val="zh-CN"/>
          </w:rPr>
          <w:t>3</w:t>
        </w:r>
        <w:r>
          <w:rPr>
            <w:lang w:val="zh-CN"/>
          </w:rPr>
          <w:fldChar w:fldCharType="end"/>
        </w:r>
      </w:p>
    </w:sdtContent>
  </w:sdt>
  <w:p w14:paraId="1BE82343">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10DE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F9F"/>
    <w:rsid w:val="0000084D"/>
    <w:rsid w:val="0003394F"/>
    <w:rsid w:val="00044B9D"/>
    <w:rsid w:val="00065CCA"/>
    <w:rsid w:val="00080471"/>
    <w:rsid w:val="000C3A78"/>
    <w:rsid w:val="001136C0"/>
    <w:rsid w:val="001365C6"/>
    <w:rsid w:val="00137898"/>
    <w:rsid w:val="001502DD"/>
    <w:rsid w:val="00195793"/>
    <w:rsid w:val="001963B1"/>
    <w:rsid w:val="00197B72"/>
    <w:rsid w:val="001B6496"/>
    <w:rsid w:val="002146BE"/>
    <w:rsid w:val="0033136E"/>
    <w:rsid w:val="00356C86"/>
    <w:rsid w:val="003610D8"/>
    <w:rsid w:val="00363DFD"/>
    <w:rsid w:val="00364542"/>
    <w:rsid w:val="00365D93"/>
    <w:rsid w:val="00386411"/>
    <w:rsid w:val="003A500F"/>
    <w:rsid w:val="003C1A06"/>
    <w:rsid w:val="003C3342"/>
    <w:rsid w:val="00407792"/>
    <w:rsid w:val="00441C5A"/>
    <w:rsid w:val="004612B2"/>
    <w:rsid w:val="00475AB2"/>
    <w:rsid w:val="004D0EF4"/>
    <w:rsid w:val="00566E82"/>
    <w:rsid w:val="00585778"/>
    <w:rsid w:val="005A118F"/>
    <w:rsid w:val="005A1E8C"/>
    <w:rsid w:val="006154F6"/>
    <w:rsid w:val="0062427A"/>
    <w:rsid w:val="0067207D"/>
    <w:rsid w:val="00676670"/>
    <w:rsid w:val="006B382B"/>
    <w:rsid w:val="006B5474"/>
    <w:rsid w:val="006C4853"/>
    <w:rsid w:val="006D2C74"/>
    <w:rsid w:val="006D65A6"/>
    <w:rsid w:val="006F1B9B"/>
    <w:rsid w:val="0072563F"/>
    <w:rsid w:val="0072737D"/>
    <w:rsid w:val="007C0CDD"/>
    <w:rsid w:val="007C6545"/>
    <w:rsid w:val="007C7E4D"/>
    <w:rsid w:val="007D15FA"/>
    <w:rsid w:val="00801AED"/>
    <w:rsid w:val="00817DB8"/>
    <w:rsid w:val="00825924"/>
    <w:rsid w:val="008309E7"/>
    <w:rsid w:val="00834221"/>
    <w:rsid w:val="00845B4E"/>
    <w:rsid w:val="00874B49"/>
    <w:rsid w:val="00907C8E"/>
    <w:rsid w:val="0091578B"/>
    <w:rsid w:val="00930CBC"/>
    <w:rsid w:val="0098103E"/>
    <w:rsid w:val="009B5C34"/>
    <w:rsid w:val="009D1506"/>
    <w:rsid w:val="009E6661"/>
    <w:rsid w:val="00A073A7"/>
    <w:rsid w:val="00A14D9F"/>
    <w:rsid w:val="00A16BF1"/>
    <w:rsid w:val="00A27735"/>
    <w:rsid w:val="00A622DB"/>
    <w:rsid w:val="00A8046C"/>
    <w:rsid w:val="00AB6B25"/>
    <w:rsid w:val="00B43438"/>
    <w:rsid w:val="00B525D8"/>
    <w:rsid w:val="00B930CC"/>
    <w:rsid w:val="00BE4C4A"/>
    <w:rsid w:val="00C05449"/>
    <w:rsid w:val="00C21C6D"/>
    <w:rsid w:val="00C603EC"/>
    <w:rsid w:val="00C84BD1"/>
    <w:rsid w:val="00D0443A"/>
    <w:rsid w:val="00D44F9F"/>
    <w:rsid w:val="00D6072E"/>
    <w:rsid w:val="00D74D30"/>
    <w:rsid w:val="00D8565B"/>
    <w:rsid w:val="00D93A73"/>
    <w:rsid w:val="00E01846"/>
    <w:rsid w:val="00E0284F"/>
    <w:rsid w:val="00E11C41"/>
    <w:rsid w:val="00E32F0A"/>
    <w:rsid w:val="00E37D55"/>
    <w:rsid w:val="00E90C1D"/>
    <w:rsid w:val="00F01EF2"/>
    <w:rsid w:val="00F069E8"/>
    <w:rsid w:val="00F17E0E"/>
    <w:rsid w:val="00F3524E"/>
    <w:rsid w:val="00F42F25"/>
    <w:rsid w:val="00F90022"/>
    <w:rsid w:val="00FF6678"/>
    <w:rsid w:val="377D67AC"/>
    <w:rsid w:val="3B1B7CE8"/>
    <w:rsid w:val="3FEFB863"/>
    <w:rsid w:val="4C2654B9"/>
    <w:rsid w:val="6EFBF598"/>
    <w:rsid w:val="70FE3AE4"/>
    <w:rsid w:val="75EE9A1A"/>
    <w:rsid w:val="777FF453"/>
    <w:rsid w:val="7BF37E36"/>
    <w:rsid w:val="7DBF9A9C"/>
    <w:rsid w:val="7F7BBFDC"/>
    <w:rsid w:val="7FAF76F5"/>
    <w:rsid w:val="7FDD6C74"/>
    <w:rsid w:val="95FC6C69"/>
    <w:rsid w:val="CC6B951B"/>
    <w:rsid w:val="D4FF37B5"/>
    <w:rsid w:val="D65B75FB"/>
    <w:rsid w:val="DFBBDD0A"/>
    <w:rsid w:val="ED8FCB81"/>
    <w:rsid w:val="EFFD2CC4"/>
    <w:rsid w:val="F9FF53F5"/>
    <w:rsid w:val="FBFF67DE"/>
    <w:rsid w:val="FE7F9151"/>
    <w:rsid w:val="FFABFA1D"/>
    <w:rsid w:val="FFDED7B4"/>
    <w:rsid w:val="FFFC784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fontstyle01"/>
    <w:basedOn w:val="7"/>
    <w:qFormat/>
    <w:uiPriority w:val="0"/>
    <w:rPr>
      <w:rFonts w:hint="default" w:ascii="FZFSK--GBK1-0" w:hAnsi="FZFSK--GBK1-0"/>
      <w:color w:val="000000"/>
      <w:sz w:val="30"/>
      <w:szCs w:val="30"/>
    </w:rPr>
  </w:style>
  <w:style w:type="paragraph" w:styleId="12">
    <w:name w:val="List Paragraph"/>
    <w:basedOn w:val="1"/>
    <w:qFormat/>
    <w:uiPriority w:val="34"/>
    <w:pPr>
      <w:ind w:firstLine="420" w:firstLineChars="200"/>
    </w:pPr>
  </w:style>
  <w:style w:type="character" w:customStyle="1" w:styleId="13">
    <w:name w:val="批注框文本 Char"/>
    <w:basedOn w:val="7"/>
    <w:link w:val="3"/>
    <w:semiHidden/>
    <w:qFormat/>
    <w:uiPriority w:val="99"/>
    <w:rPr>
      <w:kern w:val="2"/>
      <w:sz w:val="18"/>
      <w:szCs w:val="18"/>
    </w:rPr>
  </w:style>
  <w:style w:type="character" w:customStyle="1" w:styleId="14">
    <w:name w:val="标题 1 Char"/>
    <w:basedOn w:val="7"/>
    <w:link w:val="2"/>
    <w:qFormat/>
    <w:uiPriority w:val="0"/>
    <w:rPr>
      <w:rFonts w:ascii="宋体" w:hAnsi="宋体" w:eastAsia="宋体" w:cs="Times New Roman"/>
      <w:b/>
      <w:bCs/>
      <w:kern w:val="44"/>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1310</Words>
  <Characters>1318</Characters>
  <Lines>9</Lines>
  <Paragraphs>2</Paragraphs>
  <TotalTime>3</TotalTime>
  <ScaleCrop>false</ScaleCrop>
  <LinksUpToDate>false</LinksUpToDate>
  <CharactersWithSpaces>1318</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2025-03-09T00:02:00Z</dcterms:created>
  <dc:creator>sse</dc:creator>
  <cp:lastModifiedBy>whxu</cp:lastModifiedBy>
  <dcterms:modified xsi:type="dcterms:W3CDTF">2025-03-14T17:29:22Z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15D17CC1EA11F909294AD26794925884_43</vt:lpwstr>
  </property>
</Properties>
</file>