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D4" w:rsidRDefault="00572BD4" w:rsidP="00572BD4">
      <w:pPr>
        <w:adjustRightInd w:val="0"/>
        <w:snapToGrid w:val="0"/>
        <w:spacing w:line="600" w:lineRule="exact"/>
        <w:rPr>
          <w:rFonts w:ascii="黑体" w:eastAsia="黑体" w:hAnsi="黑体"/>
          <w:b/>
          <w:kern w:val="0"/>
          <w:sz w:val="44"/>
          <w:szCs w:val="44"/>
        </w:rPr>
      </w:pPr>
      <w:r>
        <w:rPr>
          <w:rFonts w:ascii="仿宋_GB2312" w:eastAsia="仿宋_GB2312" w:hint="eastAsia"/>
          <w:b/>
          <w:sz w:val="30"/>
          <w:szCs w:val="30"/>
        </w:rPr>
        <w:t>附件2</w:t>
      </w:r>
    </w:p>
    <w:p w:rsidR="000958EA" w:rsidRDefault="000958EA">
      <w:pPr>
        <w:rPr>
          <w:rFonts w:ascii="仿宋_GB2312" w:eastAsia="仿宋_GB2312"/>
          <w:sz w:val="30"/>
          <w:szCs w:val="30"/>
        </w:rPr>
      </w:pPr>
    </w:p>
    <w:p w:rsidR="000958EA" w:rsidRDefault="00E912E2">
      <w:pPr>
        <w:jc w:val="center"/>
        <w:rPr>
          <w:rFonts w:ascii="黑体" w:eastAsia="黑体" w:hAnsi="黑体"/>
          <w:b/>
          <w:sz w:val="44"/>
          <w:szCs w:val="44"/>
        </w:rPr>
      </w:pPr>
      <w:r>
        <w:rPr>
          <w:rFonts w:ascii="黑体" w:eastAsia="黑体" w:hAnsi="黑体" w:hint="eastAsia"/>
          <w:b/>
          <w:sz w:val="44"/>
          <w:szCs w:val="44"/>
        </w:rPr>
        <w:t>《上海证券交易所主板股票异常交易实时监控细则》起草说明</w:t>
      </w:r>
    </w:p>
    <w:p w:rsidR="000958EA" w:rsidRPr="005A6848" w:rsidRDefault="000958EA">
      <w:pPr>
        <w:ind w:firstLine="585"/>
        <w:rPr>
          <w:rFonts w:ascii="仿宋_GB2312" w:eastAsia="仿宋_GB2312" w:hAnsi="Calibri" w:cs="Times New Roman"/>
          <w:sz w:val="30"/>
          <w:szCs w:val="30"/>
        </w:rPr>
      </w:pPr>
    </w:p>
    <w:p w:rsidR="000958EA" w:rsidRDefault="00E912E2">
      <w:pPr>
        <w:ind w:firstLine="585"/>
        <w:rPr>
          <w:rFonts w:ascii="仿宋_GB2312" w:eastAsia="仿宋_GB2312"/>
          <w:sz w:val="30"/>
          <w:szCs w:val="30"/>
        </w:rPr>
      </w:pPr>
      <w:r>
        <w:rPr>
          <w:rFonts w:ascii="仿宋_GB2312" w:eastAsia="仿宋_GB2312" w:hAnsi="Calibri" w:cs="Times New Roman" w:hint="eastAsia"/>
          <w:sz w:val="30"/>
          <w:szCs w:val="30"/>
        </w:rPr>
        <w:t>为了</w:t>
      </w:r>
      <w:r>
        <w:rPr>
          <w:rFonts w:ascii="Times New Roman" w:eastAsia="仿宋_GB2312" w:hAnsi="Times New Roman" w:hint="eastAsia"/>
          <w:sz w:val="30"/>
          <w:szCs w:val="30"/>
        </w:rPr>
        <w:t>落实党中央、国务院关于全面实行股票发行注册制的决策部署，</w:t>
      </w:r>
      <w:r>
        <w:rPr>
          <w:rFonts w:ascii="仿宋_GB2312" w:eastAsia="仿宋_GB2312" w:hAnsi="Calibri" w:cs="Times New Roman" w:hint="eastAsia"/>
          <w:sz w:val="30"/>
          <w:szCs w:val="30"/>
        </w:rPr>
        <w:t>保护投资者合法权益，防范交易风险，上海证券交易所（以下简称上交所</w:t>
      </w:r>
      <w:r w:rsidR="00071CA5">
        <w:rPr>
          <w:rFonts w:ascii="仿宋_GB2312" w:eastAsia="仿宋_GB2312" w:hAnsi="Calibri" w:cs="Times New Roman" w:hint="eastAsia"/>
          <w:sz w:val="30"/>
          <w:szCs w:val="30"/>
        </w:rPr>
        <w:t>或本所</w:t>
      </w:r>
      <w:r>
        <w:rPr>
          <w:rFonts w:ascii="仿宋_GB2312" w:eastAsia="仿宋_GB2312" w:hAnsi="Calibri" w:cs="Times New Roman" w:hint="eastAsia"/>
          <w:sz w:val="30"/>
          <w:szCs w:val="30"/>
        </w:rPr>
        <w:t>）</w:t>
      </w:r>
      <w:r>
        <w:rPr>
          <w:rFonts w:ascii="仿宋_GB2312" w:eastAsia="仿宋_GB2312" w:hint="eastAsia"/>
          <w:sz w:val="30"/>
          <w:szCs w:val="30"/>
        </w:rPr>
        <w:t>根据《上海证券交易所交易规则》（以下简</w:t>
      </w:r>
      <w:bookmarkStart w:id="0" w:name="_GoBack"/>
      <w:bookmarkEnd w:id="0"/>
      <w:r>
        <w:rPr>
          <w:rFonts w:ascii="仿宋_GB2312" w:eastAsia="仿宋_GB2312" w:hint="eastAsia"/>
          <w:sz w:val="30"/>
          <w:szCs w:val="30"/>
        </w:rPr>
        <w:t>称《交易规则》）等规定，制定了《上海证券交易所主板股票异常交易实时监控细则》（以下简称《主板监控细则》或本细则）。现将有关情况说明如下。</w:t>
      </w:r>
    </w:p>
    <w:p w:rsidR="000958EA" w:rsidRDefault="00E912E2">
      <w:pPr>
        <w:ind w:firstLineChars="200" w:firstLine="602"/>
        <w:rPr>
          <w:rFonts w:ascii="黑体" w:eastAsia="黑体" w:hAnsi="黑体"/>
          <w:b/>
          <w:sz w:val="30"/>
          <w:szCs w:val="30"/>
        </w:rPr>
      </w:pPr>
      <w:r>
        <w:rPr>
          <w:rFonts w:ascii="黑体" w:eastAsia="黑体" w:hAnsi="黑体" w:hint="eastAsia"/>
          <w:b/>
          <w:sz w:val="30"/>
          <w:szCs w:val="30"/>
        </w:rPr>
        <w:t>一、起草背景</w:t>
      </w:r>
    </w:p>
    <w:p w:rsidR="000958EA" w:rsidRDefault="00E912E2">
      <w:pPr>
        <w:ind w:firstLineChars="200" w:firstLine="600"/>
        <w:rPr>
          <w:rFonts w:ascii="仿宋_GB2312" w:eastAsia="仿宋_GB2312"/>
          <w:sz w:val="30"/>
          <w:szCs w:val="30"/>
        </w:rPr>
      </w:pPr>
      <w:r>
        <w:rPr>
          <w:rFonts w:ascii="仿宋_GB2312" w:eastAsia="仿宋_GB2312" w:hint="eastAsia"/>
          <w:sz w:val="30"/>
          <w:szCs w:val="30"/>
        </w:rPr>
        <w:t>上交所制定发布《主板监控细则》，是在全面实行股票发行注册制背景下，提升主板股票交易监管透明度和规范性的重要举措。一方面，近年来在证监会统筹部署下，上交所持续推进交易监控标准公开。2019年6月，上交所发布了《科创板股票异常交易实时监控细则（试行）》（以下简称《科创板监控细则》），首次向全市场公开了科创板股票异常交易行为定量监控标准，为主板监控标准公开积累了经验。</w:t>
      </w:r>
    </w:p>
    <w:p w:rsidR="000958EA" w:rsidRDefault="00E912E2">
      <w:pPr>
        <w:ind w:firstLineChars="200" w:firstLine="600"/>
        <w:rPr>
          <w:rFonts w:ascii="仿宋_GB2312" w:eastAsia="仿宋_GB2312"/>
          <w:sz w:val="30"/>
          <w:szCs w:val="30"/>
        </w:rPr>
      </w:pPr>
      <w:r>
        <w:rPr>
          <w:rFonts w:ascii="仿宋_GB2312" w:eastAsia="仿宋_GB2312" w:hint="eastAsia"/>
          <w:sz w:val="30"/>
          <w:szCs w:val="30"/>
        </w:rPr>
        <w:t>另一方面，是配合本次规则体系调整。此次修订《交易规则》时，吸收整合了《上海证券交易所证券异常交易实时监控细则》（以下简称《证券监控细则》）关于盘中临时停牌规则、证券异</w:t>
      </w:r>
      <w:r>
        <w:rPr>
          <w:rFonts w:ascii="仿宋_GB2312" w:eastAsia="仿宋_GB2312" w:hint="eastAsia"/>
          <w:sz w:val="30"/>
          <w:szCs w:val="30"/>
        </w:rPr>
        <w:lastRenderedPageBreak/>
        <w:t>常交易行为类型等条款。为保持上交所业务规则体系简明清晰，本所废止《证券监控细则》，并同步制定了《主板监控细则》。本细则定位为《交易规则》的下位规则，是对《交易规则》第七章证券交易监督部分规则的细化，本细则未作规定的，适用《交易规则》及其他有关规定。</w:t>
      </w:r>
    </w:p>
    <w:p w:rsidR="000958EA" w:rsidRDefault="00E912E2">
      <w:pPr>
        <w:ind w:firstLineChars="200" w:firstLine="602"/>
        <w:rPr>
          <w:rFonts w:ascii="黑体" w:eastAsia="黑体" w:hAnsi="黑体"/>
          <w:b/>
          <w:sz w:val="30"/>
          <w:szCs w:val="30"/>
        </w:rPr>
      </w:pPr>
      <w:r>
        <w:rPr>
          <w:rFonts w:ascii="黑体" w:eastAsia="黑体" w:hAnsi="黑体" w:hint="eastAsia"/>
          <w:b/>
          <w:sz w:val="30"/>
          <w:szCs w:val="30"/>
        </w:rPr>
        <w:t>二、起草思路</w:t>
      </w:r>
    </w:p>
    <w:p w:rsidR="000958EA" w:rsidRDefault="00E912E2">
      <w:pPr>
        <w:ind w:firstLineChars="200" w:firstLine="600"/>
        <w:rPr>
          <w:rFonts w:ascii="仿宋_GB2312" w:eastAsia="仿宋_GB2312"/>
          <w:sz w:val="30"/>
          <w:szCs w:val="30"/>
        </w:rPr>
      </w:pPr>
      <w:r>
        <w:rPr>
          <w:rFonts w:ascii="仿宋_GB2312" w:eastAsia="仿宋_GB2312" w:hint="eastAsia"/>
          <w:sz w:val="30"/>
          <w:szCs w:val="30"/>
        </w:rPr>
        <w:t>《主板监控细则》起草过程中，上交所深入贯彻“建制度、不干预、零容忍”方针，秉持“四个敬畏、一个合力”监管理念，认真总结《科创板监控细则》发布以来的监管实践，完善交易监测监控标准，优化交易监管。起草工作遵循以下思路：</w:t>
      </w:r>
    </w:p>
    <w:p w:rsidR="000958EA" w:rsidRDefault="00E912E2">
      <w:pPr>
        <w:ind w:firstLineChars="200" w:firstLine="602"/>
        <w:rPr>
          <w:rFonts w:ascii="仿宋_GB2312" w:eastAsia="仿宋_GB2312"/>
          <w:sz w:val="30"/>
          <w:szCs w:val="30"/>
        </w:rPr>
      </w:pPr>
      <w:r>
        <w:rPr>
          <w:rFonts w:ascii="仿宋_GB2312" w:eastAsia="仿宋_GB2312" w:hint="eastAsia"/>
          <w:b/>
          <w:sz w:val="30"/>
          <w:szCs w:val="30"/>
        </w:rPr>
        <w:t>一是明确预期，公开异常交易量化标准。</w:t>
      </w:r>
      <w:r>
        <w:rPr>
          <w:rFonts w:ascii="仿宋_GB2312" w:eastAsia="仿宋_GB2312" w:hint="eastAsia"/>
          <w:sz w:val="30"/>
          <w:szCs w:val="30"/>
        </w:rPr>
        <w:t>本次制定发布《主板监控细则》，向市场公开了主板股票交易监管经验较为成熟的5大类14种典型异常交易行为的量化标准，解决了此前主板和科创板监控标准公开程度不一致的问题，全面提升了交易监管的透明度和规范性，进一步明确监管预期。</w:t>
      </w:r>
    </w:p>
    <w:p w:rsidR="000958EA" w:rsidRDefault="00E912E2">
      <w:pPr>
        <w:ind w:firstLineChars="200" w:firstLine="602"/>
        <w:rPr>
          <w:rFonts w:ascii="仿宋_GB2312" w:eastAsia="仿宋_GB2312"/>
          <w:sz w:val="30"/>
          <w:szCs w:val="30"/>
        </w:rPr>
      </w:pPr>
      <w:r>
        <w:rPr>
          <w:rFonts w:ascii="仿宋_GB2312" w:eastAsia="仿宋_GB2312" w:hint="eastAsia"/>
          <w:b/>
          <w:sz w:val="30"/>
          <w:szCs w:val="30"/>
        </w:rPr>
        <w:t>二是精准监管，完善异常交易监控指标。</w:t>
      </w:r>
      <w:r>
        <w:rPr>
          <w:rFonts w:ascii="仿宋_GB2312" w:eastAsia="仿宋_GB2312" w:hint="eastAsia"/>
          <w:sz w:val="30"/>
          <w:szCs w:val="30"/>
        </w:rPr>
        <w:t>为聚焦异常交易监管，减少对正常交易不必要的干预，在总结近年来交易监管实践的基础上，对部分异常交易监控指标予以优化完善，精准刻画异常交易行为特征，提高监管精准度。</w:t>
      </w:r>
    </w:p>
    <w:p w:rsidR="000958EA" w:rsidRDefault="00E912E2">
      <w:pPr>
        <w:ind w:firstLineChars="200" w:firstLine="602"/>
        <w:rPr>
          <w:rFonts w:ascii="仿宋_GB2312" w:eastAsia="仿宋_GB2312"/>
          <w:sz w:val="30"/>
          <w:szCs w:val="30"/>
        </w:rPr>
      </w:pPr>
      <w:r>
        <w:rPr>
          <w:rFonts w:ascii="仿宋_GB2312" w:eastAsia="仿宋_GB2312" w:hint="eastAsia"/>
          <w:b/>
          <w:sz w:val="30"/>
          <w:szCs w:val="30"/>
        </w:rPr>
        <w:t>三是严防风险，突出重点监控股票情形。</w:t>
      </w:r>
      <w:r>
        <w:rPr>
          <w:rFonts w:ascii="仿宋_GB2312" w:eastAsia="仿宋_GB2312" w:hint="eastAsia"/>
          <w:sz w:val="30"/>
          <w:szCs w:val="30"/>
        </w:rPr>
        <w:t>一方面，复制推广科创板注册制改革“试验田”的有益经验，增加主板严重异常波动股票申报速率异常指标。另一方面，明确对严重异常波动股票、</w:t>
      </w:r>
      <w:r>
        <w:rPr>
          <w:rFonts w:ascii="仿宋_GB2312" w:eastAsia="仿宋_GB2312" w:hint="eastAsia"/>
          <w:sz w:val="30"/>
          <w:szCs w:val="30"/>
        </w:rPr>
        <w:lastRenderedPageBreak/>
        <w:t>风险警示股票、退市整理股票等风险股票可从严认定异常交易、从重采取监管措施，适当设置差异化的指标阈值，提升监管有效性。</w:t>
      </w:r>
    </w:p>
    <w:p w:rsidR="000958EA" w:rsidRDefault="00E912E2">
      <w:pPr>
        <w:ind w:firstLineChars="200" w:firstLine="602"/>
        <w:rPr>
          <w:rFonts w:ascii="黑体" w:eastAsia="黑体" w:hAnsi="黑体"/>
          <w:b/>
          <w:sz w:val="30"/>
          <w:szCs w:val="30"/>
        </w:rPr>
      </w:pPr>
      <w:r>
        <w:rPr>
          <w:rFonts w:ascii="黑体" w:eastAsia="黑体" w:hAnsi="黑体" w:hint="eastAsia"/>
          <w:b/>
          <w:sz w:val="30"/>
          <w:szCs w:val="30"/>
        </w:rPr>
        <w:t>三、主要内容</w:t>
      </w:r>
    </w:p>
    <w:p w:rsidR="000958EA" w:rsidRDefault="00E912E2">
      <w:pPr>
        <w:spacing w:line="560" w:lineRule="exact"/>
        <w:ind w:firstLineChars="200" w:firstLine="600"/>
        <w:rPr>
          <w:rFonts w:ascii="仿宋_GB2312" w:eastAsia="仿宋_GB2312"/>
          <w:sz w:val="30"/>
          <w:szCs w:val="30"/>
        </w:rPr>
      </w:pPr>
      <w:r>
        <w:rPr>
          <w:rFonts w:ascii="仿宋_GB2312" w:eastAsia="仿宋_GB2312" w:hint="eastAsia"/>
          <w:sz w:val="30"/>
          <w:szCs w:val="30"/>
        </w:rPr>
        <w:t>《主板监控细则》共4章</w:t>
      </w:r>
      <w:r w:rsidR="00FA4504">
        <w:rPr>
          <w:rFonts w:ascii="仿宋_GB2312" w:eastAsia="仿宋_GB2312" w:hint="eastAsia"/>
          <w:sz w:val="30"/>
          <w:szCs w:val="30"/>
        </w:rPr>
        <w:t>35</w:t>
      </w:r>
      <w:r>
        <w:rPr>
          <w:rFonts w:ascii="仿宋_GB2312" w:eastAsia="仿宋_GB2312" w:hint="eastAsia"/>
          <w:sz w:val="30"/>
          <w:szCs w:val="30"/>
        </w:rPr>
        <w:t>条，分别为第一章“总则”、第二章“投资者异常交易行为”、第三章“投资者异常交易行为监管”和第四章“附则”。具体内容如下：</w:t>
      </w:r>
    </w:p>
    <w:p w:rsidR="000958EA" w:rsidRDefault="00E912E2">
      <w:pPr>
        <w:ind w:firstLineChars="200" w:firstLine="602"/>
        <w:rPr>
          <w:rFonts w:ascii="仿宋_GB2312" w:eastAsia="仿宋_GB2312"/>
          <w:b/>
          <w:sz w:val="30"/>
          <w:szCs w:val="30"/>
        </w:rPr>
      </w:pPr>
      <w:r>
        <w:rPr>
          <w:rFonts w:ascii="仿宋_GB2312" w:eastAsia="仿宋_GB2312" w:hint="eastAsia"/>
          <w:b/>
          <w:sz w:val="30"/>
          <w:szCs w:val="30"/>
        </w:rPr>
        <w:t>（一）总则</w:t>
      </w:r>
    </w:p>
    <w:p w:rsidR="000958EA" w:rsidRDefault="00E912E2">
      <w:pPr>
        <w:spacing w:line="560" w:lineRule="exact"/>
        <w:ind w:firstLineChars="200" w:firstLine="600"/>
        <w:rPr>
          <w:rFonts w:ascii="仿宋_GB2312" w:eastAsia="仿宋_GB2312"/>
          <w:sz w:val="30"/>
          <w:szCs w:val="30"/>
        </w:rPr>
      </w:pPr>
      <w:r>
        <w:rPr>
          <w:rFonts w:ascii="仿宋_GB2312" w:eastAsia="仿宋_GB2312" w:hint="eastAsia"/>
          <w:sz w:val="30"/>
          <w:szCs w:val="30"/>
        </w:rPr>
        <w:t>本章规定了制定目的、依据和适用范围，强调了投资者合规交易义务、会员客户管理职责及交易所自律管理职责。</w:t>
      </w:r>
    </w:p>
    <w:p w:rsidR="000958EA" w:rsidRDefault="00E912E2">
      <w:pPr>
        <w:ind w:firstLineChars="200" w:firstLine="602"/>
        <w:rPr>
          <w:rFonts w:ascii="仿宋_GB2312" w:eastAsia="仿宋_GB2312"/>
          <w:b/>
          <w:sz w:val="30"/>
          <w:szCs w:val="30"/>
        </w:rPr>
      </w:pPr>
      <w:r>
        <w:rPr>
          <w:rFonts w:ascii="仿宋_GB2312" w:eastAsia="仿宋_GB2312" w:hint="eastAsia"/>
          <w:b/>
          <w:sz w:val="30"/>
          <w:szCs w:val="30"/>
        </w:rPr>
        <w:t>（二）投资者异常交易行为</w:t>
      </w:r>
    </w:p>
    <w:p w:rsidR="000958EA" w:rsidRDefault="00E912E2">
      <w:pPr>
        <w:ind w:firstLineChars="200" w:firstLine="600"/>
        <w:rPr>
          <w:rFonts w:ascii="仿宋_GB2312" w:eastAsia="仿宋_GB2312"/>
          <w:sz w:val="30"/>
          <w:szCs w:val="30"/>
        </w:rPr>
      </w:pPr>
      <w:r>
        <w:rPr>
          <w:rFonts w:ascii="仿宋_GB2312" w:eastAsia="仿宋_GB2312" w:hint="eastAsia"/>
          <w:sz w:val="30"/>
          <w:szCs w:val="30"/>
        </w:rPr>
        <w:t>本章共六节。第一节规定了股票异常交易的类型和认定路径，明确合并认定与指标计算原则。第二节至第六节规定了5大类14种典型股票异常交易行为的定性描述和定量监控标准，具体包括虚假申报、拉抬打压股价、维持涨（跌）幅限制价格、自买自卖和互为对手方交易以及严重异常波动股票申报速率异常。</w:t>
      </w:r>
    </w:p>
    <w:p w:rsidR="000958EA" w:rsidRDefault="00E912E2">
      <w:pPr>
        <w:spacing w:line="560" w:lineRule="exact"/>
        <w:ind w:firstLineChars="200" w:firstLine="602"/>
        <w:rPr>
          <w:rFonts w:ascii="仿宋_GB2312" w:eastAsia="仿宋_GB2312"/>
          <w:b/>
          <w:sz w:val="30"/>
          <w:szCs w:val="30"/>
        </w:rPr>
      </w:pPr>
      <w:r>
        <w:rPr>
          <w:rFonts w:ascii="仿宋_GB2312" w:eastAsia="仿宋_GB2312" w:hint="eastAsia"/>
          <w:b/>
          <w:sz w:val="30"/>
          <w:szCs w:val="30"/>
        </w:rPr>
        <w:t>（三）投资者异常交易行为监管</w:t>
      </w:r>
    </w:p>
    <w:p w:rsidR="000958EA" w:rsidRDefault="00E912E2">
      <w:pPr>
        <w:ind w:firstLineChars="200" w:firstLine="600"/>
        <w:rPr>
          <w:rFonts w:ascii="仿宋_GB2312" w:eastAsia="仿宋_GB2312"/>
          <w:sz w:val="30"/>
          <w:szCs w:val="30"/>
        </w:rPr>
      </w:pPr>
      <w:r>
        <w:rPr>
          <w:rFonts w:ascii="仿宋_GB2312" w:eastAsia="仿宋_GB2312" w:hint="eastAsia"/>
          <w:sz w:val="30"/>
          <w:szCs w:val="30"/>
        </w:rPr>
        <w:t>本章规定了针对投资者异常交易行为以及会员履行客户交易行为管理职责不当的监管措施或者纪律处分类型，同时明确了可从严认定异常交易、从重实施监管措施或者纪律处分的重点监控情形。</w:t>
      </w:r>
    </w:p>
    <w:p w:rsidR="000958EA" w:rsidRDefault="00E912E2">
      <w:pPr>
        <w:ind w:firstLineChars="200" w:firstLine="602"/>
        <w:rPr>
          <w:rFonts w:ascii="仿宋_GB2312" w:eastAsia="仿宋_GB2312"/>
          <w:b/>
          <w:sz w:val="30"/>
          <w:szCs w:val="30"/>
        </w:rPr>
      </w:pPr>
      <w:r>
        <w:rPr>
          <w:rFonts w:ascii="仿宋_GB2312" w:eastAsia="仿宋_GB2312" w:hint="eastAsia"/>
          <w:b/>
          <w:sz w:val="30"/>
          <w:szCs w:val="30"/>
        </w:rPr>
        <w:t>（四）附则</w:t>
      </w:r>
    </w:p>
    <w:p w:rsidR="000958EA" w:rsidRDefault="00E912E2">
      <w:pPr>
        <w:spacing w:line="560" w:lineRule="exact"/>
        <w:ind w:firstLineChars="200" w:firstLine="600"/>
        <w:rPr>
          <w:rFonts w:ascii="仿宋_GB2312" w:eastAsia="仿宋_GB2312"/>
          <w:sz w:val="30"/>
          <w:szCs w:val="30"/>
        </w:rPr>
      </w:pPr>
      <w:r>
        <w:rPr>
          <w:rFonts w:ascii="仿宋_GB2312" w:eastAsia="仿宋_GB2312" w:hint="eastAsia"/>
          <w:sz w:val="30"/>
          <w:szCs w:val="30"/>
        </w:rPr>
        <w:t>本章对条文用语进行了定量解释，并规定了解释权等内容。</w:t>
      </w:r>
    </w:p>
    <w:p w:rsidR="00E8320F" w:rsidRDefault="000B3C2C">
      <w:pPr>
        <w:spacing w:line="560" w:lineRule="exact"/>
        <w:ind w:firstLineChars="200" w:firstLine="600"/>
        <w:rPr>
          <w:rFonts w:ascii="仿宋_GB2312" w:eastAsia="仿宋_GB2312"/>
          <w:sz w:val="30"/>
          <w:szCs w:val="30"/>
        </w:rPr>
      </w:pPr>
      <w:r w:rsidRPr="00B31DDB">
        <w:rPr>
          <w:rFonts w:ascii="仿宋_GB2312" w:eastAsia="仿宋_GB2312" w:hint="eastAsia"/>
          <w:color w:val="000000"/>
          <w:sz w:val="30"/>
          <w:szCs w:val="30"/>
        </w:rPr>
        <w:lastRenderedPageBreak/>
        <w:t>2023年2月1日至8日，本所就《主板监控细则》向部分市场主体征求意见</w:t>
      </w:r>
      <w:r w:rsidR="00C231A5">
        <w:rPr>
          <w:rFonts w:ascii="仿宋_GB2312" w:eastAsia="仿宋_GB2312" w:hint="eastAsia"/>
          <w:color w:val="000000"/>
          <w:sz w:val="30"/>
          <w:szCs w:val="30"/>
        </w:rPr>
        <w:t>，共收到反馈意见建议57份</w:t>
      </w:r>
      <w:r w:rsidR="00C231A5" w:rsidRPr="00B31DDB">
        <w:rPr>
          <w:rFonts w:ascii="仿宋_GB2312" w:eastAsia="仿宋_GB2312" w:hint="eastAsia"/>
          <w:color w:val="000000"/>
          <w:sz w:val="30"/>
          <w:szCs w:val="30"/>
        </w:rPr>
        <w:t>。</w:t>
      </w:r>
      <w:r w:rsidRPr="00B31DDB">
        <w:rPr>
          <w:rFonts w:ascii="仿宋_GB2312" w:eastAsia="仿宋_GB2312" w:hint="eastAsia"/>
          <w:color w:val="000000"/>
          <w:sz w:val="30"/>
          <w:szCs w:val="30"/>
        </w:rPr>
        <w:t>本所进行了认真研究梳理，并结合相关意见，对若干条款进行了适当优化。</w:t>
      </w:r>
    </w:p>
    <w:p w:rsidR="000958EA" w:rsidRDefault="00E912E2">
      <w:pPr>
        <w:spacing w:line="560" w:lineRule="exact"/>
        <w:ind w:firstLineChars="200" w:firstLine="600"/>
        <w:rPr>
          <w:rFonts w:ascii="仿宋_GB2312" w:eastAsia="仿宋_GB2312"/>
          <w:sz w:val="30"/>
          <w:szCs w:val="30"/>
        </w:rPr>
      </w:pPr>
      <w:r>
        <w:rPr>
          <w:rFonts w:ascii="仿宋_GB2312" w:eastAsia="仿宋_GB2312" w:hint="eastAsia"/>
          <w:sz w:val="30"/>
          <w:szCs w:val="30"/>
        </w:rPr>
        <w:t>特此说明。</w:t>
      </w:r>
    </w:p>
    <w:sectPr w:rsidR="000958EA" w:rsidSect="000958E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D79" w:rsidRDefault="004E0D79" w:rsidP="000958EA">
      <w:r>
        <w:separator/>
      </w:r>
    </w:p>
  </w:endnote>
  <w:endnote w:type="continuationSeparator" w:id="0">
    <w:p w:rsidR="004E0D79" w:rsidRDefault="004E0D79" w:rsidP="000958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8148174"/>
    </w:sdtPr>
    <w:sdtContent>
      <w:p w:rsidR="000958EA" w:rsidRDefault="00951804">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sidR="00E912E2">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64700" w:rsidRPr="00964700">
          <w:rPr>
            <w:rFonts w:ascii="Times New Roman" w:hAnsi="Times New Roman" w:cs="Times New Roman"/>
            <w:noProof/>
            <w:sz w:val="24"/>
            <w:szCs w:val="24"/>
            <w:lang w:val="zh-CN"/>
          </w:rPr>
          <w:t>4</w:t>
        </w:r>
        <w:r>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D79" w:rsidRDefault="004E0D79" w:rsidP="000958EA">
      <w:r>
        <w:separator/>
      </w:r>
    </w:p>
  </w:footnote>
  <w:footnote w:type="continuationSeparator" w:id="0">
    <w:p w:rsidR="004E0D79" w:rsidRDefault="004E0D79" w:rsidP="000958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33AE"/>
    <w:rsid w:val="0000795D"/>
    <w:rsid w:val="0001060E"/>
    <w:rsid w:val="0001104E"/>
    <w:rsid w:val="000114D7"/>
    <w:rsid w:val="00012F7E"/>
    <w:rsid w:val="00021CB9"/>
    <w:rsid w:val="00024955"/>
    <w:rsid w:val="0003388E"/>
    <w:rsid w:val="00034EA3"/>
    <w:rsid w:val="0003526B"/>
    <w:rsid w:val="00041FDD"/>
    <w:rsid w:val="00046B5D"/>
    <w:rsid w:val="000535D6"/>
    <w:rsid w:val="0006100C"/>
    <w:rsid w:val="00070162"/>
    <w:rsid w:val="00071CA5"/>
    <w:rsid w:val="00072482"/>
    <w:rsid w:val="000832ED"/>
    <w:rsid w:val="00094D80"/>
    <w:rsid w:val="000958EA"/>
    <w:rsid w:val="000B17AC"/>
    <w:rsid w:val="000B3C2C"/>
    <w:rsid w:val="000B3C89"/>
    <w:rsid w:val="000C47B2"/>
    <w:rsid w:val="000D1C5B"/>
    <w:rsid w:val="000E0032"/>
    <w:rsid w:val="000E17EE"/>
    <w:rsid w:val="00101BB9"/>
    <w:rsid w:val="0010430C"/>
    <w:rsid w:val="0010472B"/>
    <w:rsid w:val="00106ACD"/>
    <w:rsid w:val="001117DB"/>
    <w:rsid w:val="00116749"/>
    <w:rsid w:val="001358BA"/>
    <w:rsid w:val="00161F8C"/>
    <w:rsid w:val="00163D21"/>
    <w:rsid w:val="00163E22"/>
    <w:rsid w:val="00163EF2"/>
    <w:rsid w:val="001676B3"/>
    <w:rsid w:val="00177F1F"/>
    <w:rsid w:val="00182B18"/>
    <w:rsid w:val="00194F0E"/>
    <w:rsid w:val="001A6FCE"/>
    <w:rsid w:val="001A7D10"/>
    <w:rsid w:val="001E3C1F"/>
    <w:rsid w:val="001E5C3D"/>
    <w:rsid w:val="001F1715"/>
    <w:rsid w:val="00221750"/>
    <w:rsid w:val="00222382"/>
    <w:rsid w:val="00224457"/>
    <w:rsid w:val="00230F3F"/>
    <w:rsid w:val="00236B0E"/>
    <w:rsid w:val="00240480"/>
    <w:rsid w:val="00253F0E"/>
    <w:rsid w:val="00263C98"/>
    <w:rsid w:val="002761F8"/>
    <w:rsid w:val="00282897"/>
    <w:rsid w:val="00283063"/>
    <w:rsid w:val="002831BD"/>
    <w:rsid w:val="002842A6"/>
    <w:rsid w:val="00284B16"/>
    <w:rsid w:val="00285B31"/>
    <w:rsid w:val="00287492"/>
    <w:rsid w:val="0028752F"/>
    <w:rsid w:val="002A1F23"/>
    <w:rsid w:val="002A2EC2"/>
    <w:rsid w:val="002A796D"/>
    <w:rsid w:val="002A7E7B"/>
    <w:rsid w:val="002C1C57"/>
    <w:rsid w:val="002D2379"/>
    <w:rsid w:val="002F2765"/>
    <w:rsid w:val="002F2C6F"/>
    <w:rsid w:val="002F45E8"/>
    <w:rsid w:val="002F53C1"/>
    <w:rsid w:val="00300B33"/>
    <w:rsid w:val="003165E3"/>
    <w:rsid w:val="00345A7D"/>
    <w:rsid w:val="00347124"/>
    <w:rsid w:val="00351D60"/>
    <w:rsid w:val="00354103"/>
    <w:rsid w:val="00356293"/>
    <w:rsid w:val="003625B6"/>
    <w:rsid w:val="003633AE"/>
    <w:rsid w:val="00365744"/>
    <w:rsid w:val="00374629"/>
    <w:rsid w:val="00385CFA"/>
    <w:rsid w:val="00385D46"/>
    <w:rsid w:val="00395930"/>
    <w:rsid w:val="00397E2A"/>
    <w:rsid w:val="003B2AA1"/>
    <w:rsid w:val="003D7248"/>
    <w:rsid w:val="003E2702"/>
    <w:rsid w:val="003F297C"/>
    <w:rsid w:val="003F3691"/>
    <w:rsid w:val="003F79C4"/>
    <w:rsid w:val="00414BDF"/>
    <w:rsid w:val="004158C5"/>
    <w:rsid w:val="004230D6"/>
    <w:rsid w:val="00426DAB"/>
    <w:rsid w:val="00432D96"/>
    <w:rsid w:val="004546ED"/>
    <w:rsid w:val="00470304"/>
    <w:rsid w:val="00472B53"/>
    <w:rsid w:val="00472C43"/>
    <w:rsid w:val="00475B9F"/>
    <w:rsid w:val="0048158A"/>
    <w:rsid w:val="00487EE0"/>
    <w:rsid w:val="0049207A"/>
    <w:rsid w:val="00494777"/>
    <w:rsid w:val="0049485D"/>
    <w:rsid w:val="004972CC"/>
    <w:rsid w:val="004B16C6"/>
    <w:rsid w:val="004C0BD3"/>
    <w:rsid w:val="004C3FC5"/>
    <w:rsid w:val="004D48DB"/>
    <w:rsid w:val="004E0D79"/>
    <w:rsid w:val="004E372F"/>
    <w:rsid w:val="004E60D6"/>
    <w:rsid w:val="00504B24"/>
    <w:rsid w:val="00507243"/>
    <w:rsid w:val="0050754D"/>
    <w:rsid w:val="00514407"/>
    <w:rsid w:val="005325BF"/>
    <w:rsid w:val="00540603"/>
    <w:rsid w:val="00544A60"/>
    <w:rsid w:val="005619DF"/>
    <w:rsid w:val="00572BD4"/>
    <w:rsid w:val="00572F6E"/>
    <w:rsid w:val="0058378E"/>
    <w:rsid w:val="00593150"/>
    <w:rsid w:val="005A6848"/>
    <w:rsid w:val="005A6DDC"/>
    <w:rsid w:val="005B6A05"/>
    <w:rsid w:val="005D2B4D"/>
    <w:rsid w:val="005D37EF"/>
    <w:rsid w:val="005D4C5C"/>
    <w:rsid w:val="005F4CEE"/>
    <w:rsid w:val="005F65E6"/>
    <w:rsid w:val="005F68EB"/>
    <w:rsid w:val="006028C7"/>
    <w:rsid w:val="00614333"/>
    <w:rsid w:val="006224DE"/>
    <w:rsid w:val="00622617"/>
    <w:rsid w:val="006455D3"/>
    <w:rsid w:val="00666717"/>
    <w:rsid w:val="006821FE"/>
    <w:rsid w:val="00687D82"/>
    <w:rsid w:val="0069358B"/>
    <w:rsid w:val="00694951"/>
    <w:rsid w:val="00694EFA"/>
    <w:rsid w:val="006A5D66"/>
    <w:rsid w:val="006C5293"/>
    <w:rsid w:val="006C7B0E"/>
    <w:rsid w:val="006D1164"/>
    <w:rsid w:val="006E03A5"/>
    <w:rsid w:val="006F08C1"/>
    <w:rsid w:val="006F1D21"/>
    <w:rsid w:val="00717892"/>
    <w:rsid w:val="00721774"/>
    <w:rsid w:val="00742647"/>
    <w:rsid w:val="007430D6"/>
    <w:rsid w:val="00745135"/>
    <w:rsid w:val="00751F7B"/>
    <w:rsid w:val="0075288A"/>
    <w:rsid w:val="00757CB3"/>
    <w:rsid w:val="00760AAD"/>
    <w:rsid w:val="00772BFD"/>
    <w:rsid w:val="007763B0"/>
    <w:rsid w:val="00777872"/>
    <w:rsid w:val="00782DF1"/>
    <w:rsid w:val="00782FC4"/>
    <w:rsid w:val="007915E7"/>
    <w:rsid w:val="007950AC"/>
    <w:rsid w:val="00797F0D"/>
    <w:rsid w:val="007A5EB2"/>
    <w:rsid w:val="007B0D4B"/>
    <w:rsid w:val="007D370A"/>
    <w:rsid w:val="007E7844"/>
    <w:rsid w:val="007F0698"/>
    <w:rsid w:val="007F4B74"/>
    <w:rsid w:val="00803F2F"/>
    <w:rsid w:val="00805B9D"/>
    <w:rsid w:val="00813A6E"/>
    <w:rsid w:val="008253BF"/>
    <w:rsid w:val="00830711"/>
    <w:rsid w:val="0085355B"/>
    <w:rsid w:val="00861948"/>
    <w:rsid w:val="00862FB9"/>
    <w:rsid w:val="0086385A"/>
    <w:rsid w:val="00865CAE"/>
    <w:rsid w:val="00867500"/>
    <w:rsid w:val="00886A67"/>
    <w:rsid w:val="0088717B"/>
    <w:rsid w:val="008907E3"/>
    <w:rsid w:val="008920A1"/>
    <w:rsid w:val="00893C78"/>
    <w:rsid w:val="00893F20"/>
    <w:rsid w:val="008A2251"/>
    <w:rsid w:val="008A33E5"/>
    <w:rsid w:val="008A3762"/>
    <w:rsid w:val="008A3881"/>
    <w:rsid w:val="008B1E21"/>
    <w:rsid w:val="008D339C"/>
    <w:rsid w:val="008D37AE"/>
    <w:rsid w:val="008E3A7C"/>
    <w:rsid w:val="008E617E"/>
    <w:rsid w:val="00921450"/>
    <w:rsid w:val="0092407D"/>
    <w:rsid w:val="00925DDB"/>
    <w:rsid w:val="0093425C"/>
    <w:rsid w:val="009357F3"/>
    <w:rsid w:val="00937190"/>
    <w:rsid w:val="00942089"/>
    <w:rsid w:val="009460B4"/>
    <w:rsid w:val="009467F3"/>
    <w:rsid w:val="00951804"/>
    <w:rsid w:val="00960112"/>
    <w:rsid w:val="00960231"/>
    <w:rsid w:val="00964700"/>
    <w:rsid w:val="00980B7C"/>
    <w:rsid w:val="00982949"/>
    <w:rsid w:val="009831B2"/>
    <w:rsid w:val="009A166B"/>
    <w:rsid w:val="009B2A30"/>
    <w:rsid w:val="009C1799"/>
    <w:rsid w:val="009C18A2"/>
    <w:rsid w:val="009D06B6"/>
    <w:rsid w:val="009D1719"/>
    <w:rsid w:val="009E3530"/>
    <w:rsid w:val="009E4AD0"/>
    <w:rsid w:val="009F3B95"/>
    <w:rsid w:val="00A1422B"/>
    <w:rsid w:val="00A15EC5"/>
    <w:rsid w:val="00A37F81"/>
    <w:rsid w:val="00A4153A"/>
    <w:rsid w:val="00A42835"/>
    <w:rsid w:val="00A46C3B"/>
    <w:rsid w:val="00A53BF5"/>
    <w:rsid w:val="00A60113"/>
    <w:rsid w:val="00A84BBE"/>
    <w:rsid w:val="00A87AE3"/>
    <w:rsid w:val="00AA2CA2"/>
    <w:rsid w:val="00AA4816"/>
    <w:rsid w:val="00AC6334"/>
    <w:rsid w:val="00AD3B9B"/>
    <w:rsid w:val="00AD6E3A"/>
    <w:rsid w:val="00AE1AE7"/>
    <w:rsid w:val="00AE2ED8"/>
    <w:rsid w:val="00AE5852"/>
    <w:rsid w:val="00AF30B5"/>
    <w:rsid w:val="00B058B0"/>
    <w:rsid w:val="00B14833"/>
    <w:rsid w:val="00B21ACF"/>
    <w:rsid w:val="00B22B0A"/>
    <w:rsid w:val="00B262B9"/>
    <w:rsid w:val="00B31DDB"/>
    <w:rsid w:val="00B44CE0"/>
    <w:rsid w:val="00B61694"/>
    <w:rsid w:val="00B6253F"/>
    <w:rsid w:val="00B66BAE"/>
    <w:rsid w:val="00B712C1"/>
    <w:rsid w:val="00B72065"/>
    <w:rsid w:val="00B76875"/>
    <w:rsid w:val="00B87C52"/>
    <w:rsid w:val="00B94840"/>
    <w:rsid w:val="00BA45E1"/>
    <w:rsid w:val="00BB1C2D"/>
    <w:rsid w:val="00BC07E0"/>
    <w:rsid w:val="00BE09A3"/>
    <w:rsid w:val="00BE52BC"/>
    <w:rsid w:val="00BF2FE0"/>
    <w:rsid w:val="00C1012B"/>
    <w:rsid w:val="00C12308"/>
    <w:rsid w:val="00C1263E"/>
    <w:rsid w:val="00C20219"/>
    <w:rsid w:val="00C20F69"/>
    <w:rsid w:val="00C21A8A"/>
    <w:rsid w:val="00C231A5"/>
    <w:rsid w:val="00C27F81"/>
    <w:rsid w:val="00C3654C"/>
    <w:rsid w:val="00C428F6"/>
    <w:rsid w:val="00C47F43"/>
    <w:rsid w:val="00C51381"/>
    <w:rsid w:val="00C53B52"/>
    <w:rsid w:val="00C56983"/>
    <w:rsid w:val="00C60431"/>
    <w:rsid w:val="00C655F6"/>
    <w:rsid w:val="00C738C1"/>
    <w:rsid w:val="00C81CE0"/>
    <w:rsid w:val="00C909A9"/>
    <w:rsid w:val="00C94909"/>
    <w:rsid w:val="00CA1C1E"/>
    <w:rsid w:val="00CA2E21"/>
    <w:rsid w:val="00CA318A"/>
    <w:rsid w:val="00CA5499"/>
    <w:rsid w:val="00CD0087"/>
    <w:rsid w:val="00CD3AA8"/>
    <w:rsid w:val="00CD7678"/>
    <w:rsid w:val="00CE050E"/>
    <w:rsid w:val="00CF2756"/>
    <w:rsid w:val="00D0216D"/>
    <w:rsid w:val="00D11EEA"/>
    <w:rsid w:val="00D162C4"/>
    <w:rsid w:val="00D16F76"/>
    <w:rsid w:val="00D20651"/>
    <w:rsid w:val="00D2471A"/>
    <w:rsid w:val="00D26F61"/>
    <w:rsid w:val="00D312DA"/>
    <w:rsid w:val="00D33EA5"/>
    <w:rsid w:val="00D35D87"/>
    <w:rsid w:val="00D46C63"/>
    <w:rsid w:val="00D7293E"/>
    <w:rsid w:val="00D731B8"/>
    <w:rsid w:val="00D74CC0"/>
    <w:rsid w:val="00D9352C"/>
    <w:rsid w:val="00D966A0"/>
    <w:rsid w:val="00DC0C02"/>
    <w:rsid w:val="00DC22ED"/>
    <w:rsid w:val="00DE70DE"/>
    <w:rsid w:val="00DF1566"/>
    <w:rsid w:val="00DF328C"/>
    <w:rsid w:val="00DF5E13"/>
    <w:rsid w:val="00E072F2"/>
    <w:rsid w:val="00E11F82"/>
    <w:rsid w:val="00E12228"/>
    <w:rsid w:val="00E123D7"/>
    <w:rsid w:val="00E2585A"/>
    <w:rsid w:val="00E41970"/>
    <w:rsid w:val="00E46B07"/>
    <w:rsid w:val="00E46C6B"/>
    <w:rsid w:val="00E504C9"/>
    <w:rsid w:val="00E538E2"/>
    <w:rsid w:val="00E67565"/>
    <w:rsid w:val="00E74288"/>
    <w:rsid w:val="00E74C4A"/>
    <w:rsid w:val="00E8320F"/>
    <w:rsid w:val="00E912E2"/>
    <w:rsid w:val="00EC7B06"/>
    <w:rsid w:val="00EE093B"/>
    <w:rsid w:val="00EF3732"/>
    <w:rsid w:val="00F06A10"/>
    <w:rsid w:val="00F127E5"/>
    <w:rsid w:val="00F13736"/>
    <w:rsid w:val="00F1640F"/>
    <w:rsid w:val="00F17C54"/>
    <w:rsid w:val="00F41012"/>
    <w:rsid w:val="00F46638"/>
    <w:rsid w:val="00F47A4B"/>
    <w:rsid w:val="00F54CE3"/>
    <w:rsid w:val="00F54CF9"/>
    <w:rsid w:val="00F622CD"/>
    <w:rsid w:val="00F72484"/>
    <w:rsid w:val="00F73777"/>
    <w:rsid w:val="00F941DE"/>
    <w:rsid w:val="00F95225"/>
    <w:rsid w:val="00F9650D"/>
    <w:rsid w:val="00FA4504"/>
    <w:rsid w:val="00FA4E66"/>
    <w:rsid w:val="00FB4820"/>
    <w:rsid w:val="00FC08C8"/>
    <w:rsid w:val="00FD7578"/>
    <w:rsid w:val="00FE33B8"/>
    <w:rsid w:val="00FE448D"/>
    <w:rsid w:val="414F5CE3"/>
    <w:rsid w:val="456800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8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958EA"/>
    <w:pPr>
      <w:jc w:val="left"/>
    </w:pPr>
  </w:style>
  <w:style w:type="paragraph" w:styleId="a4">
    <w:name w:val="Balloon Text"/>
    <w:basedOn w:val="a"/>
    <w:link w:val="Char0"/>
    <w:uiPriority w:val="99"/>
    <w:semiHidden/>
    <w:unhideWhenUsed/>
    <w:qFormat/>
    <w:rsid w:val="000958EA"/>
    <w:rPr>
      <w:sz w:val="18"/>
      <w:szCs w:val="18"/>
    </w:rPr>
  </w:style>
  <w:style w:type="paragraph" w:styleId="a5">
    <w:name w:val="footer"/>
    <w:basedOn w:val="a"/>
    <w:link w:val="Char1"/>
    <w:uiPriority w:val="99"/>
    <w:unhideWhenUsed/>
    <w:qFormat/>
    <w:rsid w:val="000958EA"/>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0958E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0958EA"/>
    <w:rPr>
      <w:b/>
      <w:bCs/>
    </w:rPr>
  </w:style>
  <w:style w:type="character" w:styleId="a8">
    <w:name w:val="annotation reference"/>
    <w:basedOn w:val="a0"/>
    <w:uiPriority w:val="99"/>
    <w:semiHidden/>
    <w:unhideWhenUsed/>
    <w:qFormat/>
    <w:rsid w:val="000958EA"/>
    <w:rPr>
      <w:sz w:val="21"/>
      <w:szCs w:val="21"/>
    </w:rPr>
  </w:style>
  <w:style w:type="character" w:customStyle="1" w:styleId="Char2">
    <w:name w:val="页眉 Char"/>
    <w:basedOn w:val="a0"/>
    <w:link w:val="a6"/>
    <w:uiPriority w:val="99"/>
    <w:semiHidden/>
    <w:qFormat/>
    <w:rsid w:val="000958EA"/>
    <w:rPr>
      <w:sz w:val="18"/>
      <w:szCs w:val="18"/>
    </w:rPr>
  </w:style>
  <w:style w:type="character" w:customStyle="1" w:styleId="Char1">
    <w:name w:val="页脚 Char"/>
    <w:basedOn w:val="a0"/>
    <w:link w:val="a5"/>
    <w:uiPriority w:val="99"/>
    <w:qFormat/>
    <w:rsid w:val="000958EA"/>
    <w:rPr>
      <w:sz w:val="18"/>
      <w:szCs w:val="18"/>
    </w:rPr>
  </w:style>
  <w:style w:type="character" w:customStyle="1" w:styleId="Char0">
    <w:name w:val="批注框文本 Char"/>
    <w:basedOn w:val="a0"/>
    <w:link w:val="a4"/>
    <w:uiPriority w:val="99"/>
    <w:semiHidden/>
    <w:qFormat/>
    <w:rsid w:val="000958EA"/>
    <w:rPr>
      <w:sz w:val="18"/>
      <w:szCs w:val="18"/>
    </w:rPr>
  </w:style>
  <w:style w:type="character" w:customStyle="1" w:styleId="Char">
    <w:name w:val="批注文字 Char"/>
    <w:basedOn w:val="a0"/>
    <w:link w:val="a3"/>
    <w:uiPriority w:val="99"/>
    <w:semiHidden/>
    <w:qFormat/>
    <w:rsid w:val="000958EA"/>
  </w:style>
  <w:style w:type="character" w:customStyle="1" w:styleId="Char3">
    <w:name w:val="批注主题 Char"/>
    <w:basedOn w:val="Char"/>
    <w:link w:val="a7"/>
    <w:uiPriority w:val="99"/>
    <w:semiHidden/>
    <w:qFormat/>
    <w:rsid w:val="000958EA"/>
    <w:rPr>
      <w:b/>
      <w:bCs/>
    </w:rPr>
  </w:style>
</w:styles>
</file>

<file path=word/webSettings.xml><?xml version="1.0" encoding="utf-8"?>
<w:webSettings xmlns:r="http://schemas.openxmlformats.org/officeDocument/2006/relationships" xmlns:w="http://schemas.openxmlformats.org/wordprocessingml/2006/main">
  <w:divs>
    <w:div w:id="29579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BA079-D7EA-47E9-A84A-D3964946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2023-02-06T08:28:00Z</cp:lastPrinted>
  <dcterms:created xsi:type="dcterms:W3CDTF">2023-02-08T03:57:00Z</dcterms:created>
  <dcterms:modified xsi:type="dcterms:W3CDTF">2023-02-16T09:33:00Z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1F1685A020004D6A9B6705819CB39187</vt:lpwstr>
  </property>
</Properties>
</file>