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CF5037">
      <w:pPr>
        <w:spacing w:line="560" w:lineRule="exact"/>
        <w:rPr>
          <w:rFonts w:eastAsia="方正大标宋简体"/>
          <w:b/>
          <w:bCs/>
          <w:sz w:val="44"/>
          <w:szCs w:val="44"/>
        </w:rPr>
      </w:pPr>
    </w:p>
    <w:p w14:paraId="5980A9BA">
      <w:pPr>
        <w:adjustRightInd w:val="0"/>
        <w:snapToGrid w:val="0"/>
        <w:spacing w:line="560" w:lineRule="exact"/>
        <w:jc w:val="center"/>
        <w:rPr>
          <w:rFonts w:eastAsia="方正大标宋简体"/>
          <w:sz w:val="44"/>
          <w:szCs w:val="44"/>
        </w:rPr>
      </w:pPr>
      <w:r>
        <w:rPr>
          <w:rFonts w:eastAsia="方正大标宋简体"/>
          <w:sz w:val="44"/>
          <w:szCs w:val="44"/>
        </w:rPr>
        <w:t>上海证券交易所公开募集</w:t>
      </w:r>
      <w:r>
        <w:rPr>
          <w:rFonts w:hint="default" w:eastAsia="方正大标宋简体"/>
          <w:sz w:val="44"/>
          <w:szCs w:val="44"/>
        </w:rPr>
        <w:t>不动产投资信托</w:t>
      </w:r>
      <w:r>
        <w:rPr>
          <w:rFonts w:eastAsia="方正大标宋简体"/>
          <w:sz w:val="44"/>
          <w:szCs w:val="44"/>
        </w:rPr>
        <w:t>基金（REITs）规则适用指引第7号</w:t>
      </w:r>
    </w:p>
    <w:p w14:paraId="37FC175E">
      <w:pPr>
        <w:adjustRightInd w:val="0"/>
        <w:snapToGrid w:val="0"/>
        <w:spacing w:line="560" w:lineRule="exact"/>
        <w:jc w:val="center"/>
        <w:rPr>
          <w:rFonts w:eastAsia="方正大标宋简体"/>
          <w:sz w:val="44"/>
          <w:szCs w:val="44"/>
        </w:rPr>
      </w:pPr>
      <w:r>
        <w:rPr>
          <w:rFonts w:eastAsia="方正大标宋简体"/>
          <w:sz w:val="44"/>
          <w:szCs w:val="44"/>
        </w:rPr>
        <w:t>——中期报告和季度报告（试行）</w:t>
      </w:r>
    </w:p>
    <w:p w14:paraId="5D193FF9">
      <w:pPr>
        <w:spacing w:line="560" w:lineRule="exact"/>
        <w:rPr>
          <w:rFonts w:eastAsia="黑体"/>
          <w:sz w:val="44"/>
          <w:szCs w:val="44"/>
        </w:rPr>
      </w:pPr>
    </w:p>
    <w:p w14:paraId="2CB81098">
      <w:pPr>
        <w:spacing w:line="560" w:lineRule="exact"/>
        <w:jc w:val="center"/>
        <w:rPr>
          <w:rFonts w:eastAsia="黑体"/>
          <w:sz w:val="32"/>
          <w:szCs w:val="32"/>
        </w:rPr>
      </w:pPr>
      <w:r>
        <w:rPr>
          <w:rFonts w:eastAsia="黑体"/>
          <w:sz w:val="32"/>
          <w:szCs w:val="32"/>
        </w:rPr>
        <w:t>第一章 总</w:t>
      </w:r>
      <w:r>
        <w:rPr>
          <w:rFonts w:hint="default" w:eastAsia="黑体"/>
          <w:sz w:val="32"/>
          <w:szCs w:val="32"/>
          <w:lang w:eastAsia="zh"/>
        </w:rPr>
        <w:t xml:space="preserve"> </w:t>
      </w:r>
      <w:r>
        <w:rPr>
          <w:rFonts w:eastAsia="黑体"/>
          <w:sz w:val="32"/>
          <w:szCs w:val="32"/>
        </w:rPr>
        <w:t>则</w:t>
      </w:r>
    </w:p>
    <w:p w14:paraId="2C616898">
      <w:pPr>
        <w:spacing w:line="560" w:lineRule="exact"/>
        <w:ind w:firstLine="643" w:firstLineChars="200"/>
        <w:rPr>
          <w:rFonts w:eastAsia="仿宋_GB2312"/>
          <w:kern w:val="0"/>
          <w:sz w:val="32"/>
          <w:szCs w:val="32"/>
        </w:rPr>
      </w:pPr>
      <w:r>
        <w:rPr>
          <w:rFonts w:eastAsia="仿宋_GB2312"/>
          <w:b/>
          <w:bCs/>
          <w:color w:val="000000"/>
          <w:kern w:val="0"/>
          <w:sz w:val="32"/>
          <w:szCs w:val="32"/>
        </w:rPr>
        <w:t>第一条</w:t>
      </w:r>
      <w:r>
        <w:rPr>
          <w:rFonts w:eastAsia="仿宋_GB2312"/>
          <w:b/>
          <w:kern w:val="0"/>
          <w:sz w:val="32"/>
          <w:szCs w:val="32"/>
        </w:rPr>
        <w:t xml:space="preserve"> </w:t>
      </w:r>
      <w:r>
        <w:rPr>
          <w:rFonts w:eastAsia="仿宋_GB2312"/>
          <w:kern w:val="0"/>
          <w:sz w:val="32"/>
          <w:szCs w:val="32"/>
        </w:rPr>
        <w:t>为了规范公开募集不动产投资信托基金（以下简称不动产基金）的中期报告和季度报告信息披露，保护投资者合法权益，根据《上海证券交易所公开募集不动产投资信托基金（REITs）业务办法（试行）》（以下简称《</w:t>
      </w:r>
      <w:r>
        <w:rPr>
          <w:rFonts w:hint="default" w:eastAsia="仿宋_GB2312"/>
          <w:kern w:val="0"/>
          <w:sz w:val="32"/>
          <w:szCs w:val="32"/>
        </w:rPr>
        <w:t>不动产</w:t>
      </w:r>
      <w:r>
        <w:rPr>
          <w:rFonts w:eastAsia="仿宋_GB2312"/>
          <w:kern w:val="0"/>
          <w:sz w:val="32"/>
          <w:szCs w:val="32"/>
        </w:rPr>
        <w:t>基金业务办法》）等规定，制定本指引。</w:t>
      </w:r>
    </w:p>
    <w:p w14:paraId="2FF64CBC">
      <w:pPr>
        <w:spacing w:line="560" w:lineRule="exact"/>
        <w:ind w:firstLine="643" w:firstLineChars="200"/>
        <w:rPr>
          <w:rFonts w:eastAsia="仿宋_GB2312"/>
          <w:kern w:val="0"/>
          <w:sz w:val="32"/>
          <w:szCs w:val="32"/>
        </w:rPr>
      </w:pPr>
      <w:r>
        <w:rPr>
          <w:rFonts w:eastAsia="仿宋_GB2312"/>
          <w:b/>
          <w:bCs/>
          <w:color w:val="000000"/>
          <w:kern w:val="0"/>
          <w:sz w:val="32"/>
          <w:szCs w:val="32"/>
        </w:rPr>
        <w:t>第二条</w:t>
      </w:r>
      <w:r>
        <w:rPr>
          <w:rFonts w:eastAsia="仿宋_GB2312"/>
          <w:b/>
          <w:kern w:val="0"/>
          <w:sz w:val="32"/>
          <w:szCs w:val="32"/>
        </w:rPr>
        <w:t xml:space="preserve"> </w:t>
      </w:r>
      <w:r>
        <w:rPr>
          <w:rFonts w:eastAsia="仿宋_GB2312"/>
          <w:bCs/>
          <w:kern w:val="0"/>
          <w:sz w:val="32"/>
          <w:szCs w:val="32"/>
        </w:rPr>
        <w:t>不动产基金在上海证券交易所（以下简称本所）上市交易期间的中期报告和季度报告信息披露事宜</w:t>
      </w:r>
      <w:r>
        <w:rPr>
          <w:rFonts w:hint="default" w:eastAsia="仿宋_GB2312"/>
          <w:bCs/>
          <w:kern w:val="0"/>
          <w:sz w:val="32"/>
          <w:szCs w:val="32"/>
          <w:lang w:eastAsia="zh-CN"/>
        </w:rPr>
        <w:t>适用本指引</w:t>
      </w:r>
      <w:r>
        <w:rPr>
          <w:rFonts w:eastAsia="仿宋_GB2312"/>
          <w:bCs/>
          <w:kern w:val="0"/>
          <w:sz w:val="32"/>
          <w:szCs w:val="32"/>
        </w:rPr>
        <w:t>。</w:t>
      </w:r>
      <w:r>
        <w:rPr>
          <w:rFonts w:eastAsia="仿宋_GB2312"/>
          <w:kern w:val="0"/>
          <w:sz w:val="32"/>
          <w:szCs w:val="32"/>
        </w:rPr>
        <w:t>本所其他业务规则对不动产基金中期报告和季度报告信息披露事宜另有规定的，从其规定。</w:t>
      </w:r>
    </w:p>
    <w:p w14:paraId="16EAA702">
      <w:pPr>
        <w:spacing w:line="560" w:lineRule="exact"/>
        <w:ind w:firstLine="643" w:firstLineChars="200"/>
        <w:rPr>
          <w:rFonts w:eastAsia="仿宋_GB2312"/>
          <w:kern w:val="0"/>
          <w:sz w:val="32"/>
          <w:szCs w:val="32"/>
        </w:rPr>
      </w:pPr>
      <w:r>
        <w:rPr>
          <w:rFonts w:eastAsia="仿宋_GB2312"/>
          <w:b/>
          <w:color w:val="000000"/>
          <w:kern w:val="0"/>
          <w:sz w:val="32"/>
          <w:szCs w:val="32"/>
        </w:rPr>
        <w:t>第三条</w:t>
      </w:r>
      <w:r>
        <w:rPr>
          <w:rFonts w:eastAsia="仿宋_GB2312"/>
          <w:b/>
          <w:bCs/>
          <w:kern w:val="0"/>
          <w:sz w:val="32"/>
          <w:szCs w:val="32"/>
        </w:rPr>
        <w:t xml:space="preserve"> </w:t>
      </w:r>
      <w:r>
        <w:rPr>
          <w:rFonts w:eastAsia="仿宋_GB2312"/>
          <w:kern w:val="0"/>
          <w:sz w:val="32"/>
          <w:szCs w:val="32"/>
        </w:rPr>
        <w:t>基金管理人</w:t>
      </w:r>
      <w:r>
        <w:rPr>
          <w:rFonts w:eastAsia="仿宋_GB2312"/>
          <w:sz w:val="32"/>
          <w:szCs w:val="32"/>
        </w:rPr>
        <w:t>、基金托管人等信息披露义务人</w:t>
      </w:r>
      <w:r>
        <w:rPr>
          <w:rFonts w:eastAsia="仿宋_GB2312"/>
          <w:kern w:val="0"/>
          <w:sz w:val="32"/>
          <w:szCs w:val="32"/>
        </w:rPr>
        <w:t>应当按照法律、行政法规、部门规章、规范性文件（以下统称法律法规）、本指引</w:t>
      </w:r>
      <w:r>
        <w:rPr>
          <w:rFonts w:hint="default" w:eastAsia="仿宋_GB2312"/>
          <w:kern w:val="0"/>
          <w:sz w:val="32"/>
          <w:szCs w:val="32"/>
          <w:lang w:eastAsia="zh-CN"/>
        </w:rPr>
        <w:t>、</w:t>
      </w:r>
      <w:r>
        <w:rPr>
          <w:rFonts w:eastAsia="仿宋_GB2312"/>
          <w:kern w:val="0"/>
          <w:sz w:val="32"/>
          <w:szCs w:val="32"/>
        </w:rPr>
        <w:t>本所其他业务规则的规定，以及基金法律文件的约定和相关承诺，及时、公平地披露中期报告和季度报告，所披露的信息应当真实、准确、完整、简明清晰、通俗易懂，不存在虚假记载、误导性陈述或者重大遗漏。</w:t>
      </w:r>
    </w:p>
    <w:p w14:paraId="4315C1FB">
      <w:pPr>
        <w:spacing w:line="560" w:lineRule="exact"/>
        <w:ind w:firstLine="643" w:firstLineChars="200"/>
        <w:rPr>
          <w:rFonts w:eastAsia="仿宋_GB2312"/>
          <w:kern w:val="0"/>
          <w:sz w:val="32"/>
          <w:szCs w:val="32"/>
        </w:rPr>
      </w:pPr>
      <w:r>
        <w:rPr>
          <w:rFonts w:eastAsia="仿宋_GB2312"/>
          <w:b/>
          <w:bCs/>
          <w:color w:val="000000"/>
          <w:kern w:val="0"/>
          <w:sz w:val="32"/>
          <w:szCs w:val="32"/>
        </w:rPr>
        <w:t>第四条</w:t>
      </w:r>
      <w:r>
        <w:rPr>
          <w:rFonts w:eastAsia="仿宋_GB2312"/>
          <w:b/>
          <w:kern w:val="0"/>
          <w:sz w:val="32"/>
          <w:szCs w:val="32"/>
        </w:rPr>
        <w:t xml:space="preserve"> </w:t>
      </w:r>
      <w:r>
        <w:rPr>
          <w:rFonts w:eastAsia="仿宋_GB2312"/>
          <w:bCs/>
          <w:kern w:val="0"/>
          <w:sz w:val="32"/>
          <w:szCs w:val="32"/>
        </w:rPr>
        <w:t>为</w:t>
      </w:r>
      <w:r>
        <w:rPr>
          <w:rFonts w:eastAsia="仿宋_GB2312"/>
          <w:kern w:val="0"/>
          <w:sz w:val="32"/>
          <w:szCs w:val="32"/>
        </w:rPr>
        <w:t>不动产基金</w:t>
      </w:r>
      <w:r>
        <w:rPr>
          <w:rFonts w:eastAsia="仿宋_GB2312"/>
          <w:bCs/>
          <w:kern w:val="0"/>
          <w:sz w:val="32"/>
          <w:szCs w:val="32"/>
        </w:rPr>
        <w:t>信息披露提供服务的</w:t>
      </w:r>
      <w:r>
        <w:rPr>
          <w:rFonts w:eastAsia="仿宋_GB2312"/>
          <w:sz w:val="32"/>
          <w:szCs w:val="32"/>
        </w:rPr>
        <w:t>财务顾问</w:t>
      </w:r>
      <w:r>
        <w:rPr>
          <w:rFonts w:hint="default" w:eastAsia="仿宋_GB2312"/>
          <w:sz w:val="32"/>
          <w:szCs w:val="32"/>
          <w:lang w:eastAsia="zh-CN"/>
        </w:rPr>
        <w:t>、</w:t>
      </w:r>
      <w:r>
        <w:rPr>
          <w:rFonts w:eastAsia="仿宋_GB2312"/>
          <w:sz w:val="32"/>
          <w:szCs w:val="32"/>
        </w:rPr>
        <w:t>会计师事务所、律师事务所、资产评估机构等专业</w:t>
      </w:r>
      <w:r>
        <w:rPr>
          <w:rFonts w:eastAsia="仿宋_GB2312"/>
          <w:kern w:val="0"/>
          <w:sz w:val="32"/>
          <w:szCs w:val="32"/>
        </w:rPr>
        <w:t>机构及其人员，应当勤勉尽责，严格遵守执业规范</w:t>
      </w:r>
      <w:r>
        <w:rPr>
          <w:rFonts w:hint="default" w:eastAsia="仿宋_GB2312"/>
          <w:kern w:val="0"/>
          <w:sz w:val="32"/>
          <w:szCs w:val="32"/>
          <w:lang w:eastAsia="zh-CN"/>
        </w:rPr>
        <w:t>和监管规则</w:t>
      </w:r>
      <w:r>
        <w:rPr>
          <w:rFonts w:eastAsia="仿宋_GB2312"/>
          <w:kern w:val="0"/>
          <w:sz w:val="32"/>
          <w:szCs w:val="32"/>
        </w:rPr>
        <w:t>，按照规定和约定履行义务，保证出具的文件和专业意见及时、真实、准确、完整，不存在虚假记载、误导性陈述或者重大遗漏。</w:t>
      </w:r>
    </w:p>
    <w:p w14:paraId="34BF9440">
      <w:pPr>
        <w:spacing w:line="560" w:lineRule="exact"/>
        <w:ind w:firstLine="643" w:firstLineChars="200"/>
        <w:rPr>
          <w:rFonts w:eastAsia="仿宋_GB2312"/>
          <w:kern w:val="0"/>
          <w:sz w:val="32"/>
          <w:szCs w:val="32"/>
        </w:rPr>
      </w:pPr>
      <w:r>
        <w:rPr>
          <w:rFonts w:eastAsia="仿宋_GB2312"/>
          <w:b/>
          <w:kern w:val="0"/>
          <w:sz w:val="32"/>
          <w:szCs w:val="32"/>
        </w:rPr>
        <w:t xml:space="preserve">第五条 </w:t>
      </w:r>
      <w:r>
        <w:rPr>
          <w:rFonts w:eastAsia="仿宋_GB2312"/>
          <w:bCs/>
          <w:kern w:val="0"/>
          <w:sz w:val="32"/>
          <w:szCs w:val="32"/>
        </w:rPr>
        <w:t>运营管理机构、原始权益人、</w:t>
      </w:r>
      <w:r>
        <w:rPr>
          <w:rFonts w:eastAsia="仿宋_GB2312"/>
          <w:sz w:val="32"/>
          <w:szCs w:val="32"/>
        </w:rPr>
        <w:t>资产支持证券管理人、资产支持证券托管人、项目公司、专业机构等主体</w:t>
      </w:r>
      <w:r>
        <w:rPr>
          <w:rFonts w:eastAsia="仿宋_GB2312"/>
          <w:kern w:val="0"/>
          <w:sz w:val="32"/>
          <w:szCs w:val="32"/>
        </w:rPr>
        <w:t>及其人员应当积极配合信息披露义务人履行信息披露义务，及时</w:t>
      </w:r>
      <w:r>
        <w:rPr>
          <w:rFonts w:hint="default" w:eastAsia="仿宋_GB2312"/>
          <w:kern w:val="0"/>
          <w:sz w:val="32"/>
          <w:szCs w:val="32"/>
          <w:lang w:eastAsia="zh-CN"/>
        </w:rPr>
        <w:t>主动</w:t>
      </w:r>
      <w:r>
        <w:rPr>
          <w:rFonts w:eastAsia="仿宋_GB2312"/>
          <w:kern w:val="0"/>
          <w:sz w:val="32"/>
          <w:szCs w:val="32"/>
        </w:rPr>
        <w:t>向信息披露义务人提供</w:t>
      </w:r>
      <w:r>
        <w:rPr>
          <w:rFonts w:hint="default" w:eastAsia="仿宋_GB2312"/>
          <w:kern w:val="0"/>
          <w:sz w:val="32"/>
          <w:szCs w:val="32"/>
          <w:lang w:eastAsia="zh-CN"/>
        </w:rPr>
        <w:t>相关</w:t>
      </w:r>
      <w:r>
        <w:rPr>
          <w:rFonts w:eastAsia="仿宋_GB2312"/>
          <w:kern w:val="0"/>
          <w:sz w:val="32"/>
          <w:szCs w:val="32"/>
        </w:rPr>
        <w:t>信息，并确保提供的信息真实、准确、完整。</w:t>
      </w:r>
    </w:p>
    <w:p w14:paraId="34A71B77">
      <w:pPr>
        <w:spacing w:line="560" w:lineRule="exact"/>
        <w:ind w:firstLine="640" w:firstLineChars="200"/>
        <w:rPr>
          <w:rFonts w:eastAsia="仿宋_GB2312"/>
          <w:sz w:val="32"/>
          <w:szCs w:val="32"/>
        </w:rPr>
      </w:pPr>
      <w:r>
        <w:rPr>
          <w:rFonts w:hint="default" w:eastAsia="仿宋_GB2312"/>
          <w:sz w:val="32"/>
          <w:szCs w:val="32"/>
          <w:lang w:eastAsia="zh-CN"/>
        </w:rPr>
        <w:t>运营管理机构</w:t>
      </w:r>
      <w:r>
        <w:rPr>
          <w:rFonts w:eastAsia="仿宋_GB2312"/>
          <w:sz w:val="32"/>
          <w:szCs w:val="32"/>
        </w:rPr>
        <w:t>应当建立内幕信息管理规范，包括内幕信息知情人范围、保密责任、未公开信息的保密措施等，严格履行内幕信息保密义务。</w:t>
      </w:r>
    </w:p>
    <w:p w14:paraId="09D57143">
      <w:pPr>
        <w:spacing w:line="560" w:lineRule="exact"/>
        <w:ind w:firstLine="640" w:firstLineChars="200"/>
        <w:rPr>
          <w:rFonts w:eastAsia="仿宋_GB2312"/>
          <w:sz w:val="32"/>
          <w:szCs w:val="32"/>
        </w:rPr>
      </w:pPr>
      <w:r>
        <w:rPr>
          <w:rFonts w:eastAsia="仿宋_GB2312"/>
          <w:sz w:val="32"/>
          <w:szCs w:val="32"/>
        </w:rPr>
        <w:t>运营管理机构应当勤勉履行职责，持续关注不动产项目的运营情况，同时对披露事项进行确认。对中期报告和季度报告披露内容存在异议的，应当告知基金管理人，基金管理人应当在中期报告和季度报告中披露异议内容及其理由。</w:t>
      </w:r>
    </w:p>
    <w:p w14:paraId="5C66C053">
      <w:pPr>
        <w:spacing w:line="560" w:lineRule="exact"/>
        <w:ind w:firstLine="640" w:firstLineChars="200"/>
        <w:rPr>
          <w:rFonts w:eastAsia="仿宋_GB2312"/>
          <w:sz w:val="32"/>
          <w:szCs w:val="32"/>
        </w:rPr>
      </w:pPr>
      <w:r>
        <w:rPr>
          <w:rFonts w:eastAsia="仿宋_GB2312"/>
          <w:kern w:val="0"/>
          <w:sz w:val="32"/>
          <w:szCs w:val="32"/>
        </w:rPr>
        <w:t>信息披露义务人之间应当加强沟通协调，互相配合履行信息披露义务，并确保提供的信息</w:t>
      </w:r>
      <w:r>
        <w:rPr>
          <w:rFonts w:hint="default" w:eastAsia="仿宋_GB2312"/>
          <w:kern w:val="0"/>
          <w:sz w:val="32"/>
          <w:szCs w:val="32"/>
          <w:lang w:eastAsia="zh-CN"/>
        </w:rPr>
        <w:t>及时、</w:t>
      </w:r>
      <w:r>
        <w:rPr>
          <w:rFonts w:eastAsia="仿宋_GB2312"/>
          <w:kern w:val="0"/>
          <w:sz w:val="32"/>
          <w:szCs w:val="32"/>
        </w:rPr>
        <w:t>真实、准确、完整。</w:t>
      </w:r>
    </w:p>
    <w:p w14:paraId="6CED17B3">
      <w:pPr>
        <w:pStyle w:val="2"/>
        <w:spacing w:line="560" w:lineRule="exact"/>
        <w:ind w:firstLine="643"/>
        <w:rPr>
          <w:rFonts w:ascii="Times New Roman"/>
          <w:sz w:val="32"/>
          <w:szCs w:val="32"/>
        </w:rPr>
      </w:pPr>
      <w:r>
        <w:rPr>
          <w:rFonts w:ascii="Times New Roman"/>
          <w:b/>
          <w:bCs/>
          <w:sz w:val="32"/>
          <w:szCs w:val="32"/>
        </w:rPr>
        <w:t xml:space="preserve">第六条 </w:t>
      </w:r>
      <w:r>
        <w:rPr>
          <w:rFonts w:ascii="Times New Roman"/>
          <w:sz w:val="32"/>
          <w:szCs w:val="32"/>
        </w:rPr>
        <w:t>本指引的规定是对不动产基金中期报告和季度报告信息披露的最低要求。报告期内对不动产基金收益分配、资产净值、交易价格等基金份额持有人权益有重大影响的事项</w:t>
      </w:r>
      <w:r>
        <w:rPr>
          <w:rFonts w:hint="default" w:ascii="Times New Roman"/>
          <w:sz w:val="32"/>
          <w:szCs w:val="32"/>
          <w:lang w:eastAsia="zh-CN"/>
        </w:rPr>
        <w:t>和</w:t>
      </w:r>
      <w:r>
        <w:rPr>
          <w:rFonts w:ascii="Times New Roman"/>
          <w:sz w:val="32"/>
          <w:szCs w:val="32"/>
        </w:rPr>
        <w:t>信息，信息披露义务人均应当在中期报告和季度报告中披露。</w:t>
      </w:r>
    </w:p>
    <w:p w14:paraId="5EB32F47">
      <w:pPr>
        <w:spacing w:line="560" w:lineRule="exact"/>
        <w:ind w:firstLine="643" w:firstLineChars="200"/>
        <w:rPr>
          <w:rFonts w:eastAsia="仿宋_GB2312"/>
          <w:sz w:val="32"/>
          <w:szCs w:val="32"/>
        </w:rPr>
      </w:pPr>
      <w:r>
        <w:rPr>
          <w:rFonts w:eastAsia="仿宋_GB2312"/>
          <w:b/>
          <w:kern w:val="0"/>
          <w:sz w:val="32"/>
          <w:szCs w:val="32"/>
        </w:rPr>
        <w:t xml:space="preserve">第七条 </w:t>
      </w:r>
      <w:r>
        <w:rPr>
          <w:rFonts w:eastAsia="仿宋_GB2312"/>
          <w:sz w:val="32"/>
          <w:szCs w:val="32"/>
        </w:rPr>
        <w:t>本所按照法律法规、本所</w:t>
      </w:r>
      <w:r>
        <w:rPr>
          <w:rFonts w:hint="default" w:eastAsia="仿宋_GB2312"/>
          <w:sz w:val="32"/>
          <w:szCs w:val="32"/>
          <w:lang w:eastAsia="zh-CN"/>
        </w:rPr>
        <w:t>有关</w:t>
      </w:r>
      <w:r>
        <w:rPr>
          <w:rFonts w:eastAsia="仿宋_GB2312"/>
          <w:sz w:val="32"/>
          <w:szCs w:val="32"/>
        </w:rPr>
        <w:t>规定、上市（挂牌）协议、</w:t>
      </w:r>
      <w:r>
        <w:rPr>
          <w:rFonts w:hint="default" w:eastAsia="仿宋_GB2312"/>
          <w:sz w:val="32"/>
          <w:szCs w:val="32"/>
          <w:lang w:eastAsia="zh-CN"/>
        </w:rPr>
        <w:t>有关</w:t>
      </w:r>
      <w:r>
        <w:rPr>
          <w:rFonts w:eastAsia="仿宋_GB2312"/>
          <w:sz w:val="32"/>
          <w:szCs w:val="32"/>
        </w:rPr>
        <w:t>约定以及承诺，对</w:t>
      </w:r>
      <w:r>
        <w:rPr>
          <w:rFonts w:hint="default" w:eastAsia="仿宋_GB2312"/>
          <w:sz w:val="32"/>
          <w:szCs w:val="32"/>
          <w:lang w:eastAsia="zh-CN"/>
        </w:rPr>
        <w:t>基金管理人、基金托管人</w:t>
      </w:r>
      <w:r>
        <w:rPr>
          <w:rFonts w:eastAsia="仿宋_GB2312"/>
          <w:sz w:val="32"/>
          <w:szCs w:val="32"/>
        </w:rPr>
        <w:t>、原始权益人、运营管理机构、资产支持证券管理人、资产支持证券托管人、项目公司、专业机构和投资者</w:t>
      </w:r>
      <w:r>
        <w:rPr>
          <w:rFonts w:hint="default" w:eastAsia="仿宋_GB2312"/>
          <w:sz w:val="32"/>
          <w:szCs w:val="32"/>
          <w:lang w:eastAsia="zh-CN"/>
        </w:rPr>
        <w:t>等主体</w:t>
      </w:r>
      <w:r>
        <w:rPr>
          <w:rFonts w:eastAsia="仿宋_GB2312"/>
          <w:sz w:val="32"/>
          <w:szCs w:val="32"/>
        </w:rPr>
        <w:t>（以下统称</w:t>
      </w:r>
      <w:r>
        <w:rPr>
          <w:rFonts w:eastAsia="仿宋_GB2312"/>
          <w:color w:val="000000"/>
          <w:kern w:val="0"/>
          <w:sz w:val="32"/>
          <w:szCs w:val="32"/>
        </w:rPr>
        <w:t>不动产基金业务参与人</w:t>
      </w:r>
      <w:r>
        <w:rPr>
          <w:rFonts w:eastAsia="仿宋_GB2312"/>
          <w:sz w:val="32"/>
          <w:szCs w:val="32"/>
        </w:rPr>
        <w:t>）及其</w:t>
      </w:r>
      <w:r>
        <w:rPr>
          <w:rFonts w:hint="default" w:eastAsia="仿宋_GB2312"/>
          <w:sz w:val="32"/>
          <w:szCs w:val="32"/>
          <w:lang w:eastAsia="zh-CN"/>
        </w:rPr>
        <w:t>有关</w:t>
      </w:r>
      <w:r>
        <w:rPr>
          <w:rFonts w:eastAsia="仿宋_GB2312"/>
          <w:sz w:val="32"/>
          <w:szCs w:val="32"/>
        </w:rPr>
        <w:t>人员实施自律管理。</w:t>
      </w:r>
    </w:p>
    <w:p w14:paraId="2687128A">
      <w:pPr>
        <w:spacing w:line="560" w:lineRule="exact"/>
        <w:jc w:val="center"/>
        <w:rPr>
          <w:rFonts w:eastAsia="黑体"/>
          <w:sz w:val="32"/>
          <w:szCs w:val="32"/>
        </w:rPr>
      </w:pPr>
      <w:r>
        <w:rPr>
          <w:rFonts w:eastAsia="黑体"/>
          <w:sz w:val="32"/>
          <w:szCs w:val="32"/>
        </w:rPr>
        <w:t>第二章 中期报告和季度报告内容</w:t>
      </w:r>
    </w:p>
    <w:p w14:paraId="26DF077C">
      <w:pPr>
        <w:spacing w:line="560" w:lineRule="exact"/>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第一节 不动产基金运作情况</w:t>
      </w:r>
    </w:p>
    <w:p w14:paraId="552EE13C">
      <w:pPr>
        <w:tabs>
          <w:tab w:val="left" w:pos="1701"/>
        </w:tabs>
        <w:spacing w:line="560" w:lineRule="exact"/>
        <w:ind w:firstLine="643" w:firstLineChars="200"/>
        <w:rPr>
          <w:rFonts w:eastAsia="仿宋_GB2312"/>
          <w:b/>
          <w:kern w:val="0"/>
          <w:sz w:val="32"/>
          <w:szCs w:val="32"/>
        </w:rPr>
      </w:pPr>
      <w:r>
        <w:rPr>
          <w:rFonts w:eastAsia="仿宋_GB2312"/>
          <w:b/>
          <w:kern w:val="0"/>
          <w:sz w:val="32"/>
          <w:szCs w:val="32"/>
        </w:rPr>
        <w:t xml:space="preserve">第八条 </w:t>
      </w:r>
      <w:r>
        <w:rPr>
          <w:rFonts w:eastAsia="仿宋_GB2312"/>
          <w:bCs/>
          <w:kern w:val="0"/>
          <w:sz w:val="32"/>
          <w:szCs w:val="32"/>
        </w:rPr>
        <w:t>中期报告和季度报告中披露的相关信息可能对不动产基金收益分配、资产净值、交易价格等基金份额持有人权益产生重大不利影响的，</w:t>
      </w:r>
      <w:r>
        <w:rPr>
          <w:rFonts w:eastAsia="仿宋_GB2312"/>
          <w:kern w:val="0"/>
          <w:sz w:val="32"/>
          <w:szCs w:val="32"/>
        </w:rPr>
        <w:t>基金管理人应当在</w:t>
      </w:r>
      <w:r>
        <w:rPr>
          <w:rFonts w:hint="default" w:ascii="Times New Roman" w:hAnsi="Times New Roman" w:eastAsia="仿宋_GB2312" w:cs="Times New Roman"/>
          <w:kern w:val="0"/>
          <w:sz w:val="32"/>
          <w:szCs w:val="32"/>
        </w:rPr>
        <w:t>“重要提示”</w:t>
      </w:r>
      <w:r>
        <w:rPr>
          <w:rFonts w:eastAsia="仿宋_GB2312"/>
          <w:kern w:val="0"/>
          <w:sz w:val="32"/>
          <w:szCs w:val="32"/>
        </w:rPr>
        <w:t>中说明相关信息产生的重大不利影响并向投资者提示风险。</w:t>
      </w:r>
    </w:p>
    <w:p w14:paraId="028395B0">
      <w:pPr>
        <w:tabs>
          <w:tab w:val="left" w:pos="1701"/>
        </w:tabs>
        <w:spacing w:line="560" w:lineRule="exact"/>
        <w:ind w:firstLine="643" w:firstLineChars="200"/>
        <w:rPr>
          <w:rFonts w:eastAsia="仿宋_GB2312"/>
          <w:kern w:val="0"/>
          <w:sz w:val="32"/>
          <w:szCs w:val="32"/>
        </w:rPr>
      </w:pPr>
      <w:r>
        <w:rPr>
          <w:rFonts w:eastAsia="仿宋_GB2312"/>
          <w:b/>
          <w:kern w:val="0"/>
          <w:sz w:val="32"/>
          <w:szCs w:val="32"/>
        </w:rPr>
        <w:t xml:space="preserve">第九条 </w:t>
      </w:r>
      <w:r>
        <w:rPr>
          <w:rFonts w:eastAsia="仿宋_GB2312"/>
          <w:kern w:val="0"/>
          <w:sz w:val="32"/>
          <w:szCs w:val="32"/>
        </w:rPr>
        <w:t>基金管理人应当在中期报告和季度报告中披露下列不动产基金产品概况信息：</w:t>
      </w:r>
    </w:p>
    <w:p w14:paraId="0D124114">
      <w:pPr>
        <w:tabs>
          <w:tab w:val="left" w:pos="1701"/>
        </w:tabs>
        <w:spacing w:line="560" w:lineRule="exact"/>
        <w:ind w:firstLine="640" w:firstLineChars="200"/>
        <w:rPr>
          <w:rFonts w:eastAsia="仿宋_GB2312"/>
          <w:kern w:val="0"/>
          <w:sz w:val="32"/>
          <w:szCs w:val="32"/>
        </w:rPr>
      </w:pPr>
      <w:r>
        <w:rPr>
          <w:rFonts w:eastAsia="仿宋_GB2312"/>
          <w:kern w:val="0"/>
          <w:sz w:val="32"/>
          <w:szCs w:val="32"/>
        </w:rPr>
        <w:t>（一）不动产基金名称、不动产基金简称、场内简称、不动产基金代码、交易代码、不动产基金运作方式、不动产基金合同生效日；</w:t>
      </w:r>
    </w:p>
    <w:p w14:paraId="10576254">
      <w:pPr>
        <w:tabs>
          <w:tab w:val="left" w:pos="1701"/>
        </w:tabs>
        <w:spacing w:line="560" w:lineRule="exact"/>
        <w:ind w:firstLine="640" w:firstLineChars="200"/>
        <w:rPr>
          <w:rFonts w:eastAsia="仿宋_GB2312"/>
          <w:kern w:val="0"/>
          <w:sz w:val="32"/>
          <w:szCs w:val="32"/>
        </w:rPr>
      </w:pPr>
      <w:r>
        <w:rPr>
          <w:rFonts w:eastAsia="仿宋_GB2312"/>
          <w:kern w:val="0"/>
          <w:sz w:val="32"/>
          <w:szCs w:val="32"/>
        </w:rPr>
        <w:t>（二）基金管理人名称；</w:t>
      </w:r>
    </w:p>
    <w:p w14:paraId="0363F49F">
      <w:pPr>
        <w:tabs>
          <w:tab w:val="left" w:pos="1701"/>
        </w:tabs>
        <w:spacing w:line="560" w:lineRule="exact"/>
        <w:ind w:firstLine="640" w:firstLineChars="200"/>
        <w:rPr>
          <w:rFonts w:eastAsia="仿宋_GB2312"/>
          <w:kern w:val="0"/>
          <w:sz w:val="32"/>
          <w:szCs w:val="32"/>
        </w:rPr>
      </w:pPr>
      <w:r>
        <w:rPr>
          <w:rFonts w:eastAsia="仿宋_GB2312"/>
          <w:kern w:val="0"/>
          <w:sz w:val="32"/>
          <w:szCs w:val="32"/>
        </w:rPr>
        <w:t>（三）基金托管人名称；</w:t>
      </w:r>
    </w:p>
    <w:p w14:paraId="2CAC2043">
      <w:pPr>
        <w:tabs>
          <w:tab w:val="left" w:pos="1701"/>
        </w:tabs>
        <w:spacing w:line="560" w:lineRule="exact"/>
        <w:ind w:firstLine="640" w:firstLineChars="200"/>
        <w:rPr>
          <w:rFonts w:eastAsia="仿宋_GB2312"/>
          <w:kern w:val="0"/>
          <w:sz w:val="32"/>
          <w:szCs w:val="32"/>
        </w:rPr>
      </w:pPr>
      <w:r>
        <w:rPr>
          <w:rFonts w:eastAsia="仿宋_GB2312"/>
          <w:kern w:val="0"/>
          <w:sz w:val="32"/>
          <w:szCs w:val="32"/>
        </w:rPr>
        <w:t>（四）历次扩募时间以及金额（如有）；</w:t>
      </w:r>
    </w:p>
    <w:p w14:paraId="625E77C7">
      <w:pPr>
        <w:tabs>
          <w:tab w:val="left" w:pos="1701"/>
        </w:tabs>
        <w:spacing w:line="560" w:lineRule="exact"/>
        <w:ind w:firstLine="640" w:firstLineChars="200"/>
        <w:rPr>
          <w:rFonts w:eastAsia="仿宋_GB2312"/>
          <w:kern w:val="0"/>
          <w:sz w:val="32"/>
          <w:szCs w:val="32"/>
        </w:rPr>
      </w:pPr>
      <w:r>
        <w:rPr>
          <w:rFonts w:eastAsia="仿宋_GB2312"/>
          <w:kern w:val="0"/>
          <w:sz w:val="32"/>
          <w:szCs w:val="32"/>
        </w:rPr>
        <w:t>（五）报告期末不动产基金份额总额；</w:t>
      </w:r>
    </w:p>
    <w:p w14:paraId="5D25EFC9">
      <w:pPr>
        <w:tabs>
          <w:tab w:val="left" w:pos="1701"/>
        </w:tabs>
        <w:spacing w:line="560" w:lineRule="exact"/>
        <w:ind w:firstLine="640" w:firstLineChars="200"/>
        <w:rPr>
          <w:rFonts w:eastAsia="仿宋_GB2312"/>
          <w:kern w:val="0"/>
          <w:sz w:val="32"/>
          <w:szCs w:val="32"/>
        </w:rPr>
      </w:pPr>
      <w:r>
        <w:rPr>
          <w:rFonts w:eastAsia="仿宋_GB2312"/>
          <w:kern w:val="0"/>
          <w:sz w:val="32"/>
          <w:szCs w:val="32"/>
        </w:rPr>
        <w:t>（六）不动产基金合同存续期；</w:t>
      </w:r>
    </w:p>
    <w:p w14:paraId="136CD620">
      <w:pPr>
        <w:tabs>
          <w:tab w:val="left" w:pos="1701"/>
        </w:tabs>
        <w:spacing w:line="560" w:lineRule="exact"/>
        <w:ind w:firstLine="640" w:firstLineChars="200"/>
        <w:rPr>
          <w:rFonts w:eastAsia="仿宋_GB2312"/>
          <w:kern w:val="0"/>
          <w:sz w:val="32"/>
          <w:szCs w:val="32"/>
        </w:rPr>
      </w:pPr>
      <w:r>
        <w:rPr>
          <w:rFonts w:eastAsia="仿宋_GB2312"/>
          <w:kern w:val="0"/>
          <w:sz w:val="32"/>
          <w:szCs w:val="32"/>
        </w:rPr>
        <w:t>（七）不动产基金份额上市的证券交易所；</w:t>
      </w:r>
    </w:p>
    <w:p w14:paraId="515F56E0">
      <w:pPr>
        <w:tabs>
          <w:tab w:val="left" w:pos="1701"/>
        </w:tabs>
        <w:spacing w:line="560" w:lineRule="exact"/>
        <w:ind w:firstLine="640" w:firstLineChars="200"/>
        <w:rPr>
          <w:rFonts w:eastAsia="仿宋_GB2312"/>
          <w:kern w:val="0"/>
          <w:sz w:val="32"/>
          <w:szCs w:val="32"/>
        </w:rPr>
      </w:pPr>
      <w:r>
        <w:rPr>
          <w:rFonts w:eastAsia="仿宋_GB2312"/>
          <w:kern w:val="0"/>
          <w:sz w:val="32"/>
          <w:szCs w:val="32"/>
        </w:rPr>
        <w:t>（八）上市日期；</w:t>
      </w:r>
    </w:p>
    <w:p w14:paraId="5194B3A1">
      <w:pPr>
        <w:tabs>
          <w:tab w:val="left" w:pos="1701"/>
        </w:tabs>
        <w:spacing w:line="560" w:lineRule="exact"/>
        <w:ind w:firstLine="640" w:firstLineChars="200"/>
        <w:rPr>
          <w:rFonts w:eastAsia="仿宋_GB2312"/>
          <w:kern w:val="0"/>
          <w:sz w:val="32"/>
          <w:szCs w:val="32"/>
        </w:rPr>
      </w:pPr>
      <w:r>
        <w:rPr>
          <w:rFonts w:eastAsia="仿宋_GB2312"/>
          <w:kern w:val="0"/>
          <w:sz w:val="32"/>
          <w:szCs w:val="32"/>
        </w:rPr>
        <w:t>（九）投资目标；</w:t>
      </w:r>
    </w:p>
    <w:p w14:paraId="50BC02AD">
      <w:pPr>
        <w:tabs>
          <w:tab w:val="left" w:pos="1701"/>
        </w:tabs>
        <w:spacing w:line="560" w:lineRule="exact"/>
        <w:ind w:firstLine="640" w:firstLineChars="200"/>
        <w:rPr>
          <w:rFonts w:eastAsia="仿宋_GB2312"/>
          <w:kern w:val="0"/>
          <w:sz w:val="32"/>
          <w:szCs w:val="32"/>
        </w:rPr>
      </w:pPr>
      <w:r>
        <w:rPr>
          <w:rFonts w:eastAsia="仿宋_GB2312"/>
          <w:kern w:val="0"/>
          <w:sz w:val="32"/>
          <w:szCs w:val="32"/>
        </w:rPr>
        <w:t>（十）投资策略（如有）；</w:t>
      </w:r>
    </w:p>
    <w:p w14:paraId="690C0DDB">
      <w:pPr>
        <w:tabs>
          <w:tab w:val="left" w:pos="1701"/>
        </w:tabs>
        <w:spacing w:line="560" w:lineRule="exact"/>
        <w:ind w:firstLine="640" w:firstLineChars="200"/>
        <w:rPr>
          <w:rFonts w:eastAsia="仿宋_GB2312"/>
          <w:kern w:val="0"/>
          <w:sz w:val="32"/>
          <w:szCs w:val="32"/>
        </w:rPr>
      </w:pPr>
      <w:r>
        <w:rPr>
          <w:rFonts w:eastAsia="仿宋_GB2312"/>
          <w:kern w:val="0"/>
          <w:sz w:val="32"/>
          <w:szCs w:val="32"/>
        </w:rPr>
        <w:t>（十一）风险收益特征（如有）；</w:t>
      </w:r>
    </w:p>
    <w:p w14:paraId="0E7C85E5">
      <w:pPr>
        <w:tabs>
          <w:tab w:val="left" w:pos="1701"/>
        </w:tabs>
        <w:spacing w:line="560" w:lineRule="exact"/>
        <w:ind w:firstLine="640" w:firstLineChars="200"/>
        <w:rPr>
          <w:rFonts w:eastAsia="仿宋_GB2312"/>
          <w:kern w:val="0"/>
          <w:sz w:val="32"/>
          <w:szCs w:val="32"/>
        </w:rPr>
      </w:pPr>
      <w:r>
        <w:rPr>
          <w:rFonts w:eastAsia="仿宋_GB2312"/>
          <w:kern w:val="0"/>
          <w:sz w:val="32"/>
          <w:szCs w:val="32"/>
        </w:rPr>
        <w:t>（十</w:t>
      </w:r>
      <w:r>
        <w:rPr>
          <w:rFonts w:hint="default" w:eastAsia="仿宋_GB2312"/>
          <w:kern w:val="0"/>
          <w:sz w:val="32"/>
          <w:szCs w:val="32"/>
          <w:lang w:eastAsia="zh-CN"/>
        </w:rPr>
        <w:t>二</w:t>
      </w:r>
      <w:r>
        <w:rPr>
          <w:rFonts w:eastAsia="仿宋_GB2312"/>
          <w:kern w:val="0"/>
          <w:sz w:val="32"/>
          <w:szCs w:val="32"/>
        </w:rPr>
        <w:t>）不动产基金收益分配政策；</w:t>
      </w:r>
    </w:p>
    <w:p w14:paraId="5A2954EB">
      <w:pPr>
        <w:tabs>
          <w:tab w:val="left" w:pos="1701"/>
        </w:tabs>
        <w:spacing w:line="560" w:lineRule="exact"/>
        <w:ind w:firstLine="640" w:firstLineChars="200"/>
        <w:rPr>
          <w:rFonts w:eastAsia="仿宋_GB2312"/>
          <w:kern w:val="0"/>
          <w:sz w:val="32"/>
          <w:szCs w:val="32"/>
        </w:rPr>
      </w:pPr>
      <w:r>
        <w:rPr>
          <w:rFonts w:eastAsia="仿宋_GB2312"/>
          <w:kern w:val="0"/>
          <w:sz w:val="32"/>
          <w:szCs w:val="32"/>
        </w:rPr>
        <w:t>（十</w:t>
      </w:r>
      <w:r>
        <w:rPr>
          <w:rFonts w:hint="default" w:eastAsia="仿宋_GB2312"/>
          <w:kern w:val="0"/>
          <w:sz w:val="32"/>
          <w:szCs w:val="32"/>
          <w:lang w:eastAsia="zh-CN"/>
        </w:rPr>
        <w:t>三</w:t>
      </w:r>
      <w:r>
        <w:rPr>
          <w:rFonts w:eastAsia="仿宋_GB2312"/>
          <w:kern w:val="0"/>
          <w:sz w:val="32"/>
          <w:szCs w:val="32"/>
        </w:rPr>
        <w:t>）资产支持证券管理人名称；</w:t>
      </w:r>
    </w:p>
    <w:p w14:paraId="7EAB9415">
      <w:pPr>
        <w:tabs>
          <w:tab w:val="left" w:pos="1701"/>
        </w:tabs>
        <w:spacing w:line="560" w:lineRule="exact"/>
        <w:ind w:firstLine="640" w:firstLineChars="200"/>
        <w:rPr>
          <w:rFonts w:eastAsia="仿宋_GB2312"/>
          <w:kern w:val="0"/>
          <w:sz w:val="32"/>
          <w:szCs w:val="32"/>
        </w:rPr>
      </w:pPr>
      <w:r>
        <w:rPr>
          <w:rFonts w:eastAsia="仿宋_GB2312"/>
          <w:kern w:val="0"/>
          <w:sz w:val="32"/>
          <w:szCs w:val="32"/>
        </w:rPr>
        <w:t>（十</w:t>
      </w:r>
      <w:r>
        <w:rPr>
          <w:rFonts w:hint="default" w:eastAsia="仿宋_GB2312"/>
          <w:kern w:val="0"/>
          <w:sz w:val="32"/>
          <w:szCs w:val="32"/>
          <w:lang w:eastAsia="zh-CN"/>
        </w:rPr>
        <w:t>四</w:t>
      </w:r>
      <w:r>
        <w:rPr>
          <w:rFonts w:eastAsia="仿宋_GB2312"/>
          <w:kern w:val="0"/>
          <w:sz w:val="32"/>
          <w:szCs w:val="32"/>
        </w:rPr>
        <w:t>）运营管理机构名称；</w:t>
      </w:r>
    </w:p>
    <w:p w14:paraId="175CEC3B">
      <w:pPr>
        <w:tabs>
          <w:tab w:val="left" w:pos="1701"/>
        </w:tabs>
        <w:spacing w:line="560" w:lineRule="exact"/>
        <w:ind w:firstLine="640" w:firstLineChars="200"/>
        <w:rPr>
          <w:rFonts w:eastAsia="仿宋_GB2312"/>
          <w:kern w:val="0"/>
          <w:sz w:val="32"/>
          <w:szCs w:val="32"/>
        </w:rPr>
      </w:pPr>
      <w:r>
        <w:rPr>
          <w:rFonts w:eastAsia="仿宋_GB2312"/>
          <w:kern w:val="0"/>
          <w:sz w:val="32"/>
          <w:szCs w:val="32"/>
        </w:rPr>
        <w:t>（十</w:t>
      </w:r>
      <w:r>
        <w:rPr>
          <w:rFonts w:hint="default" w:eastAsia="仿宋_GB2312"/>
          <w:kern w:val="0"/>
          <w:sz w:val="32"/>
          <w:szCs w:val="32"/>
          <w:lang w:eastAsia="zh-CN"/>
        </w:rPr>
        <w:t>五</w:t>
      </w:r>
      <w:r>
        <w:rPr>
          <w:rFonts w:eastAsia="仿宋_GB2312"/>
          <w:kern w:val="0"/>
          <w:sz w:val="32"/>
          <w:szCs w:val="32"/>
        </w:rPr>
        <w:t>）基金管理人信息披露事务负责人姓名、职务、联系方式；</w:t>
      </w:r>
    </w:p>
    <w:p w14:paraId="62DF5DFC">
      <w:pPr>
        <w:tabs>
          <w:tab w:val="left" w:pos="1701"/>
        </w:tabs>
        <w:spacing w:line="560" w:lineRule="exact"/>
        <w:ind w:firstLine="640" w:firstLineChars="200"/>
        <w:rPr>
          <w:rFonts w:eastAsia="仿宋_GB2312"/>
          <w:kern w:val="0"/>
          <w:sz w:val="32"/>
          <w:szCs w:val="32"/>
        </w:rPr>
      </w:pPr>
      <w:r>
        <w:rPr>
          <w:rFonts w:eastAsia="仿宋_GB2312"/>
          <w:kern w:val="0"/>
          <w:sz w:val="32"/>
          <w:szCs w:val="32"/>
        </w:rPr>
        <w:t>（十</w:t>
      </w:r>
      <w:r>
        <w:rPr>
          <w:rFonts w:hint="default" w:eastAsia="仿宋_GB2312"/>
          <w:kern w:val="0"/>
          <w:sz w:val="32"/>
          <w:szCs w:val="32"/>
          <w:lang w:eastAsia="zh-CN"/>
        </w:rPr>
        <w:t>六</w:t>
      </w:r>
      <w:r>
        <w:rPr>
          <w:rFonts w:eastAsia="仿宋_GB2312"/>
          <w:kern w:val="0"/>
          <w:sz w:val="32"/>
          <w:szCs w:val="32"/>
        </w:rPr>
        <w:t>）运营管理机构信息披露事务负责人姓名、职务、联系方式；</w:t>
      </w:r>
    </w:p>
    <w:p w14:paraId="2E25827C">
      <w:pPr>
        <w:tabs>
          <w:tab w:val="left" w:pos="1701"/>
        </w:tabs>
        <w:spacing w:line="560" w:lineRule="exact"/>
        <w:ind w:firstLine="640" w:firstLineChars="200"/>
        <w:rPr>
          <w:rFonts w:eastAsia="仿宋_GB2312"/>
          <w:kern w:val="0"/>
          <w:sz w:val="32"/>
          <w:szCs w:val="32"/>
        </w:rPr>
      </w:pPr>
      <w:r>
        <w:rPr>
          <w:rFonts w:eastAsia="仿宋_GB2312"/>
          <w:kern w:val="0"/>
          <w:sz w:val="32"/>
          <w:szCs w:val="32"/>
        </w:rPr>
        <w:t>（十</w:t>
      </w:r>
      <w:r>
        <w:rPr>
          <w:rFonts w:hint="default" w:eastAsia="仿宋_GB2312"/>
          <w:kern w:val="0"/>
          <w:sz w:val="32"/>
          <w:szCs w:val="32"/>
          <w:lang w:eastAsia="zh-CN"/>
        </w:rPr>
        <w:t>七</w:t>
      </w:r>
      <w:r>
        <w:rPr>
          <w:rFonts w:eastAsia="仿宋_GB2312"/>
          <w:kern w:val="0"/>
          <w:sz w:val="32"/>
          <w:szCs w:val="32"/>
        </w:rPr>
        <w:t>）其他基金产品概况信息。</w:t>
      </w:r>
    </w:p>
    <w:p w14:paraId="700BA523">
      <w:pPr>
        <w:tabs>
          <w:tab w:val="left" w:pos="1701"/>
        </w:tabs>
        <w:spacing w:line="560" w:lineRule="exact"/>
        <w:ind w:firstLine="643" w:firstLineChars="200"/>
        <w:rPr>
          <w:rFonts w:eastAsia="仿宋_GB2312"/>
          <w:sz w:val="32"/>
          <w:szCs w:val="32"/>
        </w:rPr>
      </w:pPr>
      <w:r>
        <w:rPr>
          <w:rFonts w:eastAsia="仿宋_GB2312"/>
          <w:b/>
          <w:kern w:val="0"/>
          <w:sz w:val="32"/>
          <w:szCs w:val="32"/>
        </w:rPr>
        <w:t xml:space="preserve">第十条 </w:t>
      </w:r>
      <w:r>
        <w:rPr>
          <w:rFonts w:eastAsia="仿宋_GB2312"/>
          <w:sz w:val="32"/>
          <w:szCs w:val="32"/>
        </w:rPr>
        <w:t>基金管理人应当在中期报告和季度报告中披露当期主要会计数据和财务指标。</w:t>
      </w:r>
    </w:p>
    <w:p w14:paraId="09CB249B">
      <w:pPr>
        <w:tabs>
          <w:tab w:val="left" w:pos="1701"/>
        </w:tabs>
        <w:spacing w:line="560" w:lineRule="exact"/>
        <w:ind w:firstLine="640" w:firstLineChars="200"/>
        <w:rPr>
          <w:rFonts w:eastAsia="仿宋_GB2312"/>
          <w:sz w:val="32"/>
          <w:szCs w:val="32"/>
        </w:rPr>
      </w:pPr>
      <w:r>
        <w:rPr>
          <w:rFonts w:eastAsia="仿宋_GB2312"/>
          <w:sz w:val="32"/>
          <w:szCs w:val="32"/>
        </w:rPr>
        <w:t>中期报告的主要会计数据和财务指标包括</w:t>
      </w:r>
      <w:r>
        <w:rPr>
          <w:rFonts w:eastAsia="仿宋_GB2312"/>
          <w:kern w:val="0"/>
          <w:sz w:val="32"/>
          <w:szCs w:val="32"/>
        </w:rPr>
        <w:t>不动产基金</w:t>
      </w:r>
      <w:r>
        <w:rPr>
          <w:rFonts w:eastAsia="仿宋_GB2312"/>
          <w:sz w:val="32"/>
          <w:szCs w:val="32"/>
        </w:rPr>
        <w:t>报告期收入</w:t>
      </w:r>
      <w:r>
        <w:rPr>
          <w:rFonts w:eastAsia="仿宋_GB2312"/>
          <w:kern w:val="0"/>
          <w:sz w:val="32"/>
          <w:szCs w:val="32"/>
        </w:rPr>
        <w:t>、报告期净利润、报告期</w:t>
      </w:r>
      <w:r>
        <w:rPr>
          <w:rFonts w:eastAsia="仿宋_GB2312"/>
          <w:sz w:val="32"/>
          <w:szCs w:val="32"/>
        </w:rPr>
        <w:t>经营活动产生的现金流量净额、期末</w:t>
      </w:r>
      <w:r>
        <w:rPr>
          <w:rFonts w:eastAsia="仿宋_GB2312"/>
          <w:kern w:val="0"/>
          <w:sz w:val="32"/>
          <w:szCs w:val="32"/>
        </w:rPr>
        <w:t>不动产基金</w:t>
      </w:r>
      <w:r>
        <w:rPr>
          <w:rFonts w:eastAsia="仿宋_GB2312"/>
          <w:sz w:val="32"/>
          <w:szCs w:val="32"/>
        </w:rPr>
        <w:t>总资产、期末</w:t>
      </w:r>
      <w:r>
        <w:rPr>
          <w:rFonts w:eastAsia="仿宋_GB2312"/>
          <w:kern w:val="0"/>
          <w:sz w:val="32"/>
          <w:szCs w:val="32"/>
        </w:rPr>
        <w:t>不动产基金</w:t>
      </w:r>
      <w:r>
        <w:rPr>
          <w:rFonts w:eastAsia="仿宋_GB2312"/>
          <w:sz w:val="32"/>
          <w:szCs w:val="32"/>
        </w:rPr>
        <w:t>净资产、</w:t>
      </w:r>
      <w:r>
        <w:rPr>
          <w:rFonts w:eastAsia="仿宋_GB2312"/>
          <w:kern w:val="0"/>
          <w:sz w:val="32"/>
          <w:szCs w:val="32"/>
        </w:rPr>
        <w:t>不动产基金</w:t>
      </w:r>
      <w:r>
        <w:rPr>
          <w:rFonts w:eastAsia="仿宋_GB2312"/>
          <w:sz w:val="32"/>
          <w:szCs w:val="32"/>
        </w:rPr>
        <w:t>总资产占净资产的比例、期末</w:t>
      </w:r>
      <w:r>
        <w:rPr>
          <w:rFonts w:eastAsia="仿宋_GB2312"/>
          <w:kern w:val="0"/>
          <w:sz w:val="32"/>
          <w:szCs w:val="32"/>
        </w:rPr>
        <w:t>不动产基金</w:t>
      </w:r>
      <w:r>
        <w:rPr>
          <w:rFonts w:eastAsia="仿宋_GB2312"/>
          <w:sz w:val="32"/>
          <w:szCs w:val="32"/>
        </w:rPr>
        <w:t>份额净值、现金流分派率等。</w:t>
      </w:r>
    </w:p>
    <w:p w14:paraId="51480F92">
      <w:pPr>
        <w:tabs>
          <w:tab w:val="left" w:pos="1701"/>
        </w:tabs>
        <w:spacing w:line="560" w:lineRule="exact"/>
        <w:ind w:firstLine="640" w:firstLineChars="200"/>
        <w:rPr>
          <w:rFonts w:eastAsia="仿宋_GB2312"/>
          <w:sz w:val="32"/>
          <w:szCs w:val="32"/>
        </w:rPr>
      </w:pPr>
      <w:r>
        <w:rPr>
          <w:rFonts w:eastAsia="仿宋_GB2312"/>
          <w:sz w:val="32"/>
          <w:szCs w:val="32"/>
        </w:rPr>
        <w:t>季度报告的主要会计数据和财务指标包括不动产基金报告期</w:t>
      </w:r>
      <w:r>
        <w:rPr>
          <w:rFonts w:eastAsia="仿宋_GB2312"/>
          <w:kern w:val="0"/>
          <w:sz w:val="32"/>
          <w:szCs w:val="32"/>
        </w:rPr>
        <w:t>收入、</w:t>
      </w:r>
      <w:r>
        <w:rPr>
          <w:rFonts w:eastAsia="仿宋_GB2312"/>
          <w:sz w:val="32"/>
          <w:szCs w:val="32"/>
        </w:rPr>
        <w:t>报告期</w:t>
      </w:r>
      <w:r>
        <w:rPr>
          <w:rFonts w:eastAsia="仿宋_GB2312"/>
          <w:kern w:val="0"/>
          <w:sz w:val="32"/>
          <w:szCs w:val="32"/>
        </w:rPr>
        <w:t>净利润、</w:t>
      </w:r>
      <w:r>
        <w:rPr>
          <w:rFonts w:eastAsia="仿宋_GB2312"/>
          <w:sz w:val="32"/>
          <w:szCs w:val="32"/>
        </w:rPr>
        <w:t>报告期经营活动产生的现金流量净额、现金流分派率等主要会计数据和财务指标。</w:t>
      </w:r>
    </w:p>
    <w:p w14:paraId="548A35E5">
      <w:pPr>
        <w:tabs>
          <w:tab w:val="left" w:pos="1701"/>
        </w:tabs>
        <w:spacing w:line="560" w:lineRule="exact"/>
        <w:ind w:firstLine="643" w:firstLineChars="200"/>
        <w:rPr>
          <w:rFonts w:eastAsia="仿宋_GB2312"/>
          <w:kern w:val="0"/>
          <w:sz w:val="32"/>
          <w:szCs w:val="32"/>
        </w:rPr>
      </w:pPr>
      <w:r>
        <w:rPr>
          <w:rFonts w:eastAsia="仿宋_GB2312"/>
          <w:b/>
          <w:kern w:val="0"/>
          <w:sz w:val="32"/>
          <w:szCs w:val="32"/>
        </w:rPr>
        <w:t xml:space="preserve">第十一条 </w:t>
      </w:r>
      <w:r>
        <w:rPr>
          <w:rFonts w:eastAsia="仿宋_GB2312"/>
          <w:kern w:val="0"/>
          <w:sz w:val="32"/>
          <w:szCs w:val="32"/>
        </w:rPr>
        <w:t>基金管理人应当按照法律法规和企业会计准则等</w:t>
      </w:r>
      <w:r>
        <w:rPr>
          <w:rFonts w:hint="default" w:eastAsia="仿宋_GB2312"/>
          <w:kern w:val="0"/>
          <w:sz w:val="32"/>
          <w:szCs w:val="32"/>
          <w:lang w:eastAsia="zh-CN"/>
        </w:rPr>
        <w:t>有关</w:t>
      </w:r>
      <w:r>
        <w:rPr>
          <w:rFonts w:eastAsia="仿宋_GB2312"/>
          <w:kern w:val="0"/>
          <w:sz w:val="32"/>
          <w:szCs w:val="32"/>
        </w:rPr>
        <w:t>规定，确认计量不动产基金资产和负债，编制不动产基金中期合并以及个别财务报告，并在中期报告中予以披露。</w:t>
      </w:r>
    </w:p>
    <w:p w14:paraId="55427492">
      <w:pPr>
        <w:tabs>
          <w:tab w:val="left" w:pos="1701"/>
        </w:tabs>
        <w:spacing w:line="560" w:lineRule="exact"/>
        <w:ind w:firstLine="640" w:firstLineChars="200"/>
        <w:rPr>
          <w:rFonts w:eastAsia="仿宋_GB2312"/>
          <w:kern w:val="0"/>
          <w:sz w:val="32"/>
          <w:szCs w:val="32"/>
        </w:rPr>
      </w:pPr>
      <w:r>
        <w:rPr>
          <w:rFonts w:eastAsia="仿宋_GB2312"/>
          <w:kern w:val="0"/>
          <w:sz w:val="32"/>
          <w:szCs w:val="32"/>
        </w:rPr>
        <w:t>财务报告至少包括资产负债表、利润表、现金流量表、所有者权益变动表以及报表附注。</w:t>
      </w:r>
    </w:p>
    <w:p w14:paraId="717EF1D5">
      <w:pPr>
        <w:tabs>
          <w:tab w:val="left" w:pos="1701"/>
        </w:tabs>
        <w:spacing w:line="560" w:lineRule="exact"/>
        <w:ind w:firstLine="640" w:firstLineChars="200"/>
        <w:rPr>
          <w:rFonts w:eastAsia="仿宋_GB2312"/>
          <w:sz w:val="32"/>
          <w:szCs w:val="32"/>
        </w:rPr>
      </w:pPr>
      <w:r>
        <w:rPr>
          <w:rFonts w:eastAsia="仿宋_GB2312"/>
          <w:kern w:val="0"/>
          <w:sz w:val="32"/>
          <w:szCs w:val="32"/>
        </w:rPr>
        <w:t>基金托管人复核不动产基金信息披露文件时，应当加强对基金管理人资产确认计量过程的复核。</w:t>
      </w:r>
    </w:p>
    <w:p w14:paraId="2E106EB1">
      <w:pPr>
        <w:spacing w:line="560" w:lineRule="exact"/>
        <w:ind w:firstLine="643" w:firstLineChars="200"/>
        <w:rPr>
          <w:rFonts w:eastAsia="仿宋_GB2312"/>
          <w:sz w:val="32"/>
          <w:szCs w:val="32"/>
        </w:rPr>
      </w:pPr>
      <w:r>
        <w:rPr>
          <w:rFonts w:eastAsia="仿宋_GB2312"/>
          <w:b/>
          <w:kern w:val="0"/>
          <w:sz w:val="32"/>
          <w:szCs w:val="32"/>
        </w:rPr>
        <w:t xml:space="preserve">第十二条 </w:t>
      </w:r>
      <w:r>
        <w:rPr>
          <w:rFonts w:eastAsia="仿宋_GB2312"/>
          <w:sz w:val="32"/>
          <w:szCs w:val="32"/>
        </w:rPr>
        <w:t>基金管理人应当在中期报告和季度报告中披露报告期内可供分配金额、单位可供分配金额、实际分配金额、单位实际分配金额，以及报告期可供分配金额计算过程。报告期内可供分配金额较上年同期变化超过10%的，应当说明原因。</w:t>
      </w:r>
    </w:p>
    <w:p w14:paraId="206EC0E8">
      <w:pPr>
        <w:numPr>
          <w:ilvl w:val="0"/>
          <w:numId w:val="0"/>
        </w:numPr>
        <w:spacing w:line="560" w:lineRule="exact"/>
        <w:ind w:firstLine="640" w:firstLineChars="200"/>
        <w:rPr>
          <w:rFonts w:eastAsia="仿宋_GB2312"/>
          <w:sz w:val="32"/>
          <w:szCs w:val="32"/>
          <w:highlight w:val="none"/>
        </w:rPr>
      </w:pPr>
      <w:r>
        <w:rPr>
          <w:rFonts w:hint="default" w:eastAsia="仿宋_GB2312"/>
          <w:sz w:val="32"/>
          <w:szCs w:val="32"/>
          <w:highlight w:val="none"/>
        </w:rPr>
        <w:t>基金管理人</w:t>
      </w:r>
      <w:r>
        <w:rPr>
          <w:rFonts w:hint="default" w:eastAsia="仿宋_GB2312"/>
          <w:sz w:val="32"/>
          <w:szCs w:val="32"/>
          <w:highlight w:val="none"/>
          <w:lang w:eastAsia="zh-CN"/>
        </w:rPr>
        <w:t>应当</w:t>
      </w:r>
      <w:r>
        <w:rPr>
          <w:rFonts w:hint="default" w:eastAsia="仿宋_GB2312"/>
          <w:sz w:val="32"/>
          <w:szCs w:val="32"/>
          <w:highlight w:val="none"/>
        </w:rPr>
        <w:t>披露上一年度未来合理支出相关预留的实际使用情况，与前期安排金额差异超过10%的，</w:t>
      </w:r>
      <w:r>
        <w:rPr>
          <w:rFonts w:hint="default" w:eastAsia="仿宋_GB2312"/>
          <w:sz w:val="32"/>
          <w:szCs w:val="32"/>
          <w:highlight w:val="none"/>
          <w:lang w:eastAsia="zh-CN"/>
        </w:rPr>
        <w:t>基金</w:t>
      </w:r>
      <w:r>
        <w:rPr>
          <w:rFonts w:hint="default" w:eastAsia="仿宋_GB2312"/>
          <w:sz w:val="32"/>
          <w:szCs w:val="32"/>
          <w:highlight w:val="none"/>
        </w:rPr>
        <w:t>管理人应当说明原因</w:t>
      </w:r>
      <w:r>
        <w:rPr>
          <w:rFonts w:hint="default" w:eastAsia="仿宋_GB2312"/>
          <w:sz w:val="32"/>
          <w:szCs w:val="32"/>
          <w:highlight w:val="none"/>
          <w:lang w:eastAsia="zh-CN"/>
        </w:rPr>
        <w:t>以及</w:t>
      </w:r>
      <w:r>
        <w:rPr>
          <w:rFonts w:hint="default" w:eastAsia="仿宋_GB2312"/>
          <w:sz w:val="32"/>
          <w:szCs w:val="32"/>
          <w:highlight w:val="none"/>
        </w:rPr>
        <w:t>合理性。</w:t>
      </w:r>
    </w:p>
    <w:p w14:paraId="47734EF2">
      <w:pPr>
        <w:spacing w:line="560" w:lineRule="exact"/>
        <w:ind w:firstLine="643" w:firstLineChars="200"/>
        <w:rPr>
          <w:rFonts w:eastAsia="仿宋_GB2312"/>
          <w:bCs/>
          <w:kern w:val="0"/>
          <w:sz w:val="32"/>
          <w:szCs w:val="32"/>
        </w:rPr>
      </w:pPr>
      <w:r>
        <w:rPr>
          <w:rFonts w:eastAsia="仿宋_GB2312"/>
          <w:b/>
          <w:kern w:val="0"/>
          <w:sz w:val="32"/>
          <w:szCs w:val="32"/>
        </w:rPr>
        <w:t xml:space="preserve">第十三条 </w:t>
      </w:r>
      <w:r>
        <w:rPr>
          <w:rFonts w:eastAsia="仿宋_GB2312"/>
          <w:bCs/>
          <w:kern w:val="0"/>
          <w:sz w:val="32"/>
          <w:szCs w:val="32"/>
        </w:rPr>
        <w:t>基金管理人应当在中期报告和季度报告中披露基金管理人、基金托管人、资产支持证券管理人、资产支持证券托管人、运营管理机构在报告期内的费用收取情况</w:t>
      </w:r>
      <w:r>
        <w:rPr>
          <w:rFonts w:eastAsia="仿宋_GB2312"/>
          <w:kern w:val="0"/>
          <w:sz w:val="32"/>
          <w:szCs w:val="32"/>
        </w:rPr>
        <w:t>以</w:t>
      </w:r>
      <w:r>
        <w:rPr>
          <w:rFonts w:eastAsia="仿宋_GB2312"/>
          <w:bCs/>
          <w:kern w:val="0"/>
          <w:sz w:val="32"/>
          <w:szCs w:val="32"/>
        </w:rPr>
        <w:t>及依据。</w:t>
      </w:r>
    </w:p>
    <w:p w14:paraId="2DA8812B">
      <w:pPr>
        <w:tabs>
          <w:tab w:val="left" w:pos="1701"/>
        </w:tabs>
        <w:spacing w:line="560" w:lineRule="exact"/>
        <w:ind w:firstLine="643" w:firstLineChars="200"/>
        <w:rPr>
          <w:rFonts w:eastAsia="仿宋_GB2312"/>
          <w:sz w:val="32"/>
          <w:szCs w:val="32"/>
        </w:rPr>
      </w:pPr>
      <w:r>
        <w:rPr>
          <w:rFonts w:eastAsia="仿宋_GB2312"/>
          <w:b/>
          <w:kern w:val="0"/>
          <w:sz w:val="32"/>
          <w:szCs w:val="32"/>
        </w:rPr>
        <w:t xml:space="preserve">第十四条 </w:t>
      </w:r>
      <w:r>
        <w:rPr>
          <w:rFonts w:eastAsia="仿宋_GB2312"/>
          <w:bCs/>
          <w:kern w:val="0"/>
          <w:sz w:val="32"/>
          <w:szCs w:val="32"/>
        </w:rPr>
        <w:t>基金管理人应当在中期报告中披露报告期内基金份额持有人结构变化情况。</w:t>
      </w:r>
    </w:p>
    <w:p w14:paraId="34700DA3">
      <w:pPr>
        <w:tabs>
          <w:tab w:val="left" w:pos="1701"/>
        </w:tabs>
        <w:spacing w:line="560" w:lineRule="exact"/>
        <w:ind w:firstLine="643" w:firstLineChars="200"/>
        <w:rPr>
          <w:rFonts w:eastAsia="仿宋_GB2312"/>
          <w:kern w:val="0"/>
          <w:sz w:val="32"/>
          <w:szCs w:val="32"/>
        </w:rPr>
      </w:pPr>
      <w:r>
        <w:rPr>
          <w:rFonts w:eastAsia="仿宋_GB2312"/>
          <w:b/>
          <w:bCs/>
          <w:kern w:val="0"/>
          <w:sz w:val="32"/>
          <w:szCs w:val="32"/>
        </w:rPr>
        <w:t>第十五条</w:t>
      </w:r>
      <w:r>
        <w:rPr>
          <w:rFonts w:eastAsia="仿宋_GB2312"/>
          <w:b/>
          <w:kern w:val="0"/>
          <w:sz w:val="32"/>
          <w:szCs w:val="32"/>
        </w:rPr>
        <w:t xml:space="preserve"> </w:t>
      </w:r>
      <w:r>
        <w:rPr>
          <w:rFonts w:eastAsia="仿宋_GB2312"/>
          <w:kern w:val="0"/>
          <w:sz w:val="32"/>
          <w:szCs w:val="32"/>
        </w:rPr>
        <w:t>报告期内进行不动产项目重大改造或者扩建的，基金管理人应当在中期报告中披露改造或者扩建不动产项目基本情况、资金来源、预计投入成本、进展情况、预计竣工和交付时间等核心信息，并分析对基金份额持有人权益的影响。报告期内完成改造或者扩建的，应当披露实际投入成本、竣工和交付时间等核心信息。</w:t>
      </w:r>
    </w:p>
    <w:p w14:paraId="49C7F6D6">
      <w:pPr>
        <w:tabs>
          <w:tab w:val="left" w:pos="1701"/>
        </w:tabs>
        <w:spacing w:line="560" w:lineRule="exact"/>
        <w:ind w:firstLine="643" w:firstLineChars="200"/>
        <w:rPr>
          <w:rFonts w:eastAsia="仿宋_GB2312"/>
          <w:sz w:val="32"/>
          <w:szCs w:val="32"/>
        </w:rPr>
      </w:pPr>
      <w:r>
        <w:rPr>
          <w:rFonts w:eastAsia="仿宋_GB2312"/>
          <w:b/>
          <w:kern w:val="0"/>
          <w:sz w:val="32"/>
          <w:szCs w:val="32"/>
        </w:rPr>
        <w:t xml:space="preserve">第十六条 </w:t>
      </w:r>
      <w:r>
        <w:rPr>
          <w:rFonts w:eastAsia="仿宋_GB2312"/>
          <w:kern w:val="0"/>
          <w:sz w:val="32"/>
          <w:szCs w:val="32"/>
        </w:rPr>
        <w:t>报告期内完成不动产基金购入、出售不动产项目交割审计的，基金管理人应当在中期报告中披露购买或者出售不动产项目实际取得或者支付的对价、交割日不动产基金实际取得或者出售</w:t>
      </w:r>
      <w:r>
        <w:rPr>
          <w:rFonts w:hint="default" w:eastAsia="仿宋_GB2312"/>
          <w:kern w:val="0"/>
          <w:sz w:val="32"/>
          <w:szCs w:val="32"/>
          <w:lang w:eastAsia="zh-CN"/>
        </w:rPr>
        <w:t>的</w:t>
      </w:r>
      <w:r>
        <w:rPr>
          <w:rFonts w:eastAsia="仿宋_GB2312"/>
          <w:sz w:val="32"/>
          <w:szCs w:val="32"/>
        </w:rPr>
        <w:t>不动产项目</w:t>
      </w:r>
      <w:r>
        <w:rPr>
          <w:rFonts w:hint="default" w:eastAsia="仿宋_GB2312"/>
          <w:kern w:val="0"/>
          <w:sz w:val="32"/>
          <w:szCs w:val="32"/>
          <w:lang w:eastAsia="zh-CN"/>
        </w:rPr>
        <w:t>各项</w:t>
      </w:r>
      <w:r>
        <w:rPr>
          <w:rFonts w:eastAsia="仿宋_GB2312"/>
          <w:kern w:val="0"/>
          <w:sz w:val="32"/>
          <w:szCs w:val="32"/>
        </w:rPr>
        <w:t>资产负债情况、因本次交易形成的不动产基金财产应收或者应付情况以及报告期内的履行情况。</w:t>
      </w:r>
    </w:p>
    <w:p w14:paraId="17555AAB">
      <w:pPr>
        <w:tabs>
          <w:tab w:val="left" w:pos="1701"/>
        </w:tabs>
        <w:spacing w:line="560" w:lineRule="exact"/>
        <w:ind w:firstLine="643" w:firstLineChars="200"/>
        <w:rPr>
          <w:rFonts w:eastAsia="仿宋_GB2312"/>
          <w:kern w:val="0"/>
          <w:sz w:val="32"/>
          <w:szCs w:val="32"/>
        </w:rPr>
      </w:pPr>
      <w:r>
        <w:rPr>
          <w:rFonts w:eastAsia="仿宋_GB2312"/>
          <w:b/>
          <w:kern w:val="0"/>
          <w:sz w:val="32"/>
          <w:szCs w:val="32"/>
        </w:rPr>
        <w:t xml:space="preserve">第十七条 </w:t>
      </w:r>
      <w:r>
        <w:rPr>
          <w:rFonts w:eastAsia="仿宋_GB2312"/>
          <w:bCs/>
          <w:kern w:val="0"/>
          <w:sz w:val="32"/>
          <w:szCs w:val="32"/>
        </w:rPr>
        <w:t>基金管理人应当在中期报告中披露</w:t>
      </w:r>
      <w:r>
        <w:rPr>
          <w:rFonts w:eastAsia="仿宋_GB2312"/>
          <w:kern w:val="0"/>
          <w:sz w:val="32"/>
          <w:szCs w:val="32"/>
        </w:rPr>
        <w:t>报告期内发生的关联交易，包括交易主体、交易对象、对应的关联关系、交易目的、定价政策以及依据、交易金额、就关联交易采取的内部控制措施等，以及相关利益冲突防范措施。</w:t>
      </w:r>
    </w:p>
    <w:p w14:paraId="40840D51">
      <w:pPr>
        <w:tabs>
          <w:tab w:val="left" w:pos="1701"/>
        </w:tabs>
        <w:spacing w:line="560" w:lineRule="exact"/>
        <w:ind w:firstLine="643" w:firstLineChars="200"/>
        <w:rPr>
          <w:rFonts w:eastAsia="仿宋_GB2312"/>
          <w:sz w:val="32"/>
          <w:szCs w:val="32"/>
        </w:rPr>
      </w:pPr>
      <w:r>
        <w:rPr>
          <w:rFonts w:eastAsia="仿宋_GB2312"/>
          <w:b/>
          <w:kern w:val="0"/>
          <w:sz w:val="32"/>
          <w:szCs w:val="32"/>
        </w:rPr>
        <w:t xml:space="preserve">第十八条 </w:t>
      </w:r>
      <w:r>
        <w:rPr>
          <w:rFonts w:eastAsia="仿宋_GB2312"/>
          <w:kern w:val="0"/>
          <w:sz w:val="32"/>
          <w:szCs w:val="32"/>
        </w:rPr>
        <w:t>基金管理人应当在</w:t>
      </w:r>
      <w:r>
        <w:rPr>
          <w:rFonts w:eastAsia="仿宋_GB2312"/>
          <w:bCs/>
          <w:kern w:val="0"/>
          <w:sz w:val="32"/>
          <w:szCs w:val="32"/>
        </w:rPr>
        <w:t>中期报告</w:t>
      </w:r>
      <w:r>
        <w:rPr>
          <w:rFonts w:eastAsia="仿宋_GB2312"/>
          <w:kern w:val="0"/>
          <w:sz w:val="32"/>
          <w:szCs w:val="32"/>
        </w:rPr>
        <w:t>中披露固定资产、无形资产、投资性房地产、商誉以及其他不动产基金资产</w:t>
      </w:r>
      <w:r>
        <w:rPr>
          <w:rFonts w:hint="default" w:eastAsia="仿宋_GB2312"/>
          <w:kern w:val="0"/>
          <w:sz w:val="32"/>
          <w:szCs w:val="32"/>
          <w:lang w:eastAsia="zh-CN"/>
        </w:rPr>
        <w:t>的</w:t>
      </w:r>
      <w:r>
        <w:rPr>
          <w:rFonts w:eastAsia="仿宋_GB2312"/>
          <w:kern w:val="0"/>
          <w:sz w:val="32"/>
          <w:szCs w:val="32"/>
        </w:rPr>
        <w:t>减值计提情况。发生减值比例超过10%的，应当披露发生减值的原因、已采取或者拟采取的措施等。</w:t>
      </w:r>
    </w:p>
    <w:p w14:paraId="24FFA2EF">
      <w:pPr>
        <w:tabs>
          <w:tab w:val="left" w:pos="1701"/>
        </w:tabs>
        <w:spacing w:line="560" w:lineRule="exact"/>
        <w:ind w:firstLine="643" w:firstLineChars="200"/>
        <w:rPr>
          <w:rFonts w:eastAsia="仿宋_GB2312"/>
          <w:sz w:val="32"/>
          <w:szCs w:val="32"/>
        </w:rPr>
      </w:pPr>
      <w:r>
        <w:rPr>
          <w:rFonts w:eastAsia="仿宋_GB2312"/>
          <w:b/>
          <w:kern w:val="0"/>
          <w:sz w:val="32"/>
          <w:szCs w:val="32"/>
        </w:rPr>
        <w:t>第十九条</w:t>
      </w:r>
      <w:r>
        <w:rPr>
          <w:rFonts w:eastAsia="仿宋_GB2312"/>
          <w:b/>
          <w:bCs/>
          <w:sz w:val="32"/>
          <w:szCs w:val="32"/>
        </w:rPr>
        <w:t xml:space="preserve"> </w:t>
      </w:r>
      <w:r>
        <w:rPr>
          <w:rFonts w:eastAsia="仿宋_GB2312"/>
          <w:sz w:val="32"/>
          <w:szCs w:val="32"/>
        </w:rPr>
        <w:t>基金管理人应当在中期报告和季度报告中披露报告期末除投资</w:t>
      </w:r>
      <w:r>
        <w:rPr>
          <w:rFonts w:hint="default" w:eastAsia="仿宋_GB2312"/>
          <w:sz w:val="32"/>
          <w:szCs w:val="32"/>
        </w:rPr>
        <w:t>不动产</w:t>
      </w:r>
      <w:r>
        <w:rPr>
          <w:rFonts w:eastAsia="仿宋_GB2312"/>
          <w:sz w:val="32"/>
          <w:szCs w:val="32"/>
        </w:rPr>
        <w:t>资产支持证券之外的资产组合类别明细，包括投资金额和占比等。</w:t>
      </w:r>
    </w:p>
    <w:p w14:paraId="7E1A81BD">
      <w:pPr>
        <w:tabs>
          <w:tab w:val="left" w:pos="1701"/>
        </w:tabs>
        <w:spacing w:line="560" w:lineRule="exact"/>
        <w:ind w:firstLine="643" w:firstLineChars="200"/>
        <w:rPr>
          <w:rFonts w:eastAsia="仿宋_GB2312"/>
          <w:sz w:val="32"/>
          <w:szCs w:val="32"/>
        </w:rPr>
      </w:pPr>
      <w:r>
        <w:rPr>
          <w:rFonts w:eastAsia="仿宋_GB2312"/>
          <w:b/>
          <w:kern w:val="0"/>
          <w:sz w:val="32"/>
          <w:szCs w:val="32"/>
        </w:rPr>
        <w:t>第二十条</w:t>
      </w:r>
      <w:r>
        <w:rPr>
          <w:rFonts w:eastAsia="仿宋_GB2312"/>
          <w:b/>
          <w:bCs/>
          <w:sz w:val="32"/>
          <w:szCs w:val="32"/>
        </w:rPr>
        <w:t xml:space="preserve"> </w:t>
      </w:r>
      <w:r>
        <w:rPr>
          <w:rFonts w:eastAsia="仿宋_GB2312"/>
          <w:sz w:val="32"/>
          <w:szCs w:val="32"/>
        </w:rPr>
        <w:t>报告期内不动产基金业务参与人作出不动产基金相关承诺、</w:t>
      </w:r>
      <w:r>
        <w:rPr>
          <w:rFonts w:hint="default" w:eastAsia="仿宋_GB2312"/>
          <w:sz w:val="32"/>
          <w:szCs w:val="32"/>
          <w:lang w:eastAsia="zh-CN"/>
        </w:rPr>
        <w:t>变更承诺、</w:t>
      </w:r>
      <w:r>
        <w:rPr>
          <w:rFonts w:eastAsia="仿宋_GB2312"/>
          <w:sz w:val="32"/>
          <w:szCs w:val="32"/>
        </w:rPr>
        <w:t>承诺事项无法按期履行或者履行承诺可能不利于维护不动产基金利益的，基金管理人应当在中期报告中披露相关承诺事项以及履行相应决策程序情况。</w:t>
      </w:r>
    </w:p>
    <w:p w14:paraId="59F02479">
      <w:pPr>
        <w:tabs>
          <w:tab w:val="left" w:pos="1701"/>
        </w:tabs>
        <w:spacing w:line="560" w:lineRule="exact"/>
        <w:ind w:firstLine="643" w:firstLineChars="200"/>
        <w:rPr>
          <w:rFonts w:eastAsia="仿宋_GB2312"/>
          <w:sz w:val="32"/>
          <w:szCs w:val="32"/>
        </w:rPr>
      </w:pPr>
      <w:r>
        <w:rPr>
          <w:rFonts w:eastAsia="仿宋_GB2312"/>
          <w:b/>
          <w:kern w:val="0"/>
          <w:sz w:val="32"/>
          <w:szCs w:val="32"/>
        </w:rPr>
        <w:t>第二十一条</w:t>
      </w:r>
      <w:r>
        <w:rPr>
          <w:rFonts w:eastAsia="仿宋_GB2312"/>
          <w:b/>
          <w:bCs/>
          <w:sz w:val="32"/>
          <w:szCs w:val="32"/>
        </w:rPr>
        <w:t xml:space="preserve"> </w:t>
      </w:r>
      <w:r>
        <w:rPr>
          <w:rFonts w:eastAsia="仿宋_GB2312"/>
          <w:sz w:val="32"/>
          <w:szCs w:val="32"/>
        </w:rPr>
        <w:t>基金管理人认为存在影响投资者决策的其他重要信息的，应当在中期报告和季度报告中披露相关信息基本内容，并分析对基金份额持有人权益的影响。</w:t>
      </w:r>
    </w:p>
    <w:p w14:paraId="6CB416B0">
      <w:pPr>
        <w:spacing w:line="560" w:lineRule="exact"/>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第二节 业务参与人履职情况</w:t>
      </w:r>
    </w:p>
    <w:p w14:paraId="53D74AE2">
      <w:pPr>
        <w:tabs>
          <w:tab w:val="left" w:pos="1701"/>
        </w:tabs>
        <w:spacing w:line="560" w:lineRule="exact"/>
        <w:ind w:firstLine="643" w:firstLineChars="200"/>
        <w:rPr>
          <w:rFonts w:eastAsia="仿宋_GB2312"/>
          <w:kern w:val="0"/>
          <w:sz w:val="32"/>
          <w:szCs w:val="32"/>
        </w:rPr>
      </w:pPr>
      <w:r>
        <w:rPr>
          <w:rFonts w:eastAsia="仿宋_GB2312"/>
          <w:b/>
          <w:kern w:val="0"/>
          <w:sz w:val="32"/>
          <w:szCs w:val="32"/>
        </w:rPr>
        <w:t xml:space="preserve">第二十二条 </w:t>
      </w:r>
      <w:r>
        <w:rPr>
          <w:rFonts w:eastAsia="仿宋_GB2312"/>
          <w:sz w:val="32"/>
          <w:szCs w:val="32"/>
        </w:rPr>
        <w:t>基金管理人</w:t>
      </w:r>
      <w:r>
        <w:rPr>
          <w:rFonts w:eastAsia="仿宋_GB2312"/>
          <w:kern w:val="0"/>
          <w:sz w:val="32"/>
          <w:szCs w:val="32"/>
        </w:rPr>
        <w:t>应当在中期报告和季度报告中披露基金管理人、资产支持证券管理人、基金托管人、资产支持证券托管人、运营管理机构的注册地址、办公地址、邮政编码、法定代表人。</w:t>
      </w:r>
    </w:p>
    <w:p w14:paraId="05609E24">
      <w:pPr>
        <w:pStyle w:val="2"/>
        <w:spacing w:line="560" w:lineRule="exact"/>
        <w:ind w:firstLine="643"/>
        <w:rPr>
          <w:rFonts w:ascii="Times New Roman"/>
          <w:kern w:val="0"/>
          <w:sz w:val="32"/>
          <w:szCs w:val="32"/>
        </w:rPr>
      </w:pPr>
      <w:r>
        <w:rPr>
          <w:rFonts w:ascii="Times New Roman"/>
          <w:b/>
          <w:bCs/>
          <w:sz w:val="32"/>
          <w:szCs w:val="32"/>
        </w:rPr>
        <w:t xml:space="preserve">第二十三条 </w:t>
      </w:r>
      <w:r>
        <w:rPr>
          <w:rFonts w:ascii="Times New Roman"/>
          <w:kern w:val="0"/>
          <w:sz w:val="32"/>
          <w:szCs w:val="32"/>
        </w:rPr>
        <w:t>基金管理人应当在中期报告中披露基金管理人下列履职情况信息：</w:t>
      </w:r>
    </w:p>
    <w:p w14:paraId="669F7CFA">
      <w:pPr>
        <w:tabs>
          <w:tab w:val="left" w:pos="1701"/>
        </w:tabs>
        <w:spacing w:line="560" w:lineRule="exact"/>
        <w:ind w:firstLine="640" w:firstLineChars="200"/>
        <w:rPr>
          <w:rFonts w:hint="default" w:eastAsia="仿宋_GB2312"/>
          <w:kern w:val="0"/>
          <w:sz w:val="32"/>
          <w:szCs w:val="32"/>
          <w:lang w:eastAsia="zh-CN"/>
        </w:rPr>
      </w:pPr>
      <w:r>
        <w:rPr>
          <w:rFonts w:eastAsia="仿宋_GB2312"/>
          <w:kern w:val="0"/>
          <w:sz w:val="32"/>
          <w:szCs w:val="32"/>
        </w:rPr>
        <w:t>（一）报告期内基金管理人以及主要负责人员情况，包括基金管理人及其管理基金的经验、基金经理简介等</w:t>
      </w:r>
      <w:r>
        <w:rPr>
          <w:rFonts w:hint="default" w:eastAsia="仿宋_GB2312"/>
          <w:kern w:val="0"/>
          <w:sz w:val="32"/>
          <w:szCs w:val="32"/>
          <w:lang w:eastAsia="zh-CN"/>
        </w:rPr>
        <w:t>；</w:t>
      </w:r>
    </w:p>
    <w:p w14:paraId="0F8A81FA">
      <w:pPr>
        <w:tabs>
          <w:tab w:val="left" w:pos="1701"/>
        </w:tabs>
        <w:spacing w:line="560" w:lineRule="exact"/>
        <w:ind w:firstLine="640" w:firstLineChars="200"/>
        <w:rPr>
          <w:rFonts w:hint="default" w:eastAsia="仿宋_GB2312"/>
          <w:kern w:val="0"/>
          <w:sz w:val="32"/>
          <w:szCs w:val="32"/>
          <w:lang w:eastAsia="zh-CN"/>
        </w:rPr>
      </w:pPr>
      <w:r>
        <w:rPr>
          <w:rFonts w:eastAsia="仿宋_GB2312"/>
          <w:kern w:val="0"/>
          <w:sz w:val="32"/>
          <w:szCs w:val="32"/>
        </w:rPr>
        <w:t>（二）报告期内对不动产基金的投资运作决策和主动管理情况，包括报告期内不动产基金运作遵规守信情况、对报告期内公平交易制度以及执行情况的专项说明、对报告期内不动产基金的投资和运营分析、基金管理人内部关于不动产基金的监察稽核情况等</w:t>
      </w:r>
      <w:r>
        <w:rPr>
          <w:rFonts w:hint="default" w:eastAsia="仿宋_GB2312"/>
          <w:kern w:val="0"/>
          <w:sz w:val="32"/>
          <w:szCs w:val="32"/>
          <w:lang w:eastAsia="zh-CN"/>
        </w:rPr>
        <w:t>；</w:t>
      </w:r>
    </w:p>
    <w:p w14:paraId="4FA910A9">
      <w:pPr>
        <w:tabs>
          <w:tab w:val="left" w:pos="1701"/>
        </w:tabs>
        <w:spacing w:line="560" w:lineRule="exact"/>
        <w:ind w:firstLine="640" w:firstLineChars="200"/>
        <w:rPr>
          <w:rFonts w:hint="default" w:eastAsia="仿宋_GB2312"/>
          <w:kern w:val="0"/>
          <w:sz w:val="32"/>
          <w:szCs w:val="32"/>
          <w:lang w:eastAsia="zh-CN"/>
        </w:rPr>
      </w:pPr>
      <w:r>
        <w:rPr>
          <w:rFonts w:eastAsia="仿宋_GB2312"/>
          <w:kern w:val="0"/>
          <w:sz w:val="32"/>
          <w:szCs w:val="32"/>
        </w:rPr>
        <w:t>（三）报告期内对不动产项目运营管理职责的落实情况，包括主要采取的运营管理措施、重大事项决策情况、对运营管理机构的检查和考核情况、其他对运营管理机构的监督情况等</w:t>
      </w:r>
      <w:r>
        <w:rPr>
          <w:rFonts w:hint="default" w:eastAsia="仿宋_GB2312"/>
          <w:kern w:val="0"/>
          <w:sz w:val="32"/>
          <w:szCs w:val="32"/>
          <w:lang w:eastAsia="zh-CN"/>
        </w:rPr>
        <w:t>；</w:t>
      </w:r>
    </w:p>
    <w:p w14:paraId="23F1101E">
      <w:pPr>
        <w:tabs>
          <w:tab w:val="left" w:pos="1701"/>
        </w:tabs>
        <w:spacing w:line="560" w:lineRule="exact"/>
        <w:ind w:firstLine="640" w:firstLineChars="200"/>
        <w:rPr>
          <w:rFonts w:eastAsia="仿宋_GB2312"/>
          <w:kern w:val="0"/>
          <w:sz w:val="32"/>
          <w:szCs w:val="32"/>
        </w:rPr>
      </w:pPr>
      <w:r>
        <w:rPr>
          <w:rFonts w:eastAsia="仿宋_GB2312"/>
          <w:kern w:val="0"/>
          <w:sz w:val="32"/>
          <w:szCs w:val="32"/>
        </w:rPr>
        <w:t>（四）报告期内信息披露工作开展情况，包括信息披露事务负责人的履职情况、信息披露事务负责人的变更情况（如有）、信息披露管理制度的落实情况等</w:t>
      </w:r>
      <w:r>
        <w:rPr>
          <w:rFonts w:hint="default" w:eastAsia="仿宋_GB2312"/>
          <w:kern w:val="0"/>
          <w:sz w:val="32"/>
          <w:szCs w:val="32"/>
          <w:lang w:eastAsia="zh-CN"/>
        </w:rPr>
        <w:t>；</w:t>
      </w:r>
      <w:r>
        <w:rPr>
          <w:rFonts w:eastAsia="仿宋_GB2312"/>
          <w:kern w:val="0"/>
          <w:sz w:val="32"/>
          <w:szCs w:val="32"/>
        </w:rPr>
        <w:t>信息披露事务负责人的履职情况包括组织和协调信息披露事务情况、与投资者沟通联络情况等</w:t>
      </w:r>
      <w:r>
        <w:rPr>
          <w:rFonts w:hint="default" w:eastAsia="仿宋_GB2312"/>
          <w:kern w:val="0"/>
          <w:sz w:val="32"/>
          <w:szCs w:val="32"/>
          <w:lang w:eastAsia="zh-CN"/>
        </w:rPr>
        <w:t>；</w:t>
      </w:r>
      <w:r>
        <w:rPr>
          <w:rFonts w:eastAsia="仿宋_GB2312"/>
          <w:kern w:val="0"/>
          <w:sz w:val="32"/>
          <w:szCs w:val="32"/>
        </w:rPr>
        <w:t>信息披露管理制度的落实情况包括信息披露审核和发布流程执行情况、内幕信息管理情况、暂缓和豁免信息披露情况（如有）、信息披露相关档案管理情况等。</w:t>
      </w:r>
    </w:p>
    <w:p w14:paraId="720417E0">
      <w:pPr>
        <w:pStyle w:val="2"/>
        <w:spacing w:line="560" w:lineRule="exact"/>
        <w:ind w:firstLine="643"/>
        <w:rPr>
          <w:rFonts w:ascii="Times New Roman"/>
          <w:kern w:val="0"/>
          <w:sz w:val="32"/>
          <w:szCs w:val="32"/>
        </w:rPr>
      </w:pPr>
      <w:r>
        <w:rPr>
          <w:rFonts w:ascii="Times New Roman"/>
          <w:b/>
          <w:bCs/>
          <w:sz w:val="32"/>
          <w:szCs w:val="32"/>
        </w:rPr>
        <w:t xml:space="preserve">第二十四条 </w:t>
      </w:r>
      <w:r>
        <w:rPr>
          <w:rFonts w:ascii="Times New Roman"/>
          <w:bCs/>
          <w:kern w:val="0"/>
          <w:sz w:val="32"/>
          <w:szCs w:val="32"/>
        </w:rPr>
        <w:t>基金管理人应当在中期报告中披露</w:t>
      </w:r>
      <w:r>
        <w:rPr>
          <w:rFonts w:ascii="Times New Roman"/>
          <w:kern w:val="0"/>
          <w:sz w:val="32"/>
          <w:szCs w:val="32"/>
        </w:rPr>
        <w:t>运营管理机构下列履职情况信息：</w:t>
      </w:r>
    </w:p>
    <w:p w14:paraId="2214E96F">
      <w:pPr>
        <w:pStyle w:val="2"/>
        <w:numPr>
          <w:ilvl w:val="255"/>
          <w:numId w:val="0"/>
        </w:numPr>
        <w:spacing w:line="560" w:lineRule="exact"/>
        <w:ind w:firstLine="640" w:firstLineChars="200"/>
        <w:rPr>
          <w:rFonts w:hint="default" w:ascii="Times New Roman" w:eastAsia="仿宋_GB2312"/>
          <w:kern w:val="0"/>
          <w:sz w:val="32"/>
          <w:szCs w:val="32"/>
          <w:lang w:eastAsia="zh-CN"/>
        </w:rPr>
      </w:pPr>
      <w:r>
        <w:rPr>
          <w:rFonts w:ascii="Times New Roman"/>
          <w:kern w:val="0"/>
          <w:sz w:val="32"/>
          <w:szCs w:val="32"/>
        </w:rPr>
        <w:t>（一）报告期内运营管理职责履行情况，包括运营管理服务协议的落实情况、遵规守信情况、采取的运营管理措施以及效果等</w:t>
      </w:r>
      <w:r>
        <w:rPr>
          <w:rFonts w:hint="default" w:ascii="Times New Roman"/>
          <w:kern w:val="0"/>
          <w:sz w:val="32"/>
          <w:szCs w:val="32"/>
          <w:lang w:eastAsia="zh-CN"/>
        </w:rPr>
        <w:t>；</w:t>
      </w:r>
      <w:r>
        <w:rPr>
          <w:rFonts w:ascii="Times New Roman"/>
          <w:kern w:val="0"/>
          <w:sz w:val="32"/>
          <w:szCs w:val="32"/>
        </w:rPr>
        <w:t>如果存在违反运营管理服务协议相关条款的重大情形，应当分析对基金份额持有人权益的影响并披露后续应对措施</w:t>
      </w:r>
      <w:r>
        <w:rPr>
          <w:rFonts w:hint="default" w:ascii="Times New Roman"/>
          <w:kern w:val="0"/>
          <w:sz w:val="32"/>
          <w:szCs w:val="32"/>
          <w:lang w:eastAsia="zh-CN"/>
        </w:rPr>
        <w:t>；</w:t>
      </w:r>
    </w:p>
    <w:p w14:paraId="174C00F2">
      <w:pPr>
        <w:pStyle w:val="2"/>
        <w:spacing w:line="560" w:lineRule="exact"/>
        <w:ind w:firstLine="640"/>
        <w:rPr>
          <w:rFonts w:ascii="Times New Roman"/>
          <w:kern w:val="0"/>
          <w:sz w:val="32"/>
          <w:szCs w:val="32"/>
        </w:rPr>
      </w:pPr>
      <w:r>
        <w:rPr>
          <w:rFonts w:ascii="Times New Roman"/>
          <w:kern w:val="0"/>
          <w:sz w:val="32"/>
          <w:szCs w:val="32"/>
        </w:rPr>
        <w:t>（二）报告期内配合信息披露工作开展情况，包括信息披露事务负责人的履职情况、信息披露事务负责人的变更情况（如有）、信息披露配合制度的落实情况、配合信息披露情况等</w:t>
      </w:r>
      <w:r>
        <w:rPr>
          <w:rFonts w:hint="default" w:ascii="Times New Roman"/>
          <w:kern w:val="0"/>
          <w:sz w:val="32"/>
          <w:szCs w:val="32"/>
          <w:lang w:eastAsia="zh-CN"/>
        </w:rPr>
        <w:t>；</w:t>
      </w:r>
      <w:r>
        <w:rPr>
          <w:rFonts w:ascii="Times New Roman"/>
          <w:kern w:val="0"/>
          <w:sz w:val="32"/>
          <w:szCs w:val="32"/>
        </w:rPr>
        <w:t>信息披露事务负责人的履职情况包括组织和协调信息披露事务情况、与投资者沟通联络情况等</w:t>
      </w:r>
      <w:r>
        <w:rPr>
          <w:rFonts w:hint="default" w:ascii="Times New Roman"/>
          <w:kern w:val="0"/>
          <w:sz w:val="32"/>
          <w:szCs w:val="32"/>
          <w:lang w:eastAsia="zh-CN"/>
        </w:rPr>
        <w:t>；</w:t>
      </w:r>
      <w:r>
        <w:rPr>
          <w:rFonts w:ascii="Times New Roman"/>
          <w:kern w:val="0"/>
          <w:sz w:val="32"/>
          <w:szCs w:val="32"/>
        </w:rPr>
        <w:t>信息披露配合制度的落实情况包括配合基金管理人信息披露执行情况、内幕信息管理情况等。</w:t>
      </w:r>
    </w:p>
    <w:p w14:paraId="432BA2EE">
      <w:pPr>
        <w:pStyle w:val="2"/>
        <w:spacing w:line="560" w:lineRule="exact"/>
        <w:ind w:firstLine="643"/>
        <w:rPr>
          <w:rFonts w:ascii="Times New Roman"/>
          <w:kern w:val="0"/>
          <w:sz w:val="32"/>
          <w:szCs w:val="32"/>
        </w:rPr>
      </w:pPr>
      <w:r>
        <w:rPr>
          <w:rFonts w:ascii="Times New Roman"/>
          <w:b/>
          <w:bCs/>
          <w:sz w:val="32"/>
          <w:szCs w:val="32"/>
        </w:rPr>
        <w:t xml:space="preserve">第二十五条 </w:t>
      </w:r>
      <w:r>
        <w:rPr>
          <w:rFonts w:ascii="Times New Roman"/>
          <w:bCs/>
          <w:kern w:val="0"/>
          <w:sz w:val="32"/>
          <w:szCs w:val="32"/>
        </w:rPr>
        <w:t>基金管理人应当在中期报告中披露</w:t>
      </w:r>
      <w:r>
        <w:rPr>
          <w:rFonts w:ascii="Times New Roman"/>
          <w:kern w:val="0"/>
          <w:sz w:val="32"/>
          <w:szCs w:val="32"/>
        </w:rPr>
        <w:t>基金托管人下列履职情况信息：</w:t>
      </w:r>
    </w:p>
    <w:p w14:paraId="7C1666FD">
      <w:pPr>
        <w:pStyle w:val="2"/>
        <w:spacing w:line="560" w:lineRule="exact"/>
        <w:ind w:firstLine="640"/>
        <w:rPr>
          <w:rFonts w:ascii="Times New Roman"/>
          <w:kern w:val="0"/>
          <w:sz w:val="32"/>
          <w:szCs w:val="32"/>
        </w:rPr>
      </w:pPr>
      <w:r>
        <w:rPr>
          <w:rFonts w:ascii="Times New Roman"/>
          <w:kern w:val="0"/>
          <w:sz w:val="32"/>
          <w:szCs w:val="32"/>
        </w:rPr>
        <w:t>（一）报告期内托管职责履行情况，包括遵规守信情况，对不动产基金资金账户、不动产项目运营收支账户等重要资金账户资金的监督情况等；</w:t>
      </w:r>
    </w:p>
    <w:p w14:paraId="0279F2A6">
      <w:pPr>
        <w:pStyle w:val="2"/>
        <w:spacing w:line="560" w:lineRule="exact"/>
        <w:ind w:firstLine="640"/>
        <w:rPr>
          <w:rFonts w:ascii="Times New Roman"/>
          <w:kern w:val="0"/>
          <w:sz w:val="32"/>
          <w:szCs w:val="32"/>
        </w:rPr>
      </w:pPr>
      <w:r>
        <w:rPr>
          <w:rFonts w:ascii="Times New Roman"/>
          <w:kern w:val="0"/>
          <w:sz w:val="32"/>
          <w:szCs w:val="32"/>
        </w:rPr>
        <w:t>（二）报告期内对不动产基金运作的监督情况，包括对基金管理人不动产基金投资运作、收益分配、为不动产项目购买保险、借入款项安排等事项的监督情况等；</w:t>
      </w:r>
    </w:p>
    <w:p w14:paraId="1B5E6BCD">
      <w:pPr>
        <w:pStyle w:val="2"/>
        <w:spacing w:line="560" w:lineRule="exact"/>
        <w:ind w:firstLine="640"/>
        <w:rPr>
          <w:rFonts w:ascii="Times New Roman"/>
          <w:kern w:val="0"/>
          <w:sz w:val="32"/>
          <w:szCs w:val="32"/>
        </w:rPr>
      </w:pPr>
      <w:r>
        <w:rPr>
          <w:rFonts w:ascii="Times New Roman"/>
          <w:kern w:val="0"/>
          <w:sz w:val="32"/>
          <w:szCs w:val="32"/>
        </w:rPr>
        <w:t>（三）报告期内履行信息披露相关义务情况，包括对公开披露不动产基金信息的复核、审查和确认情况，对中期报告中财务信息等内容的真实性、准确性和完整性发表意见情况等；</w:t>
      </w:r>
    </w:p>
    <w:p w14:paraId="105A525F">
      <w:pPr>
        <w:pStyle w:val="2"/>
        <w:spacing w:line="560" w:lineRule="exact"/>
        <w:ind w:firstLine="640"/>
        <w:rPr>
          <w:rFonts w:ascii="Times New Roman"/>
          <w:kern w:val="0"/>
          <w:sz w:val="32"/>
          <w:szCs w:val="32"/>
        </w:rPr>
      </w:pPr>
      <w:r>
        <w:rPr>
          <w:rFonts w:ascii="Times New Roman"/>
          <w:kern w:val="0"/>
          <w:sz w:val="32"/>
          <w:szCs w:val="32"/>
        </w:rPr>
        <w:t>（四）报告期内其他规定或者约定的职责履行情况。</w:t>
      </w:r>
    </w:p>
    <w:p w14:paraId="7416C825">
      <w:pPr>
        <w:pStyle w:val="2"/>
        <w:spacing w:line="560" w:lineRule="exact"/>
        <w:ind w:firstLine="643"/>
        <w:rPr>
          <w:rFonts w:ascii="Times New Roman"/>
          <w:kern w:val="0"/>
          <w:sz w:val="32"/>
          <w:szCs w:val="32"/>
        </w:rPr>
      </w:pPr>
      <w:r>
        <w:rPr>
          <w:rFonts w:ascii="Times New Roman"/>
          <w:b/>
          <w:bCs/>
          <w:sz w:val="32"/>
          <w:szCs w:val="32"/>
        </w:rPr>
        <w:t>第二十</w:t>
      </w:r>
      <w:r>
        <w:rPr>
          <w:rFonts w:hint="default" w:ascii="Times New Roman"/>
          <w:b/>
          <w:bCs/>
          <w:sz w:val="32"/>
          <w:szCs w:val="32"/>
          <w:lang w:eastAsia="zh-CN"/>
        </w:rPr>
        <w:t>六</w:t>
      </w:r>
      <w:r>
        <w:rPr>
          <w:rFonts w:ascii="Times New Roman"/>
          <w:b/>
          <w:bCs/>
          <w:sz w:val="32"/>
          <w:szCs w:val="32"/>
        </w:rPr>
        <w:t xml:space="preserve">条 </w:t>
      </w:r>
      <w:r>
        <w:rPr>
          <w:rFonts w:ascii="Times New Roman"/>
          <w:bCs/>
          <w:kern w:val="0"/>
          <w:sz w:val="32"/>
          <w:szCs w:val="32"/>
        </w:rPr>
        <w:t>基金管理人应当在中期报告中披露</w:t>
      </w:r>
      <w:r>
        <w:rPr>
          <w:rFonts w:ascii="Times New Roman"/>
          <w:kern w:val="0"/>
          <w:sz w:val="32"/>
          <w:szCs w:val="32"/>
        </w:rPr>
        <w:t>资产支持证券管理人下列履职情况信息：</w:t>
      </w:r>
    </w:p>
    <w:p w14:paraId="29093824">
      <w:pPr>
        <w:pStyle w:val="2"/>
        <w:spacing w:line="560" w:lineRule="exact"/>
        <w:ind w:firstLine="640"/>
        <w:rPr>
          <w:rFonts w:ascii="Times New Roman"/>
          <w:kern w:val="0"/>
          <w:sz w:val="32"/>
          <w:szCs w:val="32"/>
        </w:rPr>
      </w:pPr>
      <w:r>
        <w:rPr>
          <w:rFonts w:ascii="Times New Roman"/>
          <w:kern w:val="0"/>
          <w:sz w:val="32"/>
          <w:szCs w:val="32"/>
        </w:rPr>
        <w:t>（一）报告期内</w:t>
      </w:r>
      <w:r>
        <w:rPr>
          <w:rFonts w:hint="default" w:ascii="Times New Roman"/>
          <w:kern w:val="0"/>
          <w:sz w:val="32"/>
          <w:szCs w:val="32"/>
        </w:rPr>
        <w:t>不动产</w:t>
      </w:r>
      <w:r>
        <w:rPr>
          <w:rFonts w:ascii="Times New Roman"/>
          <w:kern w:val="0"/>
          <w:sz w:val="32"/>
          <w:szCs w:val="32"/>
        </w:rPr>
        <w:t>资产支持专项计划相关的职责履行情况，包括作为</w:t>
      </w:r>
      <w:r>
        <w:rPr>
          <w:rFonts w:ascii="Times New Roman"/>
          <w:sz w:val="32"/>
          <w:szCs w:val="32"/>
        </w:rPr>
        <w:t>项目公司</w:t>
      </w:r>
      <w:r>
        <w:rPr>
          <w:rFonts w:ascii="Times New Roman"/>
          <w:kern w:val="0"/>
          <w:sz w:val="32"/>
          <w:szCs w:val="32"/>
        </w:rPr>
        <w:t>股东的股东权利情况、作为</w:t>
      </w:r>
      <w:r>
        <w:rPr>
          <w:rFonts w:ascii="Times New Roman"/>
          <w:sz w:val="32"/>
          <w:szCs w:val="32"/>
        </w:rPr>
        <w:t>项目公司</w:t>
      </w:r>
      <w:r>
        <w:rPr>
          <w:rFonts w:ascii="Times New Roman"/>
          <w:kern w:val="0"/>
          <w:sz w:val="32"/>
          <w:szCs w:val="32"/>
        </w:rPr>
        <w:t>债权人的权利情况（如有）、信息披露情况、遵规守信情况等；</w:t>
      </w:r>
    </w:p>
    <w:p w14:paraId="61BB8AED">
      <w:pPr>
        <w:pStyle w:val="2"/>
        <w:spacing w:line="560" w:lineRule="exact"/>
        <w:ind w:firstLine="640"/>
        <w:rPr>
          <w:rFonts w:ascii="Times New Roman"/>
          <w:sz w:val="32"/>
          <w:szCs w:val="32"/>
        </w:rPr>
      </w:pPr>
      <w:r>
        <w:rPr>
          <w:rFonts w:ascii="Times New Roman"/>
          <w:kern w:val="0"/>
          <w:sz w:val="32"/>
          <w:szCs w:val="32"/>
        </w:rPr>
        <w:t>（二）报告期内其他规定或者约定的职责履行情况。</w:t>
      </w:r>
    </w:p>
    <w:p w14:paraId="19FE09C9">
      <w:pPr>
        <w:pStyle w:val="2"/>
        <w:spacing w:line="560" w:lineRule="exact"/>
        <w:ind w:firstLine="643"/>
        <w:rPr>
          <w:rFonts w:ascii="Times New Roman"/>
          <w:kern w:val="0"/>
          <w:sz w:val="32"/>
          <w:szCs w:val="32"/>
        </w:rPr>
      </w:pPr>
      <w:r>
        <w:rPr>
          <w:rFonts w:ascii="Times New Roman"/>
          <w:b/>
          <w:bCs/>
          <w:sz w:val="32"/>
          <w:szCs w:val="32"/>
        </w:rPr>
        <w:t>第二十</w:t>
      </w:r>
      <w:r>
        <w:rPr>
          <w:rFonts w:hint="default" w:ascii="Times New Roman"/>
          <w:b/>
          <w:bCs/>
          <w:sz w:val="32"/>
          <w:szCs w:val="32"/>
          <w:lang w:eastAsia="zh-CN"/>
        </w:rPr>
        <w:t>七</w:t>
      </w:r>
      <w:r>
        <w:rPr>
          <w:rFonts w:ascii="Times New Roman"/>
          <w:b/>
          <w:bCs/>
          <w:sz w:val="32"/>
          <w:szCs w:val="32"/>
        </w:rPr>
        <w:t xml:space="preserve">条 </w:t>
      </w:r>
      <w:r>
        <w:rPr>
          <w:rFonts w:ascii="Times New Roman"/>
          <w:bCs/>
          <w:kern w:val="0"/>
          <w:sz w:val="32"/>
          <w:szCs w:val="32"/>
        </w:rPr>
        <w:t>基金管理人应当在中期报告中披露</w:t>
      </w:r>
      <w:r>
        <w:rPr>
          <w:rFonts w:ascii="Times New Roman"/>
          <w:kern w:val="0"/>
          <w:sz w:val="32"/>
          <w:szCs w:val="32"/>
        </w:rPr>
        <w:t>原始权益人下列履职情况信息：</w:t>
      </w:r>
    </w:p>
    <w:p w14:paraId="473FC197">
      <w:pPr>
        <w:pStyle w:val="2"/>
        <w:spacing w:line="560" w:lineRule="exact"/>
        <w:ind w:firstLine="640"/>
        <w:rPr>
          <w:rFonts w:ascii="Times New Roman"/>
          <w:kern w:val="0"/>
          <w:sz w:val="32"/>
          <w:szCs w:val="32"/>
        </w:rPr>
      </w:pPr>
      <w:r>
        <w:rPr>
          <w:rFonts w:ascii="Times New Roman"/>
          <w:kern w:val="0"/>
          <w:sz w:val="32"/>
          <w:szCs w:val="32"/>
        </w:rPr>
        <w:t>（一）报告期内原始权益人或者其同一控制下关联方卖出战略配售取得的不动产基金份额情况、报告期末原始权益人或者其同一控制下关联方持有不动产基金份额情况；</w:t>
      </w:r>
    </w:p>
    <w:p w14:paraId="647030EA">
      <w:pPr>
        <w:pStyle w:val="2"/>
        <w:spacing w:line="560" w:lineRule="exact"/>
        <w:ind w:firstLine="640"/>
        <w:rPr>
          <w:rFonts w:ascii="Times New Roman"/>
          <w:sz w:val="32"/>
          <w:szCs w:val="32"/>
        </w:rPr>
      </w:pPr>
      <w:r>
        <w:rPr>
          <w:rFonts w:ascii="Times New Roman"/>
          <w:kern w:val="0"/>
          <w:sz w:val="32"/>
          <w:szCs w:val="32"/>
        </w:rPr>
        <w:t>（二）报告期内</w:t>
      </w:r>
      <w:r>
        <w:rPr>
          <w:rFonts w:ascii="Times New Roman"/>
          <w:sz w:val="32"/>
          <w:szCs w:val="32"/>
        </w:rPr>
        <w:t>原始权益人及其一致行动人增持计划和进展情况（如有）；</w:t>
      </w:r>
    </w:p>
    <w:p w14:paraId="01200C4A">
      <w:pPr>
        <w:pStyle w:val="2"/>
        <w:spacing w:line="560" w:lineRule="exact"/>
        <w:ind w:firstLine="640"/>
        <w:rPr>
          <w:rFonts w:ascii="Times New Roman"/>
          <w:sz w:val="32"/>
          <w:szCs w:val="32"/>
        </w:rPr>
      </w:pPr>
      <w:r>
        <w:rPr>
          <w:rFonts w:ascii="Times New Roman"/>
          <w:sz w:val="32"/>
          <w:szCs w:val="32"/>
        </w:rPr>
        <w:t>（三）报告期内信息披露配合</w:t>
      </w:r>
      <w:r>
        <w:rPr>
          <w:rFonts w:ascii="Times New Roman"/>
          <w:kern w:val="0"/>
          <w:sz w:val="32"/>
          <w:szCs w:val="32"/>
        </w:rPr>
        <w:t>义务</w:t>
      </w:r>
      <w:r>
        <w:rPr>
          <w:rFonts w:ascii="Times New Roman"/>
          <w:sz w:val="32"/>
          <w:szCs w:val="32"/>
        </w:rPr>
        <w:t>的落实情况；</w:t>
      </w:r>
    </w:p>
    <w:p w14:paraId="1FE47DA5">
      <w:pPr>
        <w:pStyle w:val="2"/>
        <w:spacing w:line="560" w:lineRule="exact"/>
        <w:ind w:firstLine="640"/>
        <w:rPr>
          <w:rFonts w:ascii="Times New Roman"/>
          <w:sz w:val="32"/>
          <w:szCs w:val="32"/>
        </w:rPr>
      </w:pPr>
      <w:r>
        <w:rPr>
          <w:rFonts w:ascii="Times New Roman"/>
          <w:sz w:val="32"/>
          <w:szCs w:val="32"/>
        </w:rPr>
        <w:t>（四）报告期内其他可能对基金份额持有人权益产生重大影响的重大变化情况。</w:t>
      </w:r>
    </w:p>
    <w:p w14:paraId="72CD9BBB">
      <w:pPr>
        <w:pStyle w:val="2"/>
        <w:spacing w:line="560" w:lineRule="exact"/>
        <w:ind w:firstLine="643"/>
        <w:rPr>
          <w:rFonts w:ascii="Times New Roman"/>
          <w:bCs/>
          <w:kern w:val="0"/>
          <w:sz w:val="32"/>
          <w:szCs w:val="32"/>
        </w:rPr>
      </w:pPr>
      <w:r>
        <w:rPr>
          <w:rFonts w:ascii="Times New Roman"/>
          <w:b/>
          <w:bCs/>
          <w:sz w:val="32"/>
          <w:szCs w:val="32"/>
        </w:rPr>
        <w:t>第二十</w:t>
      </w:r>
      <w:r>
        <w:rPr>
          <w:rFonts w:hint="default" w:ascii="Times New Roman"/>
          <w:b/>
          <w:bCs/>
          <w:sz w:val="32"/>
          <w:szCs w:val="32"/>
          <w:lang w:eastAsia="zh-CN"/>
        </w:rPr>
        <w:t>八</w:t>
      </w:r>
      <w:r>
        <w:rPr>
          <w:rFonts w:ascii="Times New Roman"/>
          <w:b/>
          <w:bCs/>
          <w:sz w:val="32"/>
          <w:szCs w:val="32"/>
        </w:rPr>
        <w:t xml:space="preserve">条 </w:t>
      </w:r>
      <w:r>
        <w:rPr>
          <w:rFonts w:ascii="Times New Roman"/>
          <w:bCs/>
          <w:kern w:val="0"/>
          <w:sz w:val="32"/>
          <w:szCs w:val="32"/>
        </w:rPr>
        <w:t>报告期内召开基金份额持有人大会的，基金管理人应当在中期报告中披露基金份额持有人大会的下列信息：</w:t>
      </w:r>
    </w:p>
    <w:p w14:paraId="54DC5BE1">
      <w:pPr>
        <w:pStyle w:val="2"/>
        <w:spacing w:line="560" w:lineRule="exact"/>
        <w:ind w:firstLine="640"/>
        <w:rPr>
          <w:rFonts w:ascii="Times New Roman"/>
          <w:bCs/>
          <w:kern w:val="0"/>
          <w:sz w:val="32"/>
          <w:szCs w:val="32"/>
        </w:rPr>
      </w:pPr>
      <w:r>
        <w:rPr>
          <w:rFonts w:ascii="Times New Roman"/>
          <w:bCs/>
          <w:kern w:val="0"/>
          <w:sz w:val="32"/>
          <w:szCs w:val="32"/>
        </w:rPr>
        <w:t>（一）召开方式、召开日期；</w:t>
      </w:r>
    </w:p>
    <w:p w14:paraId="24BDA5D3">
      <w:pPr>
        <w:pStyle w:val="2"/>
        <w:spacing w:line="560" w:lineRule="exact"/>
        <w:ind w:firstLine="640"/>
        <w:rPr>
          <w:rFonts w:ascii="Times New Roman"/>
          <w:bCs/>
          <w:kern w:val="0"/>
          <w:sz w:val="32"/>
          <w:szCs w:val="32"/>
        </w:rPr>
      </w:pPr>
      <w:r>
        <w:rPr>
          <w:rFonts w:ascii="Times New Roman"/>
          <w:bCs/>
          <w:kern w:val="0"/>
          <w:sz w:val="32"/>
          <w:szCs w:val="32"/>
        </w:rPr>
        <w:t>（二）表决议案名称、主要内容；</w:t>
      </w:r>
    </w:p>
    <w:p w14:paraId="1A8F5663">
      <w:pPr>
        <w:pStyle w:val="2"/>
        <w:spacing w:line="560" w:lineRule="exact"/>
        <w:ind w:firstLine="640"/>
        <w:rPr>
          <w:rFonts w:ascii="Times New Roman"/>
          <w:bCs/>
          <w:kern w:val="0"/>
          <w:sz w:val="32"/>
          <w:szCs w:val="32"/>
        </w:rPr>
      </w:pPr>
      <w:r>
        <w:rPr>
          <w:rFonts w:ascii="Times New Roman"/>
          <w:bCs/>
          <w:kern w:val="0"/>
          <w:sz w:val="32"/>
          <w:szCs w:val="32"/>
        </w:rPr>
        <w:t>（三）参会情况、表决结果。</w:t>
      </w:r>
    </w:p>
    <w:p w14:paraId="07F1D96D">
      <w:pPr>
        <w:pStyle w:val="2"/>
        <w:spacing w:line="560" w:lineRule="exact"/>
        <w:ind w:firstLine="643"/>
        <w:rPr>
          <w:rFonts w:ascii="Times New Roman"/>
          <w:b/>
          <w:bCs/>
          <w:sz w:val="32"/>
          <w:szCs w:val="32"/>
        </w:rPr>
      </w:pPr>
      <w:r>
        <w:rPr>
          <w:rFonts w:ascii="Times New Roman"/>
          <w:b/>
          <w:bCs/>
          <w:sz w:val="32"/>
          <w:szCs w:val="32"/>
        </w:rPr>
        <w:t xml:space="preserve">第二十九条 </w:t>
      </w:r>
      <w:r>
        <w:rPr>
          <w:rFonts w:ascii="Times New Roman"/>
          <w:bCs/>
          <w:kern w:val="0"/>
          <w:sz w:val="32"/>
          <w:szCs w:val="32"/>
        </w:rPr>
        <w:t>基金管理人应当在中期报告中披露报告期内</w:t>
      </w:r>
      <w:r>
        <w:rPr>
          <w:rFonts w:ascii="Times New Roman"/>
          <w:sz w:val="32"/>
          <w:szCs w:val="32"/>
        </w:rPr>
        <w:t>信息披露义务人、原始权益人、运营管理机构、资产支持证券管理人、资产支持证券托管人、项目公司和专业机构</w:t>
      </w:r>
      <w:r>
        <w:rPr>
          <w:rFonts w:ascii="Times New Roman"/>
          <w:bCs/>
          <w:kern w:val="0"/>
          <w:sz w:val="32"/>
          <w:szCs w:val="32"/>
        </w:rPr>
        <w:t>涉及对不动产项目运营有重大影响的处罚、诉讼或者仲裁等情况。</w:t>
      </w:r>
    </w:p>
    <w:p w14:paraId="642EECAF">
      <w:pPr>
        <w:spacing w:line="560" w:lineRule="exact"/>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第三节 不动产项目情况</w:t>
      </w:r>
    </w:p>
    <w:p w14:paraId="773AD75A">
      <w:pPr>
        <w:spacing w:line="560" w:lineRule="exact"/>
        <w:ind w:firstLine="643" w:firstLineChars="200"/>
        <w:rPr>
          <w:rFonts w:eastAsia="仿宋_GB2312"/>
          <w:kern w:val="0"/>
          <w:sz w:val="32"/>
          <w:szCs w:val="32"/>
        </w:rPr>
      </w:pPr>
      <w:r>
        <w:rPr>
          <w:rFonts w:eastAsia="仿宋_GB2312"/>
          <w:b/>
          <w:bCs/>
          <w:sz w:val="32"/>
          <w:szCs w:val="32"/>
        </w:rPr>
        <w:t>第三十条</w:t>
      </w:r>
      <w:r>
        <w:rPr>
          <w:rFonts w:eastAsia="仿宋_GB2312"/>
          <w:b/>
          <w:kern w:val="0"/>
          <w:sz w:val="32"/>
          <w:szCs w:val="32"/>
        </w:rPr>
        <w:t xml:space="preserve"> </w:t>
      </w:r>
      <w:r>
        <w:rPr>
          <w:rFonts w:eastAsia="仿宋_GB2312"/>
          <w:sz w:val="32"/>
          <w:szCs w:val="32"/>
        </w:rPr>
        <w:t>基金管理人</w:t>
      </w:r>
      <w:r>
        <w:rPr>
          <w:rFonts w:eastAsia="仿宋_GB2312"/>
          <w:kern w:val="0"/>
          <w:sz w:val="32"/>
          <w:szCs w:val="32"/>
        </w:rPr>
        <w:t>应当在中期报告和季度报告中披露不动产项目的基本情况，包括</w:t>
      </w:r>
      <w:r>
        <w:rPr>
          <w:rFonts w:eastAsia="仿宋_GB2312"/>
          <w:sz w:val="32"/>
          <w:szCs w:val="32"/>
        </w:rPr>
        <w:t>不动产项目全称、项目公司名称、不动产项目</w:t>
      </w:r>
      <w:r>
        <w:rPr>
          <w:rFonts w:hint="default" w:eastAsia="仿宋_GB2312"/>
          <w:kern w:val="0"/>
          <w:sz w:val="32"/>
          <w:szCs w:val="32"/>
          <w:lang w:eastAsia="zh-CN"/>
        </w:rPr>
        <w:t>业态</w:t>
      </w:r>
      <w:r>
        <w:rPr>
          <w:rFonts w:eastAsia="仿宋_GB2312"/>
          <w:kern w:val="0"/>
          <w:sz w:val="32"/>
          <w:szCs w:val="32"/>
        </w:rPr>
        <w:t>、</w:t>
      </w:r>
      <w:r>
        <w:rPr>
          <w:rFonts w:eastAsia="仿宋_GB2312"/>
          <w:sz w:val="32"/>
          <w:szCs w:val="32"/>
        </w:rPr>
        <w:t>不动产项目</w:t>
      </w:r>
      <w:r>
        <w:rPr>
          <w:rFonts w:eastAsia="仿宋_GB2312"/>
          <w:kern w:val="0"/>
          <w:sz w:val="32"/>
          <w:szCs w:val="32"/>
        </w:rPr>
        <w:t>主要经营模式、</w:t>
      </w:r>
      <w:r>
        <w:rPr>
          <w:rFonts w:eastAsia="仿宋_GB2312"/>
          <w:sz w:val="32"/>
          <w:szCs w:val="32"/>
        </w:rPr>
        <w:t>不动产项目</w:t>
      </w:r>
      <w:r>
        <w:rPr>
          <w:rFonts w:eastAsia="仿宋_GB2312"/>
          <w:kern w:val="0"/>
          <w:sz w:val="32"/>
          <w:szCs w:val="32"/>
        </w:rPr>
        <w:t>地理位置等。</w:t>
      </w:r>
    </w:p>
    <w:p w14:paraId="27649979">
      <w:pPr>
        <w:tabs>
          <w:tab w:val="left" w:pos="1701"/>
        </w:tabs>
        <w:spacing w:line="560" w:lineRule="exact"/>
        <w:ind w:firstLine="643" w:firstLineChars="200"/>
        <w:rPr>
          <w:rFonts w:eastAsia="仿宋_GB2312"/>
          <w:bCs/>
          <w:kern w:val="0"/>
          <w:sz w:val="32"/>
          <w:szCs w:val="32"/>
        </w:rPr>
      </w:pPr>
      <w:r>
        <w:rPr>
          <w:rFonts w:eastAsia="仿宋_GB2312"/>
          <w:b/>
          <w:bCs/>
          <w:sz w:val="32"/>
          <w:szCs w:val="32"/>
        </w:rPr>
        <w:t>第三十一条</w:t>
      </w:r>
      <w:r>
        <w:rPr>
          <w:rFonts w:eastAsia="仿宋_GB2312"/>
          <w:b/>
          <w:kern w:val="0"/>
          <w:sz w:val="32"/>
          <w:szCs w:val="32"/>
        </w:rPr>
        <w:t xml:space="preserve"> </w:t>
      </w:r>
      <w:r>
        <w:rPr>
          <w:rFonts w:eastAsia="仿宋_GB2312"/>
          <w:bCs/>
          <w:kern w:val="0"/>
          <w:sz w:val="32"/>
          <w:szCs w:val="32"/>
        </w:rPr>
        <w:t>基金管理人应当在中期报告中披露不动产项目所属行业的下列情况：</w:t>
      </w:r>
    </w:p>
    <w:p w14:paraId="59608182">
      <w:pPr>
        <w:tabs>
          <w:tab w:val="left" w:pos="1701"/>
        </w:tabs>
        <w:spacing w:line="560" w:lineRule="exact"/>
        <w:ind w:firstLine="640" w:firstLineChars="200"/>
        <w:rPr>
          <w:rFonts w:eastAsia="仿宋_GB2312"/>
          <w:bCs/>
          <w:kern w:val="0"/>
          <w:sz w:val="32"/>
          <w:szCs w:val="32"/>
        </w:rPr>
      </w:pPr>
      <w:r>
        <w:rPr>
          <w:rFonts w:eastAsia="仿宋_GB2312"/>
          <w:bCs/>
          <w:kern w:val="0"/>
          <w:sz w:val="32"/>
          <w:szCs w:val="32"/>
        </w:rPr>
        <w:t>（一）所属行业基本情况、发展阶段、周期性特点和竞争格局；</w:t>
      </w:r>
    </w:p>
    <w:p w14:paraId="71A47759">
      <w:pPr>
        <w:tabs>
          <w:tab w:val="left" w:pos="1701"/>
        </w:tabs>
        <w:spacing w:line="560" w:lineRule="exact"/>
        <w:ind w:firstLine="640" w:firstLineChars="200"/>
        <w:rPr>
          <w:rFonts w:eastAsia="仿宋_GB2312"/>
          <w:bCs/>
          <w:kern w:val="0"/>
          <w:sz w:val="32"/>
          <w:szCs w:val="32"/>
        </w:rPr>
      </w:pPr>
      <w:r>
        <w:rPr>
          <w:rFonts w:eastAsia="仿宋_GB2312"/>
          <w:bCs/>
          <w:kern w:val="0"/>
          <w:sz w:val="32"/>
          <w:szCs w:val="32"/>
        </w:rPr>
        <w:t>（</w:t>
      </w:r>
      <w:r>
        <w:rPr>
          <w:rFonts w:hint="default" w:eastAsia="仿宋_GB2312"/>
          <w:bCs/>
          <w:kern w:val="0"/>
          <w:sz w:val="32"/>
          <w:szCs w:val="32"/>
          <w:lang w:eastAsia="zh-CN"/>
        </w:rPr>
        <w:t>二</w:t>
      </w:r>
      <w:r>
        <w:rPr>
          <w:rFonts w:eastAsia="仿宋_GB2312"/>
          <w:bCs/>
          <w:kern w:val="0"/>
          <w:sz w:val="32"/>
          <w:szCs w:val="32"/>
        </w:rPr>
        <w:t>）新公布的法律法规、行业政策、区域政策、税收政策对所属行业、区域的重大影响；</w:t>
      </w:r>
    </w:p>
    <w:p w14:paraId="4D838638">
      <w:pPr>
        <w:tabs>
          <w:tab w:val="left" w:pos="1701"/>
        </w:tabs>
        <w:spacing w:line="560" w:lineRule="exact"/>
        <w:ind w:firstLine="640" w:firstLineChars="200"/>
        <w:rPr>
          <w:rFonts w:eastAsia="仿宋_GB2312"/>
          <w:bCs/>
          <w:kern w:val="0"/>
          <w:sz w:val="32"/>
          <w:szCs w:val="32"/>
        </w:rPr>
      </w:pPr>
      <w:r>
        <w:rPr>
          <w:rFonts w:eastAsia="仿宋_GB2312"/>
          <w:bCs/>
          <w:kern w:val="0"/>
          <w:sz w:val="32"/>
          <w:szCs w:val="32"/>
        </w:rPr>
        <w:t>（</w:t>
      </w:r>
      <w:r>
        <w:rPr>
          <w:rFonts w:hint="default" w:eastAsia="仿宋_GB2312"/>
          <w:bCs/>
          <w:kern w:val="0"/>
          <w:sz w:val="32"/>
          <w:szCs w:val="32"/>
          <w:lang w:eastAsia="zh-CN"/>
        </w:rPr>
        <w:t>三</w:t>
      </w:r>
      <w:r>
        <w:rPr>
          <w:rFonts w:eastAsia="仿宋_GB2312"/>
          <w:bCs/>
          <w:kern w:val="0"/>
          <w:sz w:val="32"/>
          <w:szCs w:val="32"/>
        </w:rPr>
        <w:t>）所属行业的其他整体情况和竞争情况。</w:t>
      </w:r>
    </w:p>
    <w:p w14:paraId="49C0F9F8">
      <w:pPr>
        <w:tabs>
          <w:tab w:val="left" w:pos="1701"/>
        </w:tabs>
        <w:spacing w:line="560" w:lineRule="exact"/>
        <w:ind w:firstLine="643" w:firstLineChars="200"/>
        <w:rPr>
          <w:rFonts w:eastAsia="仿宋_GB2312"/>
          <w:kern w:val="0"/>
          <w:sz w:val="32"/>
          <w:szCs w:val="32"/>
        </w:rPr>
      </w:pPr>
      <w:r>
        <w:rPr>
          <w:rFonts w:eastAsia="仿宋_GB2312"/>
          <w:b/>
          <w:kern w:val="0"/>
          <w:sz w:val="32"/>
          <w:szCs w:val="32"/>
        </w:rPr>
        <w:t xml:space="preserve">第三十二条 </w:t>
      </w:r>
      <w:r>
        <w:rPr>
          <w:rFonts w:eastAsia="仿宋_GB2312"/>
          <w:sz w:val="32"/>
          <w:szCs w:val="32"/>
        </w:rPr>
        <w:t>基金管理人应当在中期报告和季度报告中分别披露报告期内不动产项目的下列运营情况：</w:t>
      </w:r>
    </w:p>
    <w:p w14:paraId="0B4280F4">
      <w:pPr>
        <w:tabs>
          <w:tab w:val="left" w:pos="1701"/>
        </w:tabs>
        <w:spacing w:line="560" w:lineRule="exact"/>
        <w:ind w:firstLine="640" w:firstLineChars="200"/>
        <w:rPr>
          <w:rFonts w:hint="default" w:eastAsia="仿宋_GB2312"/>
          <w:kern w:val="0"/>
          <w:sz w:val="32"/>
          <w:szCs w:val="32"/>
          <w:lang w:eastAsia="zh-CN"/>
        </w:rPr>
      </w:pPr>
      <w:r>
        <w:rPr>
          <w:rFonts w:eastAsia="仿宋_GB2312"/>
          <w:kern w:val="0"/>
          <w:sz w:val="32"/>
          <w:szCs w:val="32"/>
        </w:rPr>
        <w:t>（一）报告期内重要</w:t>
      </w:r>
      <w:r>
        <w:rPr>
          <w:rFonts w:eastAsia="仿宋_GB2312"/>
          <w:sz w:val="32"/>
          <w:szCs w:val="32"/>
        </w:rPr>
        <w:t>不动产项目</w:t>
      </w:r>
      <w:r>
        <w:rPr>
          <w:rFonts w:eastAsia="仿宋_GB2312"/>
          <w:kern w:val="0"/>
          <w:sz w:val="32"/>
          <w:szCs w:val="32"/>
        </w:rPr>
        <w:t>运营情况的说明，包括不动产项目运营年限、报告期内周边新增竞争性项目的基本情况以及对基金份额持有人权益的影响（如有）、报告期内发生的重大变化和经营策略调整以及对基金份额持有人权益的影响（如有）等</w:t>
      </w:r>
      <w:r>
        <w:rPr>
          <w:rFonts w:hint="default" w:eastAsia="仿宋_GB2312"/>
          <w:kern w:val="0"/>
          <w:sz w:val="32"/>
          <w:szCs w:val="32"/>
          <w:lang w:eastAsia="zh-CN"/>
        </w:rPr>
        <w:t>；</w:t>
      </w:r>
    </w:p>
    <w:p w14:paraId="1159CCA9">
      <w:pPr>
        <w:tabs>
          <w:tab w:val="left" w:pos="1701"/>
        </w:tabs>
        <w:spacing w:line="560" w:lineRule="exact"/>
        <w:ind w:firstLine="640" w:firstLineChars="200"/>
        <w:rPr>
          <w:rFonts w:hint="default" w:eastAsia="仿宋_GB2312"/>
          <w:kern w:val="0"/>
          <w:sz w:val="32"/>
          <w:szCs w:val="32"/>
          <w:lang w:eastAsia="zh-CN"/>
        </w:rPr>
      </w:pPr>
      <w:r>
        <w:rPr>
          <w:rFonts w:eastAsia="仿宋_GB2312"/>
          <w:kern w:val="0"/>
          <w:sz w:val="32"/>
          <w:szCs w:val="32"/>
        </w:rPr>
        <w:t>（二）报告期以及上年同期重要不动产项目运营指标以及</w:t>
      </w:r>
      <w:r>
        <w:rPr>
          <w:rFonts w:eastAsia="仿宋_GB2312"/>
          <w:sz w:val="32"/>
          <w:szCs w:val="32"/>
        </w:rPr>
        <w:t>不动产项目</w:t>
      </w:r>
      <w:r>
        <w:rPr>
          <w:rFonts w:eastAsia="仿宋_GB2312"/>
          <w:kern w:val="0"/>
          <w:sz w:val="32"/>
          <w:szCs w:val="32"/>
        </w:rPr>
        <w:t>整体的运营指标</w:t>
      </w:r>
      <w:r>
        <w:rPr>
          <w:rFonts w:hint="default" w:eastAsia="仿宋_GB2312"/>
          <w:kern w:val="0"/>
          <w:sz w:val="32"/>
          <w:szCs w:val="32"/>
          <w:lang w:eastAsia="zh-CN"/>
        </w:rPr>
        <w:t>；</w:t>
      </w:r>
      <w:r>
        <w:rPr>
          <w:rFonts w:eastAsia="仿宋_GB2312"/>
          <w:kern w:val="0"/>
          <w:sz w:val="32"/>
          <w:szCs w:val="32"/>
        </w:rPr>
        <w:t>运营指标同比变动幅度超过30%的，基金管理人应当进一步说明涉及金额、变动原因、是否具有持续性以及后续应对措施</w:t>
      </w:r>
      <w:r>
        <w:rPr>
          <w:rFonts w:hint="default" w:eastAsia="仿宋_GB2312"/>
          <w:kern w:val="0"/>
          <w:sz w:val="32"/>
          <w:szCs w:val="32"/>
          <w:lang w:eastAsia="zh-CN"/>
        </w:rPr>
        <w:t>；</w:t>
      </w:r>
    </w:p>
    <w:p w14:paraId="3D0D35D4">
      <w:pPr>
        <w:tabs>
          <w:tab w:val="left" w:pos="1701"/>
        </w:tabs>
        <w:spacing w:line="560" w:lineRule="exact"/>
        <w:ind w:firstLine="640" w:firstLineChars="200"/>
        <w:rPr>
          <w:rFonts w:eastAsia="仿宋_GB2312"/>
          <w:sz w:val="32"/>
          <w:szCs w:val="32"/>
        </w:rPr>
      </w:pPr>
      <w:r>
        <w:rPr>
          <w:rFonts w:eastAsia="仿宋_GB2312"/>
          <w:kern w:val="0"/>
          <w:sz w:val="32"/>
          <w:szCs w:val="32"/>
        </w:rPr>
        <w:t>（三）基金管理人认为可能存在对基金份额持有人权益产生重大不利影响的经营风险、行业风险、周期性风险等，应当进行风险提示。</w:t>
      </w:r>
    </w:p>
    <w:p w14:paraId="3ED6D5F7">
      <w:pPr>
        <w:tabs>
          <w:tab w:val="left" w:pos="1701"/>
        </w:tabs>
        <w:spacing w:line="560" w:lineRule="exact"/>
        <w:ind w:firstLine="643" w:firstLineChars="200"/>
        <w:rPr>
          <w:rFonts w:eastAsia="仿宋_GB2312"/>
          <w:kern w:val="0"/>
          <w:sz w:val="32"/>
          <w:szCs w:val="32"/>
        </w:rPr>
      </w:pPr>
      <w:r>
        <w:rPr>
          <w:rFonts w:eastAsia="仿宋_GB2312"/>
          <w:b/>
          <w:kern w:val="0"/>
          <w:sz w:val="32"/>
          <w:szCs w:val="32"/>
        </w:rPr>
        <w:t xml:space="preserve">第三十三条 </w:t>
      </w:r>
      <w:r>
        <w:rPr>
          <w:rFonts w:eastAsia="仿宋_GB2312"/>
          <w:sz w:val="32"/>
          <w:szCs w:val="32"/>
        </w:rPr>
        <w:t>基金管理人应当在中期报告和季度报告中分别披露报告期内重要</w:t>
      </w:r>
      <w:r>
        <w:rPr>
          <w:rFonts w:hint="default" w:eastAsia="仿宋_GB2312"/>
          <w:sz w:val="32"/>
          <w:szCs w:val="32"/>
          <w:lang w:eastAsia="zh-CN"/>
        </w:rPr>
        <w:t>不动产</w:t>
      </w:r>
      <w:r>
        <w:rPr>
          <w:rFonts w:eastAsia="仿宋_GB2312"/>
          <w:sz w:val="32"/>
          <w:szCs w:val="32"/>
        </w:rPr>
        <w:t>项目公司的主要财务指标并进行财务分析：</w:t>
      </w:r>
    </w:p>
    <w:p w14:paraId="52DB374D">
      <w:pPr>
        <w:tabs>
          <w:tab w:val="left" w:pos="1701"/>
        </w:tabs>
        <w:spacing w:line="560" w:lineRule="exact"/>
        <w:ind w:firstLine="640" w:firstLineChars="200"/>
        <w:rPr>
          <w:rFonts w:hint="default" w:eastAsia="仿宋_GB2312"/>
          <w:kern w:val="0"/>
          <w:sz w:val="32"/>
          <w:szCs w:val="32"/>
          <w:lang w:eastAsia="zh-CN"/>
        </w:rPr>
      </w:pPr>
      <w:r>
        <w:rPr>
          <w:rFonts w:eastAsia="仿宋_GB2312"/>
          <w:kern w:val="0"/>
          <w:sz w:val="32"/>
          <w:szCs w:val="32"/>
        </w:rPr>
        <w:t>（一）</w:t>
      </w:r>
      <w:r>
        <w:rPr>
          <w:rFonts w:eastAsia="仿宋_GB2312"/>
          <w:sz w:val="32"/>
          <w:szCs w:val="32"/>
        </w:rPr>
        <w:t>项目公司</w:t>
      </w:r>
      <w:r>
        <w:rPr>
          <w:rFonts w:eastAsia="仿宋_GB2312"/>
          <w:kern w:val="0"/>
          <w:sz w:val="32"/>
          <w:szCs w:val="32"/>
        </w:rPr>
        <w:t>主要资产科目报告期末和上年末金额及其同比变化情况</w:t>
      </w:r>
      <w:r>
        <w:rPr>
          <w:rFonts w:hint="default" w:eastAsia="仿宋_GB2312"/>
          <w:kern w:val="0"/>
          <w:sz w:val="32"/>
          <w:szCs w:val="32"/>
          <w:lang w:eastAsia="zh-CN"/>
        </w:rPr>
        <w:t>；</w:t>
      </w:r>
    </w:p>
    <w:p w14:paraId="3EE56542">
      <w:pPr>
        <w:tabs>
          <w:tab w:val="left" w:pos="1701"/>
        </w:tabs>
        <w:spacing w:line="560" w:lineRule="exact"/>
        <w:ind w:firstLine="640" w:firstLineChars="200"/>
        <w:rPr>
          <w:rFonts w:hint="default" w:eastAsia="仿宋_GB2312"/>
          <w:kern w:val="0"/>
          <w:sz w:val="32"/>
          <w:szCs w:val="32"/>
          <w:lang w:eastAsia="zh-CN"/>
        </w:rPr>
      </w:pPr>
      <w:r>
        <w:rPr>
          <w:rFonts w:eastAsia="仿宋_GB2312"/>
          <w:kern w:val="0"/>
          <w:sz w:val="32"/>
          <w:szCs w:val="32"/>
        </w:rPr>
        <w:t>（二）</w:t>
      </w:r>
      <w:r>
        <w:rPr>
          <w:rFonts w:eastAsia="仿宋_GB2312"/>
          <w:sz w:val="32"/>
          <w:szCs w:val="32"/>
        </w:rPr>
        <w:t>项目公司</w:t>
      </w:r>
      <w:r>
        <w:rPr>
          <w:rFonts w:eastAsia="仿宋_GB2312"/>
          <w:kern w:val="0"/>
          <w:sz w:val="32"/>
          <w:szCs w:val="32"/>
        </w:rPr>
        <w:t>主要负债科目报告期末和上年末金额及其同比变化情况</w:t>
      </w:r>
      <w:r>
        <w:rPr>
          <w:rFonts w:hint="default" w:eastAsia="仿宋_GB2312"/>
          <w:kern w:val="0"/>
          <w:sz w:val="32"/>
          <w:szCs w:val="32"/>
          <w:lang w:eastAsia="zh-CN"/>
        </w:rPr>
        <w:t>；</w:t>
      </w:r>
      <w:r>
        <w:rPr>
          <w:rFonts w:eastAsia="仿宋_GB2312"/>
          <w:kern w:val="0"/>
          <w:sz w:val="32"/>
          <w:szCs w:val="32"/>
        </w:rPr>
        <w:t>存在或有负债的，应当说明或有负债的种类及其形成原因、预计产生的财务影响和应对措施</w:t>
      </w:r>
      <w:r>
        <w:rPr>
          <w:rFonts w:hint="default" w:eastAsia="仿宋_GB2312"/>
          <w:kern w:val="0"/>
          <w:sz w:val="32"/>
          <w:szCs w:val="32"/>
          <w:lang w:eastAsia="zh-CN"/>
        </w:rPr>
        <w:t>；</w:t>
      </w:r>
    </w:p>
    <w:p w14:paraId="016A581E">
      <w:pPr>
        <w:pStyle w:val="2"/>
        <w:spacing w:line="560" w:lineRule="exact"/>
        <w:ind w:firstLine="640"/>
        <w:rPr>
          <w:rFonts w:hint="default" w:ascii="Times New Roman" w:eastAsia="仿宋_GB2312"/>
          <w:kern w:val="0"/>
          <w:sz w:val="32"/>
          <w:szCs w:val="32"/>
          <w:lang w:eastAsia="zh-CN"/>
        </w:rPr>
      </w:pPr>
      <w:r>
        <w:rPr>
          <w:rFonts w:ascii="Times New Roman"/>
          <w:kern w:val="0"/>
          <w:sz w:val="32"/>
          <w:szCs w:val="32"/>
        </w:rPr>
        <w:t>（三）项目公司报告期和上年同期的营业收入、营业成本以及主要费用金额、构成比例及其同比变化情况</w:t>
      </w:r>
      <w:r>
        <w:rPr>
          <w:rFonts w:hint="default" w:ascii="Times New Roman"/>
          <w:kern w:val="0"/>
          <w:sz w:val="32"/>
          <w:szCs w:val="32"/>
          <w:lang w:eastAsia="zh-CN"/>
        </w:rPr>
        <w:t>；</w:t>
      </w:r>
    </w:p>
    <w:p w14:paraId="67C320C8">
      <w:pPr>
        <w:tabs>
          <w:tab w:val="left" w:pos="1701"/>
        </w:tabs>
        <w:spacing w:line="560" w:lineRule="exact"/>
        <w:ind w:firstLine="640" w:firstLineChars="200"/>
        <w:rPr>
          <w:rFonts w:eastAsia="仿宋_GB2312"/>
          <w:kern w:val="0"/>
          <w:sz w:val="32"/>
          <w:szCs w:val="32"/>
        </w:rPr>
      </w:pPr>
      <w:r>
        <w:rPr>
          <w:rFonts w:eastAsia="仿宋_GB2312"/>
          <w:kern w:val="0"/>
          <w:sz w:val="32"/>
          <w:szCs w:val="32"/>
        </w:rPr>
        <w:t>（四）</w:t>
      </w:r>
      <w:r>
        <w:rPr>
          <w:rFonts w:hint="default" w:eastAsia="仿宋_GB2312"/>
          <w:kern w:val="0"/>
          <w:sz w:val="32"/>
          <w:szCs w:val="32"/>
          <w:lang w:eastAsia="zh"/>
        </w:rPr>
        <w:t>项目公司</w:t>
      </w:r>
      <w:r>
        <w:rPr>
          <w:rFonts w:eastAsia="仿宋_GB2312"/>
          <w:kern w:val="0"/>
          <w:sz w:val="32"/>
          <w:szCs w:val="32"/>
        </w:rPr>
        <w:t>报告期和上年同期毛利率、息税折旧摊销前</w:t>
      </w:r>
      <w:r>
        <w:rPr>
          <w:rFonts w:hint="default" w:eastAsia="仿宋_GB2312"/>
          <w:kern w:val="0"/>
          <w:sz w:val="32"/>
          <w:szCs w:val="32"/>
          <w:lang w:eastAsia="zh-CN"/>
        </w:rPr>
        <w:t>利润率</w:t>
      </w:r>
      <w:r>
        <w:rPr>
          <w:rFonts w:eastAsia="仿宋_GB2312"/>
          <w:kern w:val="0"/>
          <w:sz w:val="32"/>
          <w:szCs w:val="32"/>
        </w:rPr>
        <w:t>以及其他不动产项目的财务业绩衡量指标。</w:t>
      </w:r>
    </w:p>
    <w:p w14:paraId="43CD871A">
      <w:pPr>
        <w:tabs>
          <w:tab w:val="left" w:pos="1701"/>
        </w:tabs>
        <w:spacing w:line="560" w:lineRule="exact"/>
        <w:ind w:firstLine="640" w:firstLineChars="200"/>
        <w:rPr>
          <w:rFonts w:eastAsia="仿宋_GB2312"/>
          <w:sz w:val="32"/>
          <w:szCs w:val="32"/>
        </w:rPr>
      </w:pPr>
      <w:r>
        <w:rPr>
          <w:rFonts w:eastAsia="仿宋_GB2312"/>
          <w:kern w:val="0"/>
          <w:sz w:val="32"/>
          <w:szCs w:val="32"/>
        </w:rPr>
        <w:t>前款相关指标同比变动幅度超过30%的，基金管理人应当进一步说明涉及金额、变动原因、是否具有持续性以及后续应对措施。</w:t>
      </w:r>
    </w:p>
    <w:p w14:paraId="3EC4CBB5">
      <w:pPr>
        <w:tabs>
          <w:tab w:val="left" w:pos="1701"/>
        </w:tabs>
        <w:spacing w:line="560" w:lineRule="exact"/>
        <w:ind w:firstLine="643" w:firstLineChars="200"/>
        <w:rPr>
          <w:rFonts w:eastAsia="仿宋_GB2312"/>
          <w:sz w:val="32"/>
          <w:szCs w:val="32"/>
        </w:rPr>
      </w:pPr>
      <w:r>
        <w:rPr>
          <w:rFonts w:eastAsia="仿宋_GB2312"/>
          <w:b/>
          <w:kern w:val="0"/>
          <w:sz w:val="32"/>
          <w:szCs w:val="32"/>
        </w:rPr>
        <w:t xml:space="preserve">第三十四条 </w:t>
      </w:r>
      <w:r>
        <w:rPr>
          <w:rFonts w:eastAsia="仿宋_GB2312"/>
          <w:sz w:val="32"/>
          <w:szCs w:val="32"/>
        </w:rPr>
        <w:t>基金管理人应当在中期报告和季度报告中披露报告期内项目公司经营现金流的归集、管理、使用以及变化情况，包括收入归集路径、报告期和上年同期收入归集总金额、对外支出总金额等。</w:t>
      </w:r>
    </w:p>
    <w:p w14:paraId="1EC7C1BD">
      <w:pPr>
        <w:tabs>
          <w:tab w:val="left" w:pos="1701"/>
        </w:tabs>
        <w:spacing w:line="560" w:lineRule="exact"/>
        <w:ind w:firstLine="640" w:firstLineChars="200"/>
        <w:rPr>
          <w:rFonts w:eastAsia="仿宋_GB2312"/>
          <w:sz w:val="32"/>
          <w:szCs w:val="32"/>
        </w:rPr>
      </w:pPr>
      <w:r>
        <w:rPr>
          <w:rFonts w:eastAsia="仿宋_GB2312"/>
          <w:sz w:val="32"/>
          <w:szCs w:val="32"/>
        </w:rPr>
        <w:t>来源于单一客户及其关联方的现金流占比超过10%的，基金管理人应当说明相关交易公允性、客户经营稳定性等情况。</w:t>
      </w:r>
    </w:p>
    <w:p w14:paraId="7060211C">
      <w:pPr>
        <w:tabs>
          <w:tab w:val="left" w:pos="1701"/>
        </w:tabs>
        <w:spacing w:line="560" w:lineRule="exact"/>
        <w:ind w:firstLine="643" w:firstLineChars="200"/>
        <w:rPr>
          <w:rFonts w:eastAsia="仿宋_GB2312"/>
          <w:kern w:val="0"/>
          <w:sz w:val="32"/>
          <w:szCs w:val="32"/>
        </w:rPr>
      </w:pPr>
      <w:r>
        <w:rPr>
          <w:rFonts w:eastAsia="仿宋_GB2312"/>
          <w:b/>
          <w:kern w:val="0"/>
          <w:sz w:val="32"/>
          <w:szCs w:val="32"/>
        </w:rPr>
        <w:t xml:space="preserve">第三十五条 </w:t>
      </w:r>
      <w:r>
        <w:rPr>
          <w:rFonts w:eastAsia="仿宋_GB2312"/>
          <w:kern w:val="0"/>
          <w:sz w:val="32"/>
          <w:szCs w:val="32"/>
        </w:rPr>
        <w:t>不动产基金或者</w:t>
      </w:r>
      <w:r>
        <w:rPr>
          <w:rFonts w:eastAsia="仿宋_GB2312"/>
          <w:sz w:val="32"/>
          <w:szCs w:val="32"/>
        </w:rPr>
        <w:t>项目公司</w:t>
      </w:r>
      <w:r>
        <w:rPr>
          <w:rFonts w:eastAsia="仿宋_GB2312"/>
          <w:kern w:val="0"/>
          <w:sz w:val="32"/>
          <w:szCs w:val="32"/>
        </w:rPr>
        <w:t>在报告期内对外借入、归还款项，或者在报告期末存在对外借入款项余额的，基金管理人应当在中期报告中逐笔披露借款对象、借款形式、借款金额、借款利率、借款起始日与到期日、增信措施（如有）、期末余额、报告期内还款金额、未来还本计划（如有）等，并分析报告期与上年同期借入款项的变化情况。</w:t>
      </w:r>
    </w:p>
    <w:p w14:paraId="32E32AE1">
      <w:pPr>
        <w:tabs>
          <w:tab w:val="left" w:pos="1701"/>
        </w:tabs>
        <w:spacing w:line="560" w:lineRule="exact"/>
        <w:ind w:firstLine="640" w:firstLineChars="200"/>
        <w:rPr>
          <w:rFonts w:eastAsia="仿宋_GB2312"/>
          <w:kern w:val="0"/>
          <w:sz w:val="32"/>
          <w:szCs w:val="32"/>
        </w:rPr>
      </w:pPr>
      <w:r>
        <w:rPr>
          <w:rFonts w:eastAsia="仿宋_GB2312"/>
          <w:kern w:val="0"/>
          <w:sz w:val="32"/>
          <w:szCs w:val="32"/>
        </w:rPr>
        <w:t>报告期内新增对外借入款项的，基金管理人应当逐笔披露借款原因以及使用情况、是否存在对外借入款项不符合借款要求的情形及其整改措施、对基金份额持有人权益的影响。</w:t>
      </w:r>
    </w:p>
    <w:p w14:paraId="4FF0CF61">
      <w:pPr>
        <w:tabs>
          <w:tab w:val="left" w:pos="1701"/>
        </w:tabs>
        <w:spacing w:line="560" w:lineRule="exact"/>
        <w:ind w:firstLine="643" w:firstLineChars="200"/>
        <w:rPr>
          <w:rFonts w:eastAsia="仿宋_GB2312"/>
          <w:bCs/>
          <w:kern w:val="0"/>
          <w:sz w:val="32"/>
          <w:szCs w:val="32"/>
        </w:rPr>
      </w:pPr>
      <w:r>
        <w:rPr>
          <w:rFonts w:eastAsia="仿宋_GB2312"/>
          <w:b/>
          <w:kern w:val="0"/>
          <w:sz w:val="32"/>
          <w:szCs w:val="32"/>
        </w:rPr>
        <w:t xml:space="preserve">第三十六条 </w:t>
      </w:r>
      <w:r>
        <w:rPr>
          <w:rFonts w:eastAsia="仿宋_GB2312"/>
          <w:bCs/>
          <w:kern w:val="0"/>
          <w:sz w:val="32"/>
          <w:szCs w:val="32"/>
        </w:rPr>
        <w:t>报告期内购入或者出售不动产项目的，基金管理人应当在中期报告中披露</w:t>
      </w:r>
      <w:r>
        <w:rPr>
          <w:rFonts w:eastAsia="仿宋_GB2312"/>
          <w:sz w:val="32"/>
          <w:szCs w:val="32"/>
        </w:rPr>
        <w:t>不动产项目</w:t>
      </w:r>
      <w:r>
        <w:rPr>
          <w:rFonts w:eastAsia="仿宋_GB2312"/>
          <w:bCs/>
          <w:kern w:val="0"/>
          <w:sz w:val="32"/>
          <w:szCs w:val="32"/>
        </w:rPr>
        <w:t>名称、交易方向、交易对手、交易金额、</w:t>
      </w:r>
      <w:r>
        <w:rPr>
          <w:rFonts w:eastAsia="仿宋_GB2312"/>
          <w:sz w:val="32"/>
          <w:szCs w:val="32"/>
        </w:rPr>
        <w:t>不动产项目</w:t>
      </w:r>
      <w:r>
        <w:rPr>
          <w:rFonts w:eastAsia="仿宋_GB2312"/>
          <w:bCs/>
          <w:kern w:val="0"/>
          <w:sz w:val="32"/>
          <w:szCs w:val="32"/>
        </w:rPr>
        <w:t>账面价值、</w:t>
      </w:r>
      <w:r>
        <w:rPr>
          <w:rFonts w:eastAsia="仿宋_GB2312"/>
          <w:sz w:val="32"/>
          <w:szCs w:val="32"/>
        </w:rPr>
        <w:t>不动产项目</w:t>
      </w:r>
      <w:r>
        <w:rPr>
          <w:rFonts w:eastAsia="仿宋_GB2312"/>
          <w:bCs/>
          <w:kern w:val="0"/>
          <w:sz w:val="32"/>
          <w:szCs w:val="32"/>
        </w:rPr>
        <w:t>评估价格</w:t>
      </w:r>
      <w:r>
        <w:rPr>
          <w:rFonts w:eastAsia="仿宋_GB2312"/>
          <w:kern w:val="0"/>
          <w:sz w:val="32"/>
          <w:szCs w:val="32"/>
        </w:rPr>
        <w:t>以</w:t>
      </w:r>
      <w:r>
        <w:rPr>
          <w:rFonts w:eastAsia="仿宋_GB2312"/>
          <w:bCs/>
          <w:kern w:val="0"/>
          <w:sz w:val="32"/>
          <w:szCs w:val="32"/>
        </w:rPr>
        <w:t>及评估方法（如有）等。</w:t>
      </w:r>
    </w:p>
    <w:p w14:paraId="6450ADAE">
      <w:pPr>
        <w:tabs>
          <w:tab w:val="left" w:pos="1701"/>
        </w:tabs>
        <w:spacing w:line="560" w:lineRule="exact"/>
        <w:ind w:firstLine="643" w:firstLineChars="200"/>
        <w:rPr>
          <w:rFonts w:eastAsia="仿宋_GB2312"/>
          <w:sz w:val="32"/>
          <w:szCs w:val="32"/>
        </w:rPr>
      </w:pPr>
      <w:r>
        <w:rPr>
          <w:rFonts w:eastAsia="仿宋_GB2312"/>
          <w:b/>
          <w:kern w:val="0"/>
          <w:sz w:val="32"/>
          <w:szCs w:val="32"/>
        </w:rPr>
        <w:t xml:space="preserve">第三十七条 </w:t>
      </w:r>
      <w:r>
        <w:rPr>
          <w:rFonts w:eastAsia="仿宋_GB2312"/>
          <w:bCs/>
          <w:kern w:val="0"/>
          <w:sz w:val="32"/>
          <w:szCs w:val="32"/>
        </w:rPr>
        <w:t>基金管理人应当在中期报告中披露报告期内不动产项目保险承保范围、购买和主要使用情况等。</w:t>
      </w:r>
    </w:p>
    <w:p w14:paraId="0623C634">
      <w:pPr>
        <w:pStyle w:val="2"/>
        <w:spacing w:line="560" w:lineRule="exact"/>
        <w:ind w:firstLine="643"/>
        <w:rPr>
          <w:rFonts w:ascii="Times New Roman"/>
          <w:bCs/>
          <w:kern w:val="0"/>
          <w:sz w:val="32"/>
          <w:szCs w:val="32"/>
        </w:rPr>
      </w:pPr>
      <w:r>
        <w:rPr>
          <w:rFonts w:ascii="Times New Roman"/>
          <w:b/>
          <w:kern w:val="0"/>
          <w:sz w:val="32"/>
          <w:szCs w:val="32"/>
        </w:rPr>
        <w:t xml:space="preserve">第三十八条 </w:t>
      </w:r>
      <w:r>
        <w:rPr>
          <w:rFonts w:ascii="Times New Roman"/>
          <w:bCs/>
          <w:kern w:val="0"/>
          <w:sz w:val="32"/>
          <w:szCs w:val="32"/>
        </w:rPr>
        <w:t>报告期内重要不动产项目的生产经营状况、外部环境已经或者预计发生重大变化的，基金管理人应当在中期报告中披露重大变化的具体情况、发生原因、预计持续时间及其依据</w:t>
      </w:r>
      <w:r>
        <w:rPr>
          <w:rFonts w:hint="default" w:ascii="Times New Roman"/>
          <w:bCs/>
          <w:kern w:val="0"/>
          <w:sz w:val="32"/>
          <w:szCs w:val="32"/>
          <w:lang w:eastAsia="zh-CN"/>
        </w:rPr>
        <w:t>，</w:t>
      </w:r>
      <w:r>
        <w:rPr>
          <w:rFonts w:ascii="Times New Roman"/>
          <w:bCs/>
          <w:kern w:val="0"/>
          <w:sz w:val="32"/>
          <w:szCs w:val="32"/>
        </w:rPr>
        <w:t>以及应对措施，并分析对不动产项目运营情况、经营业绩、现金流和基金份额持有人权益的影响。</w:t>
      </w:r>
    </w:p>
    <w:p w14:paraId="25777223">
      <w:pPr>
        <w:pStyle w:val="2"/>
        <w:spacing w:line="560" w:lineRule="exact"/>
        <w:ind w:firstLine="640"/>
        <w:rPr>
          <w:rFonts w:ascii="Times New Roman"/>
          <w:sz w:val="32"/>
          <w:szCs w:val="32"/>
        </w:rPr>
      </w:pPr>
      <w:r>
        <w:rPr>
          <w:rFonts w:ascii="Times New Roman"/>
          <w:bCs/>
          <w:kern w:val="0"/>
          <w:sz w:val="32"/>
          <w:szCs w:val="32"/>
        </w:rPr>
        <w:t>前款所称重大变化情况包括下列情形</w:t>
      </w:r>
      <w:r>
        <w:rPr>
          <w:rFonts w:ascii="Times New Roman"/>
          <w:sz w:val="32"/>
          <w:szCs w:val="32"/>
        </w:rPr>
        <w:t>：</w:t>
      </w:r>
    </w:p>
    <w:p w14:paraId="726279DC">
      <w:pPr>
        <w:tabs>
          <w:tab w:val="left" w:pos="1701"/>
        </w:tabs>
        <w:spacing w:line="560" w:lineRule="exact"/>
        <w:ind w:firstLine="640"/>
        <w:rPr>
          <w:rFonts w:eastAsia="仿宋_GB2312"/>
          <w:kern w:val="0"/>
          <w:sz w:val="32"/>
          <w:szCs w:val="32"/>
        </w:rPr>
      </w:pPr>
      <w:r>
        <w:rPr>
          <w:rFonts w:eastAsia="仿宋_GB2312"/>
          <w:kern w:val="0"/>
          <w:sz w:val="32"/>
          <w:szCs w:val="32"/>
        </w:rPr>
        <w:t>（一）所在地区或者所属行业的产业政策、竞争格局、融资环境等发生重大变化；</w:t>
      </w:r>
    </w:p>
    <w:p w14:paraId="46E9E242">
      <w:pPr>
        <w:tabs>
          <w:tab w:val="left" w:pos="1701"/>
        </w:tabs>
        <w:spacing w:line="560" w:lineRule="exact"/>
        <w:ind w:firstLine="640"/>
        <w:rPr>
          <w:rFonts w:eastAsia="仿宋_GB2312"/>
          <w:kern w:val="0"/>
          <w:sz w:val="32"/>
          <w:szCs w:val="32"/>
        </w:rPr>
      </w:pPr>
      <w:r>
        <w:rPr>
          <w:rFonts w:eastAsia="仿宋_GB2312"/>
          <w:kern w:val="0"/>
          <w:sz w:val="32"/>
          <w:szCs w:val="32"/>
        </w:rPr>
        <w:t>（二）</w:t>
      </w:r>
      <w:r>
        <w:rPr>
          <w:rFonts w:eastAsia="仿宋_GB2312"/>
          <w:sz w:val="32"/>
          <w:szCs w:val="32"/>
        </w:rPr>
        <w:t>不动产项目</w:t>
      </w:r>
      <w:r>
        <w:rPr>
          <w:rFonts w:eastAsia="仿宋_GB2312"/>
          <w:kern w:val="0"/>
          <w:sz w:val="32"/>
          <w:szCs w:val="32"/>
        </w:rPr>
        <w:t>发生重大环境、生产、安全事故或者遭遇不可抗力；</w:t>
      </w:r>
    </w:p>
    <w:p w14:paraId="1599E934">
      <w:pPr>
        <w:tabs>
          <w:tab w:val="left" w:pos="1701"/>
        </w:tabs>
        <w:spacing w:line="560" w:lineRule="exact"/>
        <w:ind w:firstLine="640"/>
        <w:rPr>
          <w:rFonts w:eastAsia="仿宋_GB2312"/>
          <w:kern w:val="0"/>
          <w:sz w:val="32"/>
          <w:szCs w:val="32"/>
        </w:rPr>
      </w:pPr>
      <w:r>
        <w:rPr>
          <w:rFonts w:eastAsia="仿宋_GB2312"/>
          <w:kern w:val="0"/>
          <w:sz w:val="32"/>
          <w:szCs w:val="32"/>
        </w:rPr>
        <w:t>（三）收到</w:t>
      </w:r>
      <w:r>
        <w:rPr>
          <w:rFonts w:hint="default" w:eastAsia="仿宋_GB2312"/>
          <w:kern w:val="0"/>
          <w:sz w:val="32"/>
          <w:szCs w:val="32"/>
          <w:lang w:eastAsia="zh-CN"/>
        </w:rPr>
        <w:t>有关</w:t>
      </w:r>
      <w:r>
        <w:rPr>
          <w:rFonts w:eastAsia="仿宋_GB2312"/>
          <w:kern w:val="0"/>
          <w:sz w:val="32"/>
          <w:szCs w:val="32"/>
        </w:rPr>
        <w:t>部门整改重大违规行为、停产、搬迁、关闭等决定或者通知；</w:t>
      </w:r>
    </w:p>
    <w:p w14:paraId="4C942098">
      <w:pPr>
        <w:tabs>
          <w:tab w:val="left" w:pos="1701"/>
        </w:tabs>
        <w:spacing w:line="560" w:lineRule="exact"/>
        <w:ind w:firstLine="640"/>
        <w:rPr>
          <w:rFonts w:eastAsia="仿宋_GB2312"/>
          <w:kern w:val="0"/>
          <w:sz w:val="32"/>
          <w:szCs w:val="32"/>
        </w:rPr>
      </w:pPr>
      <w:r>
        <w:rPr>
          <w:rFonts w:eastAsia="仿宋_GB2312"/>
          <w:kern w:val="0"/>
          <w:sz w:val="32"/>
          <w:szCs w:val="32"/>
        </w:rPr>
        <w:t>（四）主要或者全部业务运行陷入停滞；</w:t>
      </w:r>
    </w:p>
    <w:p w14:paraId="69B3439A">
      <w:pPr>
        <w:tabs>
          <w:tab w:val="left" w:pos="1701"/>
        </w:tabs>
        <w:spacing w:line="560" w:lineRule="exact"/>
        <w:ind w:firstLine="640"/>
        <w:rPr>
          <w:rFonts w:eastAsia="仿宋_GB2312"/>
          <w:kern w:val="0"/>
          <w:sz w:val="32"/>
          <w:szCs w:val="32"/>
        </w:rPr>
      </w:pPr>
      <w:r>
        <w:rPr>
          <w:rFonts w:eastAsia="仿宋_GB2312"/>
          <w:kern w:val="0"/>
          <w:sz w:val="32"/>
          <w:szCs w:val="32"/>
        </w:rPr>
        <w:t>（五）丧失重要特许经营权或者其他重要生产经营业务资质；</w:t>
      </w:r>
    </w:p>
    <w:p w14:paraId="1D3569BA">
      <w:pPr>
        <w:tabs>
          <w:tab w:val="left" w:pos="1701"/>
        </w:tabs>
        <w:spacing w:line="560" w:lineRule="exact"/>
        <w:ind w:firstLine="640"/>
        <w:rPr>
          <w:rFonts w:eastAsia="仿宋_GB2312"/>
          <w:kern w:val="0"/>
          <w:sz w:val="32"/>
          <w:szCs w:val="32"/>
        </w:rPr>
      </w:pPr>
      <w:r>
        <w:rPr>
          <w:rFonts w:eastAsia="仿宋_GB2312"/>
          <w:kern w:val="0"/>
          <w:sz w:val="32"/>
          <w:szCs w:val="32"/>
        </w:rPr>
        <w:t>（六）主要产品或者服务的生产、采购、销售等情况发生重大变化；</w:t>
      </w:r>
    </w:p>
    <w:p w14:paraId="2525C4F0">
      <w:pPr>
        <w:tabs>
          <w:tab w:val="left" w:pos="1701"/>
        </w:tabs>
        <w:spacing w:line="560" w:lineRule="exact"/>
        <w:ind w:firstLine="640"/>
        <w:rPr>
          <w:rFonts w:eastAsia="仿宋_GB2312"/>
          <w:kern w:val="0"/>
          <w:sz w:val="32"/>
          <w:szCs w:val="32"/>
        </w:rPr>
      </w:pPr>
      <w:r>
        <w:rPr>
          <w:rFonts w:eastAsia="仿宋_GB2312"/>
          <w:kern w:val="0"/>
          <w:sz w:val="32"/>
          <w:szCs w:val="32"/>
        </w:rPr>
        <w:t>（七）</w:t>
      </w:r>
      <w:r>
        <w:rPr>
          <w:rFonts w:eastAsia="仿宋_GB2312"/>
          <w:bCs/>
          <w:kern w:val="0"/>
          <w:sz w:val="32"/>
          <w:szCs w:val="32"/>
        </w:rPr>
        <w:t>不动产项目</w:t>
      </w:r>
      <w:r>
        <w:rPr>
          <w:rFonts w:eastAsia="仿宋_GB2312"/>
          <w:kern w:val="0"/>
          <w:sz w:val="32"/>
          <w:szCs w:val="32"/>
        </w:rPr>
        <w:t>法律权属发生重要争议</w:t>
      </w:r>
      <w:r>
        <w:rPr>
          <w:rFonts w:hint="default" w:eastAsia="仿宋_GB2312"/>
          <w:kern w:val="0"/>
          <w:sz w:val="32"/>
          <w:szCs w:val="32"/>
          <w:lang w:eastAsia="zh-CN"/>
        </w:rPr>
        <w:t>、</w:t>
      </w:r>
      <w:r>
        <w:rPr>
          <w:rFonts w:eastAsia="仿宋_GB2312"/>
          <w:kern w:val="0"/>
          <w:sz w:val="32"/>
          <w:szCs w:val="32"/>
        </w:rPr>
        <w:t>重大变更，或者</w:t>
      </w:r>
      <w:r>
        <w:rPr>
          <w:rFonts w:eastAsia="仿宋_GB2312"/>
          <w:bCs/>
          <w:kern w:val="0"/>
          <w:sz w:val="32"/>
          <w:szCs w:val="32"/>
        </w:rPr>
        <w:t>不动产项目</w:t>
      </w:r>
      <w:r>
        <w:rPr>
          <w:rFonts w:eastAsia="仿宋_GB2312"/>
          <w:kern w:val="0"/>
          <w:sz w:val="32"/>
          <w:szCs w:val="32"/>
        </w:rPr>
        <w:t>发生抵押、质押、查封、扣押、冻结等</w:t>
      </w:r>
      <w:r>
        <w:rPr>
          <w:rFonts w:hint="default" w:eastAsia="仿宋_GB2312"/>
          <w:bCs/>
          <w:kern w:val="0"/>
          <w:sz w:val="32"/>
          <w:szCs w:val="32"/>
        </w:rPr>
        <w:t>他项权利限制</w:t>
      </w:r>
      <w:r>
        <w:rPr>
          <w:rFonts w:hint="default" w:eastAsia="仿宋_GB2312"/>
          <w:kern w:val="0"/>
          <w:sz w:val="32"/>
          <w:szCs w:val="32"/>
          <w:lang w:eastAsia="zh-CN"/>
        </w:rPr>
        <w:t>，</w:t>
      </w:r>
      <w:r>
        <w:rPr>
          <w:rFonts w:eastAsia="仿宋_GB2312"/>
          <w:bCs/>
          <w:kern w:val="0"/>
          <w:sz w:val="32"/>
          <w:szCs w:val="32"/>
        </w:rPr>
        <w:t>以及其他影响不动产项目转让的情况</w:t>
      </w:r>
      <w:r>
        <w:rPr>
          <w:rFonts w:eastAsia="仿宋_GB2312"/>
          <w:kern w:val="0"/>
          <w:sz w:val="32"/>
          <w:szCs w:val="32"/>
        </w:rPr>
        <w:t>；</w:t>
      </w:r>
    </w:p>
    <w:p w14:paraId="3500DFCA">
      <w:pPr>
        <w:tabs>
          <w:tab w:val="left" w:pos="1701"/>
        </w:tabs>
        <w:spacing w:line="560" w:lineRule="exact"/>
        <w:ind w:firstLine="640"/>
        <w:rPr>
          <w:rFonts w:eastAsia="仿宋_GB2312"/>
          <w:bCs/>
          <w:kern w:val="0"/>
          <w:sz w:val="32"/>
          <w:szCs w:val="32"/>
        </w:rPr>
      </w:pPr>
      <w:r>
        <w:rPr>
          <w:rFonts w:eastAsia="仿宋_GB2312"/>
          <w:kern w:val="0"/>
          <w:sz w:val="32"/>
          <w:szCs w:val="32"/>
        </w:rPr>
        <w:t>（八）其他影响</w:t>
      </w:r>
      <w:r>
        <w:rPr>
          <w:rFonts w:eastAsia="仿宋_GB2312"/>
          <w:sz w:val="32"/>
          <w:szCs w:val="32"/>
        </w:rPr>
        <w:t>不动产项目</w:t>
      </w:r>
      <w:r>
        <w:rPr>
          <w:rFonts w:eastAsia="仿宋_GB2312"/>
          <w:kern w:val="0"/>
          <w:sz w:val="32"/>
          <w:szCs w:val="32"/>
        </w:rPr>
        <w:t>稳定运营的重大变化情形。</w:t>
      </w:r>
    </w:p>
    <w:p w14:paraId="7D960F7D">
      <w:pPr>
        <w:spacing w:line="560" w:lineRule="exact"/>
        <w:ind w:firstLine="643" w:firstLineChars="200"/>
        <w:rPr>
          <w:rFonts w:eastAsia="仿宋_GB2312"/>
          <w:sz w:val="32"/>
          <w:szCs w:val="32"/>
        </w:rPr>
      </w:pPr>
      <w:r>
        <w:rPr>
          <w:rFonts w:eastAsia="仿宋_GB2312"/>
          <w:b/>
          <w:kern w:val="0"/>
          <w:sz w:val="32"/>
          <w:szCs w:val="32"/>
        </w:rPr>
        <w:t xml:space="preserve">第三十九条 </w:t>
      </w:r>
      <w:r>
        <w:rPr>
          <w:rFonts w:hint="default" w:eastAsia="仿宋_GB2312"/>
          <w:b w:val="0"/>
          <w:bCs/>
          <w:kern w:val="0"/>
          <w:sz w:val="32"/>
          <w:szCs w:val="32"/>
        </w:rPr>
        <w:t>基金管理人应当在中期报告和季度报告中披露原始权益人回收资金使用是否符合基金合同</w:t>
      </w:r>
      <w:r>
        <w:rPr>
          <w:rFonts w:hint="default" w:eastAsia="仿宋_GB2312"/>
          <w:b w:val="0"/>
          <w:bCs/>
          <w:kern w:val="0"/>
          <w:sz w:val="32"/>
          <w:szCs w:val="32"/>
          <w:lang w:eastAsia="zh-CN"/>
        </w:rPr>
        <w:t>约定、公开承诺以</w:t>
      </w:r>
      <w:r>
        <w:rPr>
          <w:rFonts w:hint="default" w:eastAsia="仿宋_GB2312"/>
          <w:b w:val="0"/>
          <w:bCs/>
          <w:kern w:val="0"/>
          <w:sz w:val="32"/>
          <w:szCs w:val="32"/>
        </w:rPr>
        <w:t>及</w:t>
      </w:r>
      <w:r>
        <w:rPr>
          <w:rFonts w:hint="default" w:eastAsia="仿宋_GB2312"/>
          <w:b w:val="0"/>
          <w:bCs/>
          <w:kern w:val="0"/>
          <w:sz w:val="32"/>
          <w:szCs w:val="32"/>
          <w:lang w:eastAsia="zh-CN"/>
        </w:rPr>
        <w:t>有关</w:t>
      </w:r>
      <w:r>
        <w:rPr>
          <w:rFonts w:hint="default" w:eastAsia="仿宋_GB2312"/>
          <w:b w:val="0"/>
          <w:bCs/>
          <w:kern w:val="0"/>
          <w:sz w:val="32"/>
          <w:szCs w:val="32"/>
        </w:rPr>
        <w:t>法律</w:t>
      </w:r>
      <w:r>
        <w:rPr>
          <w:rFonts w:hint="default" w:eastAsia="仿宋_GB2312"/>
          <w:b w:val="0"/>
          <w:bCs/>
          <w:kern w:val="0"/>
          <w:sz w:val="32"/>
          <w:szCs w:val="32"/>
          <w:lang w:eastAsia="zh-CN"/>
        </w:rPr>
        <w:t>法规</w:t>
      </w:r>
      <w:r>
        <w:rPr>
          <w:rFonts w:hint="default" w:eastAsia="仿宋_GB2312"/>
          <w:b w:val="0"/>
          <w:bCs/>
          <w:kern w:val="0"/>
          <w:sz w:val="32"/>
          <w:szCs w:val="32"/>
        </w:rPr>
        <w:t>的</w:t>
      </w:r>
      <w:r>
        <w:rPr>
          <w:rFonts w:hint="default" w:eastAsia="仿宋_GB2312"/>
          <w:b w:val="0"/>
          <w:bCs/>
          <w:kern w:val="0"/>
          <w:sz w:val="32"/>
          <w:szCs w:val="32"/>
          <w:lang w:eastAsia="zh-CN"/>
        </w:rPr>
        <w:t>规定，原始权益人应当予以配合</w:t>
      </w:r>
      <w:r>
        <w:rPr>
          <w:rFonts w:hint="default" w:eastAsia="仿宋_GB2312"/>
          <w:bCs/>
          <w:sz w:val="32"/>
          <w:szCs w:val="32"/>
        </w:rPr>
        <w:t>。报</w:t>
      </w:r>
      <w:r>
        <w:rPr>
          <w:rFonts w:hint="default" w:eastAsia="仿宋_GB2312"/>
          <w:sz w:val="32"/>
          <w:szCs w:val="32"/>
        </w:rPr>
        <w:t>告期内回收资金用途发生变更的，应当说明变更原因、履行的决策审批程序和信息披露情况。回收资金使用完毕的，基金管理人可以不再进行披露。</w:t>
      </w:r>
    </w:p>
    <w:p w14:paraId="6C13F560">
      <w:pPr>
        <w:spacing w:line="560" w:lineRule="exact"/>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第四节 分行业基础资产披露要求</w:t>
      </w:r>
    </w:p>
    <w:p w14:paraId="413DE190">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default" w:ascii="Times New Roman" w:hAnsi="Times New Roman" w:eastAsia="仿宋_GB2312" w:cs="Times New Roman"/>
          <w:sz w:val="32"/>
          <w:szCs w:val="32"/>
          <w:lang w:eastAsia="zh-CN" w:bidi="ar"/>
        </w:rPr>
      </w:pPr>
      <w:r>
        <w:rPr>
          <w:rFonts w:hint="default" w:eastAsia="仿宋_GB2312"/>
          <w:b/>
          <w:kern w:val="0"/>
          <w:sz w:val="32"/>
          <w:szCs w:val="32"/>
        </w:rPr>
        <w:t xml:space="preserve">第四十条 </w:t>
      </w:r>
      <w:r>
        <w:rPr>
          <w:rFonts w:hint="default" w:ascii="Times New Roman" w:hAnsi="Times New Roman" w:eastAsia="仿宋_GB2312" w:cs="Times New Roman"/>
          <w:sz w:val="32"/>
          <w:szCs w:val="32"/>
          <w:lang w:bidi="ar"/>
        </w:rPr>
        <w:t>不动产</w:t>
      </w:r>
      <w:r>
        <w:rPr>
          <w:rFonts w:hint="default" w:ascii="Times New Roman" w:hAnsi="Times New Roman" w:eastAsia="仿宋_GB2312" w:cs="Times New Roman"/>
          <w:sz w:val="32"/>
          <w:szCs w:val="32"/>
          <w:lang w:eastAsia="zh-CN" w:bidi="ar"/>
        </w:rPr>
        <w:t>项目</w:t>
      </w:r>
      <w:r>
        <w:rPr>
          <w:rFonts w:hint="default" w:ascii="Times New Roman" w:hAnsi="Times New Roman" w:eastAsia="仿宋_GB2312" w:cs="Times New Roman"/>
          <w:sz w:val="32"/>
          <w:szCs w:val="32"/>
          <w:lang w:val="en-US" w:eastAsia="zh-CN" w:bidi="ar"/>
        </w:rPr>
        <w:t>涉及</w:t>
      </w:r>
      <w:r>
        <w:rPr>
          <w:rFonts w:hint="default" w:ascii="Times New Roman" w:hAnsi="Times New Roman" w:eastAsia="仿宋_GB2312" w:cs="Times New Roman"/>
          <w:sz w:val="32"/>
          <w:szCs w:val="32"/>
          <w:lang w:bidi="ar"/>
        </w:rPr>
        <w:t>商业综合体</w:t>
      </w:r>
      <w:r>
        <w:rPr>
          <w:rFonts w:hint="default" w:ascii="Times New Roman" w:hAnsi="Times New Roman" w:eastAsia="仿宋_GB2312" w:cs="Times New Roman"/>
          <w:sz w:val="32"/>
          <w:szCs w:val="32"/>
          <w:lang w:eastAsia="zh-CN" w:bidi="ar"/>
        </w:rPr>
        <w:t>等多业态</w:t>
      </w:r>
      <w:r>
        <w:rPr>
          <w:rFonts w:hint="default" w:ascii="Times New Roman" w:hAnsi="Times New Roman" w:eastAsia="仿宋_GB2312" w:cs="Times New Roman"/>
          <w:sz w:val="32"/>
          <w:szCs w:val="32"/>
          <w:lang w:bidi="ar"/>
        </w:rPr>
        <w:t>的，基金管理人应当</w:t>
      </w:r>
      <w:r>
        <w:rPr>
          <w:rFonts w:hint="default" w:ascii="Times New Roman" w:hAnsi="Times New Roman" w:eastAsia="仿宋_GB2312" w:cs="Times New Roman"/>
          <w:kern w:val="0"/>
          <w:sz w:val="32"/>
          <w:szCs w:val="32"/>
          <w:lang w:bidi="ar"/>
        </w:rPr>
        <w:t>在中期报告和季度报告</w:t>
      </w:r>
      <w:r>
        <w:rPr>
          <w:rFonts w:hint="default" w:ascii="Times New Roman" w:hAnsi="Times New Roman" w:eastAsia="仿宋_GB2312" w:cs="Times New Roman"/>
          <w:kern w:val="0"/>
          <w:sz w:val="32"/>
          <w:szCs w:val="32"/>
          <w:lang w:val="en-US" w:eastAsia="zh-CN" w:bidi="ar"/>
        </w:rPr>
        <w:t>中</w:t>
      </w:r>
      <w:r>
        <w:rPr>
          <w:rFonts w:hint="default" w:ascii="Times New Roman" w:hAnsi="Times New Roman" w:eastAsia="仿宋_GB2312" w:cs="Times New Roman"/>
          <w:sz w:val="32"/>
          <w:szCs w:val="32"/>
          <w:lang w:bidi="ar"/>
        </w:rPr>
        <w:t>披露各业态类型构成</w:t>
      </w:r>
      <w:r>
        <w:rPr>
          <w:rFonts w:hint="default" w:ascii="Times New Roman" w:hAnsi="Times New Roman" w:eastAsia="仿宋_GB2312" w:cs="Times New Roman"/>
          <w:sz w:val="32"/>
          <w:szCs w:val="32"/>
          <w:lang w:eastAsia="zh-CN" w:bidi="ar"/>
        </w:rPr>
        <w:t>。</w:t>
      </w:r>
    </w:p>
    <w:p w14:paraId="612249EA">
      <w:pPr>
        <w:spacing w:line="560" w:lineRule="exact"/>
        <w:ind w:firstLine="643" w:firstLineChars="200"/>
        <w:rPr>
          <w:rFonts w:hint="default" w:eastAsia="仿宋_GB2312"/>
          <w:bCs/>
          <w:kern w:val="0"/>
          <w:sz w:val="32"/>
          <w:szCs w:val="32"/>
        </w:rPr>
      </w:pPr>
      <w:r>
        <w:rPr>
          <w:rFonts w:hint="default" w:ascii="Times New Roman" w:hAnsi="Times New Roman" w:eastAsia="仿宋_GB2312" w:cs="Times New Roman"/>
          <w:b/>
          <w:kern w:val="0"/>
          <w:sz w:val="32"/>
          <w:szCs w:val="32"/>
          <w:highlight w:val="none"/>
          <w:lang w:val="en-US" w:eastAsia="zh-CN"/>
        </w:rPr>
        <w:t>第四十一条</w:t>
      </w:r>
      <w:r>
        <w:rPr>
          <w:rFonts w:hint="default" w:ascii="Times New Roman" w:hAnsi="Times New Roman" w:eastAsia="仿宋_GB2312" w:cs="Times New Roman"/>
          <w:sz w:val="32"/>
          <w:szCs w:val="32"/>
        </w:rPr>
        <w:t xml:space="preserve"> </w:t>
      </w:r>
      <w:r>
        <w:rPr>
          <w:rFonts w:hint="default" w:eastAsia="仿宋_GB2312"/>
          <w:bCs/>
          <w:kern w:val="0"/>
          <w:sz w:val="32"/>
          <w:szCs w:val="32"/>
        </w:rPr>
        <w:t>不动产</w:t>
      </w:r>
      <w:r>
        <w:rPr>
          <w:rFonts w:hint="default" w:eastAsia="仿宋_GB2312"/>
          <w:bCs/>
          <w:kern w:val="0"/>
          <w:sz w:val="32"/>
          <w:szCs w:val="32"/>
          <w:lang w:eastAsia="zh-CN"/>
        </w:rPr>
        <w:t>项目</w:t>
      </w:r>
      <w:r>
        <w:rPr>
          <w:rFonts w:hint="default" w:eastAsia="仿宋_GB2312"/>
          <w:bCs/>
          <w:kern w:val="0"/>
          <w:sz w:val="32"/>
          <w:szCs w:val="32"/>
        </w:rPr>
        <w:t>涉及商业零售</w:t>
      </w:r>
      <w:r>
        <w:rPr>
          <w:rFonts w:hint="default" w:eastAsia="仿宋_GB2312"/>
          <w:bCs/>
          <w:kern w:val="0"/>
          <w:sz w:val="32"/>
          <w:szCs w:val="32"/>
          <w:lang w:eastAsia="zh-CN"/>
        </w:rPr>
        <w:t>、办公等相关</w:t>
      </w:r>
      <w:r>
        <w:rPr>
          <w:rFonts w:hint="default" w:eastAsia="仿宋_GB2312"/>
          <w:bCs/>
          <w:kern w:val="0"/>
          <w:sz w:val="32"/>
          <w:szCs w:val="32"/>
        </w:rPr>
        <w:t>业态的，基金管理人应当基于本指引第三十二条第二项和第三十三条第一款第三项，在中期报告和季度报告中详细披露下列信息：</w:t>
      </w:r>
    </w:p>
    <w:p w14:paraId="67B7009E">
      <w:pPr>
        <w:spacing w:line="560" w:lineRule="exact"/>
        <w:ind w:firstLine="640" w:firstLineChars="200"/>
        <w:rPr>
          <w:rFonts w:hint="default" w:eastAsia="仿宋_GB2312"/>
          <w:bCs/>
          <w:kern w:val="0"/>
          <w:sz w:val="32"/>
          <w:szCs w:val="32"/>
        </w:rPr>
      </w:pPr>
      <w:r>
        <w:rPr>
          <w:rFonts w:hint="default" w:eastAsia="仿宋_GB2312"/>
          <w:bCs/>
          <w:kern w:val="0"/>
          <w:sz w:val="32"/>
          <w:szCs w:val="32"/>
        </w:rPr>
        <w:t>（一）不动产项目营业收入的主要构成情况，包括但不限于租金收入、物业管理费收入（如有）、停车场收入（如有）、广告收入（如有）</w:t>
      </w:r>
      <w:r>
        <w:rPr>
          <w:rFonts w:hint="default" w:eastAsia="仿宋_GB2312"/>
          <w:bCs/>
          <w:kern w:val="0"/>
          <w:sz w:val="32"/>
          <w:szCs w:val="32"/>
          <w:lang w:eastAsia="zh-CN"/>
        </w:rPr>
        <w:t>，以及其他运营收入</w:t>
      </w:r>
      <w:r>
        <w:rPr>
          <w:rFonts w:hint="default" w:eastAsia="仿宋_GB2312"/>
          <w:bCs/>
          <w:kern w:val="0"/>
          <w:sz w:val="32"/>
          <w:szCs w:val="32"/>
        </w:rPr>
        <w:t>等；</w:t>
      </w:r>
    </w:p>
    <w:p w14:paraId="729F9BFD">
      <w:pPr>
        <w:spacing w:line="560" w:lineRule="exact"/>
        <w:ind w:firstLine="640" w:firstLineChars="200"/>
        <w:rPr>
          <w:rFonts w:hint="default" w:eastAsia="仿宋_GB2312"/>
          <w:bCs/>
          <w:kern w:val="0"/>
          <w:sz w:val="32"/>
          <w:szCs w:val="32"/>
        </w:rPr>
      </w:pPr>
      <w:r>
        <w:rPr>
          <w:rFonts w:hint="default" w:eastAsia="仿宋_GB2312"/>
          <w:bCs/>
          <w:kern w:val="0"/>
          <w:sz w:val="32"/>
          <w:szCs w:val="32"/>
        </w:rPr>
        <w:t>（二）不动产项目营业成本以及费用的主要构成情况，包括但不限于租赁成本（如有）、物业运营成本、折旧摊销成本等；</w:t>
      </w:r>
    </w:p>
    <w:p w14:paraId="1F981664">
      <w:pPr>
        <w:spacing w:line="560" w:lineRule="exact"/>
        <w:ind w:firstLine="640" w:firstLineChars="200"/>
        <w:rPr>
          <w:rFonts w:hint="default" w:eastAsia="仿宋_GB2312"/>
          <w:bCs/>
          <w:kern w:val="0"/>
          <w:sz w:val="32"/>
          <w:szCs w:val="32"/>
        </w:rPr>
      </w:pPr>
      <w:r>
        <w:rPr>
          <w:rFonts w:hint="default" w:eastAsia="仿宋_GB2312"/>
          <w:bCs/>
          <w:kern w:val="0"/>
          <w:sz w:val="32"/>
          <w:szCs w:val="32"/>
        </w:rPr>
        <w:t>（三）租赁相关运营指标，包括报告期末可供出租面积、报告期末实际出租面积、报告期末出租率、报告期内</w:t>
      </w:r>
      <w:r>
        <w:rPr>
          <w:rFonts w:hint="default" w:eastAsia="仿宋_GB2312"/>
          <w:bCs/>
          <w:kern w:val="0"/>
          <w:sz w:val="32"/>
          <w:szCs w:val="32"/>
          <w:lang w:eastAsia="zh-CN"/>
        </w:rPr>
        <w:t>平均</w:t>
      </w:r>
      <w:r>
        <w:rPr>
          <w:rFonts w:hint="default" w:eastAsia="仿宋_GB2312"/>
          <w:bCs/>
          <w:kern w:val="0"/>
          <w:sz w:val="32"/>
          <w:szCs w:val="32"/>
        </w:rPr>
        <w:t>租金单价、报告期末剩余租期情况、报告期末租金收缴率、报告期末租户总数以及租户结构、报告期内前五</w:t>
      </w:r>
      <w:r>
        <w:rPr>
          <w:rFonts w:hint="default" w:eastAsia="仿宋_GB2312"/>
          <w:bCs/>
          <w:kern w:val="0"/>
          <w:sz w:val="32"/>
          <w:szCs w:val="32"/>
          <w:lang w:eastAsia="zh-CN"/>
        </w:rPr>
        <w:t>大</w:t>
      </w:r>
      <w:r>
        <w:rPr>
          <w:rFonts w:hint="default" w:eastAsia="仿宋_GB2312"/>
          <w:bCs/>
          <w:kern w:val="0"/>
          <w:sz w:val="32"/>
          <w:szCs w:val="32"/>
        </w:rPr>
        <w:t>租户的租金收入情况和占全部租金收入的比例等。</w:t>
      </w:r>
    </w:p>
    <w:p w14:paraId="36517519">
      <w:pPr>
        <w:spacing w:line="560" w:lineRule="exact"/>
        <w:ind w:firstLine="643" w:firstLineChars="200"/>
        <w:rPr>
          <w:rFonts w:hint="default" w:eastAsia="仿宋_GB2312"/>
          <w:bCs/>
          <w:kern w:val="0"/>
          <w:sz w:val="32"/>
          <w:szCs w:val="32"/>
        </w:rPr>
      </w:pPr>
      <w:r>
        <w:rPr>
          <w:rFonts w:hint="default" w:eastAsia="仿宋_GB2312"/>
          <w:b/>
          <w:kern w:val="0"/>
          <w:sz w:val="32"/>
          <w:szCs w:val="32"/>
        </w:rPr>
        <w:t>第四十</w:t>
      </w:r>
      <w:r>
        <w:rPr>
          <w:rFonts w:hint="default" w:eastAsia="仿宋_GB2312"/>
          <w:b/>
          <w:kern w:val="0"/>
          <w:sz w:val="32"/>
          <w:szCs w:val="32"/>
          <w:lang w:eastAsia="zh-CN"/>
        </w:rPr>
        <w:t>二</w:t>
      </w:r>
      <w:r>
        <w:rPr>
          <w:rFonts w:hint="default" w:eastAsia="仿宋_GB2312"/>
          <w:b/>
          <w:kern w:val="0"/>
          <w:sz w:val="32"/>
          <w:szCs w:val="32"/>
        </w:rPr>
        <w:t xml:space="preserve">条 </w:t>
      </w:r>
      <w:r>
        <w:rPr>
          <w:rFonts w:hint="default" w:eastAsia="仿宋_GB2312"/>
          <w:bCs/>
          <w:kern w:val="0"/>
          <w:sz w:val="32"/>
          <w:szCs w:val="32"/>
        </w:rPr>
        <w:t>不动产</w:t>
      </w:r>
      <w:r>
        <w:rPr>
          <w:rFonts w:hint="default" w:eastAsia="仿宋_GB2312"/>
          <w:bCs/>
          <w:kern w:val="0"/>
          <w:sz w:val="32"/>
          <w:szCs w:val="32"/>
          <w:lang w:eastAsia="zh-CN"/>
        </w:rPr>
        <w:t>项目</w:t>
      </w:r>
      <w:r>
        <w:rPr>
          <w:rFonts w:hint="default" w:eastAsia="仿宋_GB2312"/>
          <w:bCs/>
          <w:kern w:val="0"/>
          <w:sz w:val="32"/>
          <w:szCs w:val="32"/>
        </w:rPr>
        <w:t>涉及酒店</w:t>
      </w:r>
      <w:r>
        <w:rPr>
          <w:rFonts w:hint="default" w:eastAsia="仿宋_GB2312"/>
          <w:bCs/>
          <w:kern w:val="0"/>
          <w:sz w:val="32"/>
          <w:szCs w:val="32"/>
          <w:lang w:eastAsia="zh-CN"/>
        </w:rPr>
        <w:t>相关</w:t>
      </w:r>
      <w:r>
        <w:rPr>
          <w:rFonts w:hint="default" w:eastAsia="仿宋_GB2312"/>
          <w:bCs/>
          <w:kern w:val="0"/>
          <w:sz w:val="32"/>
          <w:szCs w:val="32"/>
        </w:rPr>
        <w:t>业态的，基金管理人应当基于本指引第三十二条第二项和第三十三条第一款第三项，在中期报告和季度报告中详细披露下列信息：</w:t>
      </w:r>
    </w:p>
    <w:p w14:paraId="4A55B1B6">
      <w:pPr>
        <w:spacing w:line="560" w:lineRule="exact"/>
        <w:ind w:firstLine="640" w:firstLineChars="200"/>
        <w:rPr>
          <w:rFonts w:hint="default" w:eastAsia="仿宋_GB2312"/>
          <w:bCs/>
          <w:kern w:val="0"/>
          <w:sz w:val="32"/>
          <w:szCs w:val="32"/>
        </w:rPr>
      </w:pPr>
      <w:r>
        <w:rPr>
          <w:rFonts w:hint="default" w:eastAsia="仿宋_GB2312"/>
          <w:bCs/>
          <w:kern w:val="0"/>
          <w:sz w:val="32"/>
          <w:szCs w:val="32"/>
        </w:rPr>
        <w:t>（一）不动产项目营业收入的主要构成情况，包括但不限于客房收入、餐饮收入（如有）、</w:t>
      </w:r>
      <w:r>
        <w:rPr>
          <w:rFonts w:hint="default" w:eastAsia="仿宋_GB2312"/>
          <w:bCs/>
          <w:kern w:val="0"/>
          <w:sz w:val="32"/>
          <w:szCs w:val="32"/>
          <w:lang w:eastAsia="zh-CN"/>
        </w:rPr>
        <w:t>会议收入（如有），以及其他</w:t>
      </w:r>
      <w:r>
        <w:rPr>
          <w:rFonts w:hint="default" w:eastAsia="仿宋_GB2312"/>
          <w:bCs/>
          <w:kern w:val="0"/>
          <w:sz w:val="32"/>
          <w:szCs w:val="32"/>
        </w:rPr>
        <w:t>个性化增值服务收入等；</w:t>
      </w:r>
    </w:p>
    <w:p w14:paraId="548F5DAB">
      <w:pPr>
        <w:spacing w:line="560" w:lineRule="exact"/>
        <w:ind w:firstLine="640" w:firstLineChars="200"/>
        <w:rPr>
          <w:rFonts w:hint="default" w:eastAsia="仿宋_GB2312"/>
          <w:bCs/>
          <w:kern w:val="0"/>
          <w:sz w:val="32"/>
          <w:szCs w:val="32"/>
        </w:rPr>
      </w:pPr>
      <w:r>
        <w:rPr>
          <w:rFonts w:hint="default" w:eastAsia="仿宋_GB2312"/>
          <w:bCs/>
          <w:kern w:val="0"/>
          <w:sz w:val="32"/>
          <w:szCs w:val="32"/>
        </w:rPr>
        <w:t>（二）不动产项目营业成本以及费用的主要构成情况，包括但不限于运营管理成本、维修改造成本（如有）、易耗品成本（如有）、许可费（如有）等；</w:t>
      </w:r>
    </w:p>
    <w:p w14:paraId="67A8E4B4">
      <w:pPr>
        <w:spacing w:line="560" w:lineRule="exact"/>
        <w:ind w:firstLine="640" w:firstLineChars="200"/>
        <w:rPr>
          <w:rFonts w:hint="default" w:eastAsia="仿宋_GB2312"/>
          <w:bCs/>
          <w:kern w:val="0"/>
          <w:sz w:val="32"/>
          <w:szCs w:val="32"/>
        </w:rPr>
      </w:pPr>
      <w:r>
        <w:rPr>
          <w:rFonts w:hint="default" w:eastAsia="仿宋_GB2312"/>
          <w:bCs/>
          <w:kern w:val="0"/>
          <w:sz w:val="32"/>
          <w:szCs w:val="32"/>
        </w:rPr>
        <w:t>（三）</w:t>
      </w:r>
      <w:r>
        <w:rPr>
          <w:rFonts w:hint="default" w:eastAsia="仿宋_GB2312"/>
          <w:bCs/>
          <w:kern w:val="0"/>
          <w:sz w:val="32"/>
          <w:szCs w:val="32"/>
          <w:lang w:eastAsia="zh-CN"/>
        </w:rPr>
        <w:t>入住</w:t>
      </w:r>
      <w:r>
        <w:rPr>
          <w:rFonts w:hint="default" w:eastAsia="仿宋_GB2312"/>
          <w:bCs/>
          <w:kern w:val="0"/>
          <w:sz w:val="32"/>
          <w:szCs w:val="32"/>
        </w:rPr>
        <w:t>相关指标，包括报告期内平均客房</w:t>
      </w:r>
      <w:r>
        <w:rPr>
          <w:rFonts w:hint="default" w:eastAsia="仿宋_GB2312"/>
          <w:bCs/>
          <w:kern w:val="0"/>
          <w:sz w:val="32"/>
          <w:szCs w:val="32"/>
          <w:lang w:eastAsia="zh-CN"/>
        </w:rPr>
        <w:t>入住</w:t>
      </w:r>
      <w:r>
        <w:rPr>
          <w:rFonts w:hint="default" w:eastAsia="仿宋_GB2312"/>
          <w:bCs/>
          <w:kern w:val="0"/>
          <w:sz w:val="32"/>
          <w:szCs w:val="32"/>
        </w:rPr>
        <w:t>率、报告期内</w:t>
      </w:r>
      <w:r>
        <w:rPr>
          <w:rFonts w:hint="default" w:eastAsia="仿宋_GB2312"/>
          <w:bCs/>
          <w:kern w:val="0"/>
          <w:sz w:val="32"/>
          <w:szCs w:val="32"/>
          <w:lang w:eastAsia="zh-CN"/>
        </w:rPr>
        <w:t>平均</w:t>
      </w:r>
      <w:r>
        <w:rPr>
          <w:rFonts w:hint="default" w:eastAsia="仿宋_GB2312"/>
          <w:bCs/>
          <w:kern w:val="0"/>
          <w:sz w:val="32"/>
          <w:szCs w:val="32"/>
        </w:rPr>
        <w:t>客房单价、平均每间可</w:t>
      </w:r>
      <w:r>
        <w:rPr>
          <w:rFonts w:hint="default" w:eastAsia="仿宋_GB2312"/>
          <w:bCs/>
          <w:kern w:val="0"/>
          <w:sz w:val="32"/>
          <w:szCs w:val="32"/>
          <w:lang w:eastAsia="zh-CN"/>
        </w:rPr>
        <w:t>售</w:t>
      </w:r>
      <w:r>
        <w:rPr>
          <w:rFonts w:hint="default" w:eastAsia="仿宋_GB2312"/>
          <w:bCs/>
          <w:kern w:val="0"/>
          <w:sz w:val="32"/>
          <w:szCs w:val="32"/>
        </w:rPr>
        <w:t>房收入等</w:t>
      </w:r>
      <w:r>
        <w:rPr>
          <w:rFonts w:hint="default" w:eastAsia="仿宋_GB2312"/>
          <w:bCs/>
          <w:kern w:val="0"/>
          <w:sz w:val="32"/>
          <w:szCs w:val="32"/>
          <w:lang w:eastAsia="zh-CN"/>
        </w:rPr>
        <w:t>；</w:t>
      </w:r>
      <w:r>
        <w:rPr>
          <w:rFonts w:hint="default" w:eastAsia="仿宋_GB2312"/>
          <w:bCs/>
          <w:kern w:val="0"/>
          <w:sz w:val="32"/>
          <w:szCs w:val="32"/>
        </w:rPr>
        <w:t>报告期内品牌方发生更换的，还应当披露品牌方更换的原因、对不动产项目经营的影响以及应对措施。</w:t>
      </w:r>
    </w:p>
    <w:p w14:paraId="54B95278">
      <w:pPr>
        <w:spacing w:line="560" w:lineRule="exact"/>
        <w:ind w:firstLine="643" w:firstLineChars="200"/>
        <w:rPr>
          <w:rFonts w:hint="default" w:eastAsia="仿宋_GB2312"/>
          <w:kern w:val="0"/>
          <w:sz w:val="32"/>
          <w:szCs w:val="32"/>
        </w:rPr>
      </w:pPr>
      <w:r>
        <w:rPr>
          <w:rFonts w:hint="default" w:eastAsia="仿宋_GB2312"/>
          <w:b/>
          <w:kern w:val="0"/>
          <w:sz w:val="32"/>
          <w:szCs w:val="32"/>
        </w:rPr>
        <w:t>第四十</w:t>
      </w:r>
      <w:r>
        <w:rPr>
          <w:rFonts w:hint="default" w:eastAsia="仿宋_GB2312"/>
          <w:b/>
          <w:kern w:val="0"/>
          <w:sz w:val="32"/>
          <w:szCs w:val="32"/>
          <w:lang w:eastAsia="zh-CN"/>
        </w:rPr>
        <w:t>三</w:t>
      </w:r>
      <w:r>
        <w:rPr>
          <w:rFonts w:hint="default" w:eastAsia="仿宋_GB2312"/>
          <w:b/>
          <w:kern w:val="0"/>
          <w:sz w:val="32"/>
          <w:szCs w:val="32"/>
        </w:rPr>
        <w:t xml:space="preserve">条 </w:t>
      </w:r>
      <w:r>
        <w:rPr>
          <w:rFonts w:hint="default" w:eastAsia="仿宋_GB2312"/>
          <w:bCs/>
          <w:kern w:val="0"/>
          <w:sz w:val="32"/>
          <w:szCs w:val="32"/>
        </w:rPr>
        <w:t>不动产</w:t>
      </w:r>
      <w:r>
        <w:rPr>
          <w:rFonts w:hint="default" w:eastAsia="仿宋_GB2312"/>
          <w:bCs/>
          <w:kern w:val="0"/>
          <w:sz w:val="32"/>
          <w:szCs w:val="32"/>
          <w:lang w:eastAsia="zh-CN"/>
        </w:rPr>
        <w:t>项目涉及</w:t>
      </w:r>
      <w:r>
        <w:rPr>
          <w:rFonts w:hint="default" w:eastAsia="仿宋_GB2312"/>
          <w:bCs/>
          <w:kern w:val="0"/>
          <w:sz w:val="32"/>
          <w:szCs w:val="32"/>
        </w:rPr>
        <w:t>产业园区、仓储物流或者租赁住房</w:t>
      </w:r>
      <w:r>
        <w:rPr>
          <w:rFonts w:hint="default" w:eastAsia="仿宋_GB2312"/>
          <w:bCs/>
          <w:kern w:val="0"/>
          <w:sz w:val="32"/>
          <w:szCs w:val="32"/>
          <w:lang w:eastAsia="zh-CN"/>
        </w:rPr>
        <w:t>相关业态</w:t>
      </w:r>
      <w:r>
        <w:rPr>
          <w:rFonts w:hint="default" w:eastAsia="仿宋_GB2312"/>
          <w:bCs/>
          <w:kern w:val="0"/>
          <w:sz w:val="32"/>
          <w:szCs w:val="32"/>
        </w:rPr>
        <w:t>的，基金管理人应当基于本指引第三十二条第二项和第三十三条第一款第三项，在中期报告和季度报告中详细披露下列信息：</w:t>
      </w:r>
    </w:p>
    <w:p w14:paraId="649DA354">
      <w:pPr>
        <w:numPr>
          <w:ilvl w:val="0"/>
          <w:numId w:val="0"/>
        </w:numPr>
        <w:spacing w:line="560" w:lineRule="exact"/>
        <w:ind w:firstLine="640" w:firstLineChars="200"/>
        <w:rPr>
          <w:rFonts w:hint="default" w:eastAsia="仿宋_GB2312"/>
          <w:sz w:val="32"/>
          <w:szCs w:val="32"/>
        </w:rPr>
      </w:pPr>
      <w:r>
        <w:rPr>
          <w:rFonts w:hint="eastAsia" w:ascii="Times New Roman" w:hAnsi="Times New Roman" w:eastAsia="仿宋_GB2312" w:cs="Times New Roman"/>
          <w:kern w:val="2"/>
          <w:sz w:val="32"/>
          <w:szCs w:val="32"/>
          <w:lang w:val="en-US" w:eastAsia="zh-CN" w:bidi="ar-SA"/>
        </w:rPr>
        <w:t>（一）</w:t>
      </w:r>
      <w:r>
        <w:rPr>
          <w:rFonts w:hint="default" w:eastAsia="仿宋_GB2312"/>
          <w:kern w:val="0"/>
          <w:sz w:val="32"/>
          <w:szCs w:val="32"/>
        </w:rPr>
        <w:t>不动产项目营业收入的主要构成情况，包括但不限于租金收入、物业管理费收入等；</w:t>
      </w:r>
    </w:p>
    <w:p w14:paraId="0E8FB046">
      <w:pPr>
        <w:numPr>
          <w:ilvl w:val="0"/>
          <w:numId w:val="0"/>
        </w:numPr>
        <w:spacing w:line="560" w:lineRule="exact"/>
        <w:ind w:firstLine="640" w:firstLineChars="200"/>
        <w:rPr>
          <w:rFonts w:hint="default" w:eastAsia="仿宋_GB2312"/>
          <w:sz w:val="32"/>
          <w:szCs w:val="32"/>
        </w:rPr>
      </w:pPr>
      <w:r>
        <w:rPr>
          <w:rFonts w:hint="eastAsia" w:ascii="Times New Roman" w:hAnsi="Times New Roman" w:eastAsia="仿宋_GB2312" w:cs="Times New Roman"/>
          <w:kern w:val="2"/>
          <w:sz w:val="32"/>
          <w:szCs w:val="32"/>
          <w:lang w:val="en-US" w:eastAsia="zh-CN" w:bidi="ar-SA"/>
        </w:rPr>
        <w:t>（二）</w:t>
      </w:r>
      <w:r>
        <w:rPr>
          <w:rFonts w:hint="default" w:eastAsia="仿宋_GB2312"/>
          <w:kern w:val="0"/>
          <w:sz w:val="32"/>
          <w:szCs w:val="32"/>
        </w:rPr>
        <w:t>不动产项目</w:t>
      </w:r>
      <w:bookmarkStart w:id="0" w:name="_GoBack"/>
      <w:bookmarkEnd w:id="0"/>
      <w:r>
        <w:rPr>
          <w:rFonts w:hint="default" w:eastAsia="仿宋_GB2312"/>
          <w:kern w:val="0"/>
          <w:sz w:val="32"/>
          <w:szCs w:val="32"/>
        </w:rPr>
        <w:t>营业成本以及费用的主要构成情况，包括但不限于租赁成本、物业运营成本、折旧摊销成本等</w:t>
      </w:r>
      <w:r>
        <w:rPr>
          <w:rFonts w:hint="default" w:eastAsia="仿宋_GB2312"/>
          <w:sz w:val="32"/>
          <w:szCs w:val="32"/>
        </w:rPr>
        <w:t>；</w:t>
      </w:r>
    </w:p>
    <w:p w14:paraId="396A3057">
      <w:pPr>
        <w:pStyle w:val="2"/>
        <w:numPr>
          <w:ilvl w:val="0"/>
          <w:numId w:val="0"/>
        </w:numPr>
        <w:spacing w:line="560" w:lineRule="exact"/>
        <w:ind w:firstLine="640" w:firstLineChars="200"/>
        <w:rPr>
          <w:rFonts w:hint="default" w:ascii="Times New Roman"/>
          <w:sz w:val="32"/>
          <w:szCs w:val="32"/>
        </w:rPr>
      </w:pPr>
      <w:r>
        <w:rPr>
          <w:rFonts w:hint="eastAsia" w:ascii="Times New Roman" w:hAnsi="Times New Roman" w:eastAsia="仿宋_GB2312" w:cs="Times New Roman"/>
          <w:kern w:val="2"/>
          <w:sz w:val="32"/>
          <w:szCs w:val="32"/>
          <w:lang w:val="en-US" w:eastAsia="zh-CN" w:bidi="ar-SA"/>
        </w:rPr>
        <w:t>（三）</w:t>
      </w:r>
      <w:r>
        <w:rPr>
          <w:rFonts w:hint="default" w:ascii="Times New Roman"/>
          <w:bCs/>
          <w:kern w:val="0"/>
          <w:sz w:val="32"/>
          <w:szCs w:val="32"/>
        </w:rPr>
        <w:t>租赁相关运营指标，包括</w:t>
      </w:r>
      <w:r>
        <w:rPr>
          <w:rFonts w:hint="default" w:ascii="Times New Roman"/>
          <w:sz w:val="32"/>
          <w:szCs w:val="32"/>
        </w:rPr>
        <w:t>报告期末可供出租面积、报告期末实际出租面积、报告期末出租率、报告期内</w:t>
      </w:r>
      <w:r>
        <w:rPr>
          <w:rFonts w:hint="default" w:ascii="Times New Roman"/>
          <w:sz w:val="32"/>
          <w:szCs w:val="32"/>
          <w:lang w:eastAsia="zh-CN"/>
        </w:rPr>
        <w:t>平均</w:t>
      </w:r>
      <w:r>
        <w:rPr>
          <w:rFonts w:hint="default" w:ascii="Times New Roman"/>
          <w:sz w:val="32"/>
          <w:szCs w:val="32"/>
        </w:rPr>
        <w:t>租金单价、报告期末</w:t>
      </w:r>
      <w:r>
        <w:rPr>
          <w:rFonts w:hint="default" w:ascii="Times New Roman"/>
          <w:color w:val="000000"/>
          <w:kern w:val="0"/>
          <w:sz w:val="32"/>
          <w:szCs w:val="32"/>
        </w:rPr>
        <w:t>剩余租期情况、</w:t>
      </w:r>
      <w:r>
        <w:rPr>
          <w:rFonts w:hint="default" w:ascii="Times New Roman"/>
          <w:sz w:val="32"/>
          <w:szCs w:val="32"/>
        </w:rPr>
        <w:t>报告期末</w:t>
      </w:r>
      <w:r>
        <w:rPr>
          <w:rFonts w:hint="default" w:ascii="Times New Roman"/>
          <w:bCs/>
          <w:kern w:val="0"/>
          <w:sz w:val="32"/>
          <w:szCs w:val="32"/>
        </w:rPr>
        <w:t>租金收缴率；</w:t>
      </w:r>
    </w:p>
    <w:p w14:paraId="39CD5B50">
      <w:pPr>
        <w:pStyle w:val="2"/>
        <w:numPr>
          <w:ilvl w:val="0"/>
          <w:numId w:val="0"/>
        </w:numPr>
        <w:spacing w:line="560" w:lineRule="exact"/>
        <w:ind w:firstLine="640" w:firstLineChars="200"/>
        <w:rPr>
          <w:rFonts w:hint="default" w:ascii="Times New Roman"/>
          <w:sz w:val="32"/>
          <w:szCs w:val="32"/>
        </w:rPr>
      </w:pPr>
      <w:r>
        <w:rPr>
          <w:rFonts w:hint="eastAsia" w:ascii="Times New Roman" w:hAnsi="Times New Roman" w:eastAsia="仿宋_GB2312" w:cs="Times New Roman"/>
          <w:kern w:val="2"/>
          <w:sz w:val="32"/>
          <w:szCs w:val="32"/>
          <w:lang w:val="en-US" w:eastAsia="zh-CN" w:bidi="ar-SA"/>
        </w:rPr>
        <w:t>（四）</w:t>
      </w:r>
      <w:r>
        <w:rPr>
          <w:rFonts w:hint="default" w:ascii="Times New Roman"/>
          <w:bCs/>
          <w:kern w:val="0"/>
          <w:sz w:val="32"/>
          <w:szCs w:val="32"/>
        </w:rPr>
        <w:t>不动产</w:t>
      </w:r>
      <w:r>
        <w:rPr>
          <w:rFonts w:hint="default" w:ascii="Times New Roman"/>
          <w:bCs/>
          <w:kern w:val="0"/>
          <w:sz w:val="32"/>
          <w:szCs w:val="32"/>
          <w:lang w:eastAsia="zh-CN"/>
        </w:rPr>
        <w:t>项目涉及</w:t>
      </w:r>
      <w:r>
        <w:rPr>
          <w:rFonts w:hint="default" w:ascii="Times New Roman"/>
          <w:bCs/>
          <w:kern w:val="0"/>
          <w:sz w:val="32"/>
          <w:szCs w:val="32"/>
        </w:rPr>
        <w:t>产业园区或者仓储物流</w:t>
      </w:r>
      <w:r>
        <w:rPr>
          <w:rFonts w:hint="default" w:ascii="Times New Roman"/>
          <w:bCs/>
          <w:kern w:val="0"/>
          <w:sz w:val="32"/>
          <w:szCs w:val="32"/>
          <w:lang w:eastAsia="zh-CN"/>
        </w:rPr>
        <w:t>相关业态</w:t>
      </w:r>
      <w:r>
        <w:rPr>
          <w:rFonts w:hint="default" w:ascii="Times New Roman"/>
          <w:bCs/>
          <w:kern w:val="0"/>
          <w:sz w:val="32"/>
          <w:szCs w:val="32"/>
        </w:rPr>
        <w:t>的，应当披露</w:t>
      </w:r>
      <w:r>
        <w:rPr>
          <w:rFonts w:hint="default" w:ascii="Times New Roman"/>
          <w:sz w:val="32"/>
          <w:szCs w:val="32"/>
        </w:rPr>
        <w:t>报告期末租户总数</w:t>
      </w:r>
      <w:r>
        <w:rPr>
          <w:rFonts w:hint="default" w:ascii="Times New Roman"/>
          <w:kern w:val="0"/>
          <w:sz w:val="32"/>
          <w:szCs w:val="32"/>
        </w:rPr>
        <w:t>以</w:t>
      </w:r>
      <w:r>
        <w:rPr>
          <w:rFonts w:hint="default" w:ascii="Times New Roman"/>
          <w:sz w:val="32"/>
          <w:szCs w:val="32"/>
        </w:rPr>
        <w:t>及租户结构</w:t>
      </w:r>
      <w:r>
        <w:rPr>
          <w:rFonts w:hint="default" w:ascii="Times New Roman"/>
          <w:sz w:val="32"/>
          <w:szCs w:val="32"/>
          <w:lang w:eastAsia="zh-CN"/>
        </w:rPr>
        <w:t>、</w:t>
      </w:r>
      <w:r>
        <w:rPr>
          <w:rFonts w:hint="default" w:ascii="Times New Roman"/>
          <w:sz w:val="32"/>
          <w:szCs w:val="32"/>
        </w:rPr>
        <w:t>报告期内前五</w:t>
      </w:r>
      <w:r>
        <w:rPr>
          <w:rFonts w:hint="default" w:ascii="Times New Roman"/>
          <w:sz w:val="32"/>
          <w:szCs w:val="32"/>
          <w:lang w:eastAsia="zh-CN"/>
        </w:rPr>
        <w:t>大</w:t>
      </w:r>
      <w:r>
        <w:rPr>
          <w:rFonts w:hint="default" w:ascii="Times New Roman"/>
          <w:sz w:val="32"/>
          <w:szCs w:val="32"/>
        </w:rPr>
        <w:t>租户的租金收入情况和占全部租金收入的比例。</w:t>
      </w:r>
    </w:p>
    <w:p w14:paraId="1634E082">
      <w:pPr>
        <w:tabs>
          <w:tab w:val="left" w:pos="1701"/>
        </w:tabs>
        <w:spacing w:line="560" w:lineRule="exact"/>
        <w:ind w:firstLine="643" w:firstLineChars="200"/>
        <w:rPr>
          <w:rFonts w:hint="default" w:eastAsia="仿宋_GB2312"/>
          <w:bCs/>
          <w:kern w:val="0"/>
          <w:sz w:val="32"/>
          <w:szCs w:val="32"/>
        </w:rPr>
      </w:pPr>
      <w:r>
        <w:rPr>
          <w:rFonts w:hint="default" w:eastAsia="仿宋_GB2312"/>
          <w:b/>
          <w:kern w:val="0"/>
          <w:sz w:val="32"/>
          <w:szCs w:val="32"/>
        </w:rPr>
        <w:t>第四十</w:t>
      </w:r>
      <w:r>
        <w:rPr>
          <w:rFonts w:hint="default" w:eastAsia="仿宋_GB2312"/>
          <w:b/>
          <w:kern w:val="0"/>
          <w:sz w:val="32"/>
          <w:szCs w:val="32"/>
          <w:lang w:eastAsia="zh-CN"/>
        </w:rPr>
        <w:t>四</w:t>
      </w:r>
      <w:r>
        <w:rPr>
          <w:rFonts w:hint="default" w:eastAsia="仿宋_GB2312"/>
          <w:b/>
          <w:kern w:val="0"/>
          <w:sz w:val="32"/>
          <w:szCs w:val="32"/>
        </w:rPr>
        <w:t xml:space="preserve">条 </w:t>
      </w:r>
      <w:r>
        <w:rPr>
          <w:rFonts w:hint="default" w:eastAsia="仿宋_GB2312"/>
          <w:bCs/>
          <w:kern w:val="0"/>
          <w:sz w:val="32"/>
          <w:szCs w:val="32"/>
        </w:rPr>
        <w:t>不动产</w:t>
      </w:r>
      <w:r>
        <w:rPr>
          <w:rFonts w:hint="default" w:eastAsia="仿宋_GB2312"/>
          <w:bCs/>
          <w:kern w:val="0"/>
          <w:sz w:val="32"/>
          <w:szCs w:val="32"/>
          <w:lang w:eastAsia="zh-CN"/>
        </w:rPr>
        <w:t>项目涉及</w:t>
      </w:r>
      <w:r>
        <w:rPr>
          <w:rFonts w:hint="default" w:eastAsia="仿宋_GB2312"/>
          <w:bCs/>
          <w:kern w:val="0"/>
          <w:sz w:val="32"/>
          <w:szCs w:val="32"/>
        </w:rPr>
        <w:t>收费公路</w:t>
      </w:r>
      <w:r>
        <w:rPr>
          <w:rFonts w:hint="default" w:eastAsia="仿宋_GB2312"/>
          <w:bCs/>
          <w:kern w:val="0"/>
          <w:sz w:val="32"/>
          <w:szCs w:val="32"/>
          <w:lang w:eastAsia="zh-CN"/>
        </w:rPr>
        <w:t>相关业态</w:t>
      </w:r>
      <w:r>
        <w:rPr>
          <w:rFonts w:hint="default" w:eastAsia="仿宋_GB2312"/>
          <w:bCs/>
          <w:kern w:val="0"/>
          <w:sz w:val="32"/>
          <w:szCs w:val="32"/>
        </w:rPr>
        <w:t>的，基金管理人应当基于本指引第三十二条第二项和第三十三条第一款第三项，在中期报告和季度报告中详细披露下列信息：</w:t>
      </w:r>
    </w:p>
    <w:p w14:paraId="0595A9E8">
      <w:pPr>
        <w:tabs>
          <w:tab w:val="left" w:pos="1701"/>
        </w:tabs>
        <w:spacing w:line="560" w:lineRule="exact"/>
        <w:ind w:firstLine="640" w:firstLineChars="200"/>
        <w:rPr>
          <w:rFonts w:hint="default" w:eastAsia="仿宋_GB2312"/>
          <w:bCs/>
          <w:kern w:val="0"/>
          <w:sz w:val="32"/>
          <w:szCs w:val="32"/>
          <w:lang w:eastAsia="zh-CN"/>
        </w:rPr>
      </w:pPr>
      <w:r>
        <w:rPr>
          <w:rFonts w:hint="default" w:eastAsia="仿宋_GB2312"/>
          <w:bCs/>
          <w:kern w:val="0"/>
          <w:sz w:val="32"/>
          <w:szCs w:val="32"/>
        </w:rPr>
        <w:t>（一）不动产项目营业收入</w:t>
      </w:r>
      <w:r>
        <w:rPr>
          <w:rFonts w:hint="default" w:eastAsia="仿宋_GB2312"/>
          <w:kern w:val="0"/>
          <w:sz w:val="32"/>
          <w:szCs w:val="32"/>
        </w:rPr>
        <w:t>的主要构成情况</w:t>
      </w:r>
      <w:r>
        <w:rPr>
          <w:rFonts w:hint="default" w:eastAsia="仿宋_GB2312"/>
          <w:bCs/>
          <w:kern w:val="0"/>
          <w:sz w:val="32"/>
          <w:szCs w:val="32"/>
        </w:rPr>
        <w:t>，包括但不限于通行费收入、广告收入（如有）等</w:t>
      </w:r>
      <w:r>
        <w:rPr>
          <w:rFonts w:hint="default" w:eastAsia="仿宋_GB2312"/>
          <w:bCs/>
          <w:kern w:val="0"/>
          <w:sz w:val="32"/>
          <w:szCs w:val="32"/>
          <w:lang w:eastAsia="zh-CN"/>
        </w:rPr>
        <w:t>；</w:t>
      </w:r>
    </w:p>
    <w:p w14:paraId="59A3D21E">
      <w:pPr>
        <w:tabs>
          <w:tab w:val="left" w:pos="1701"/>
        </w:tabs>
        <w:spacing w:line="560" w:lineRule="exact"/>
        <w:ind w:firstLine="640" w:firstLineChars="200"/>
        <w:rPr>
          <w:rFonts w:hint="default" w:eastAsia="仿宋_GB2312"/>
          <w:kern w:val="0"/>
          <w:sz w:val="32"/>
          <w:szCs w:val="32"/>
          <w:lang w:eastAsia="zh-CN"/>
        </w:rPr>
      </w:pPr>
      <w:r>
        <w:rPr>
          <w:rFonts w:hint="default" w:eastAsia="仿宋_GB2312"/>
          <w:bCs/>
          <w:kern w:val="0"/>
          <w:sz w:val="32"/>
          <w:szCs w:val="32"/>
        </w:rPr>
        <w:t>（二）</w:t>
      </w:r>
      <w:r>
        <w:rPr>
          <w:rFonts w:hint="default" w:eastAsia="仿宋_GB2312"/>
          <w:kern w:val="0"/>
          <w:sz w:val="32"/>
          <w:szCs w:val="32"/>
        </w:rPr>
        <w:t>不动产项目营业成本以及费用的主要构成情况，包括但不限于折旧摊销成本、养护成本、运营管理成本等</w:t>
      </w:r>
      <w:r>
        <w:rPr>
          <w:rFonts w:hint="default" w:eastAsia="仿宋_GB2312"/>
          <w:kern w:val="0"/>
          <w:sz w:val="32"/>
          <w:szCs w:val="32"/>
          <w:lang w:eastAsia="zh-CN"/>
        </w:rPr>
        <w:t>；</w:t>
      </w:r>
    </w:p>
    <w:p w14:paraId="7CC0A282">
      <w:pPr>
        <w:spacing w:line="560" w:lineRule="exact"/>
        <w:ind w:firstLine="640" w:firstLineChars="200"/>
        <w:rPr>
          <w:rFonts w:hint="default" w:eastAsia="仿宋_GB2312"/>
          <w:i/>
          <w:kern w:val="0"/>
          <w:sz w:val="32"/>
          <w:szCs w:val="32"/>
          <w:u w:val="single"/>
          <w:lang w:eastAsia="zh-CN"/>
        </w:rPr>
      </w:pPr>
      <w:r>
        <w:rPr>
          <w:rFonts w:hint="default" w:eastAsia="仿宋_GB2312"/>
          <w:bCs/>
          <w:kern w:val="0"/>
          <w:sz w:val="32"/>
          <w:szCs w:val="32"/>
        </w:rPr>
        <w:t>（三）报告期内日均自然车流量情况、客货车型分别对应的日均自然车流量情况、客货车分别对应的通行费收入情况（如有）</w:t>
      </w:r>
      <w:r>
        <w:rPr>
          <w:rFonts w:hint="default" w:eastAsia="仿宋_GB2312"/>
          <w:bCs/>
          <w:kern w:val="0"/>
          <w:sz w:val="32"/>
          <w:szCs w:val="32"/>
          <w:lang w:eastAsia="zh-CN"/>
        </w:rPr>
        <w:t>；</w:t>
      </w:r>
      <w:r>
        <w:rPr>
          <w:rFonts w:hint="default" w:eastAsia="仿宋_GB2312"/>
          <w:bCs/>
          <w:kern w:val="0"/>
          <w:sz w:val="32"/>
          <w:szCs w:val="32"/>
        </w:rPr>
        <w:t>日均自然车流量应当以自然车流量中清分车流量作为计算依据，无法获取的，可</w:t>
      </w:r>
      <w:r>
        <w:rPr>
          <w:rFonts w:hint="default" w:eastAsia="仿宋_GB2312"/>
          <w:kern w:val="0"/>
          <w:sz w:val="32"/>
          <w:szCs w:val="32"/>
        </w:rPr>
        <w:t>以</w:t>
      </w:r>
      <w:r>
        <w:rPr>
          <w:rFonts w:hint="default" w:eastAsia="仿宋_GB2312"/>
          <w:bCs/>
          <w:kern w:val="0"/>
          <w:sz w:val="32"/>
          <w:szCs w:val="32"/>
        </w:rPr>
        <w:t>选用出入口车流量，但应当明确披露为出入口车流量</w:t>
      </w:r>
      <w:r>
        <w:rPr>
          <w:rFonts w:hint="default" w:eastAsia="仿宋_GB2312"/>
          <w:bCs/>
          <w:kern w:val="0"/>
          <w:sz w:val="32"/>
          <w:szCs w:val="32"/>
          <w:lang w:eastAsia="zh-CN"/>
        </w:rPr>
        <w:t>；</w:t>
      </w:r>
    </w:p>
    <w:p w14:paraId="05275EB9">
      <w:pPr>
        <w:tabs>
          <w:tab w:val="left" w:pos="1701"/>
        </w:tabs>
        <w:spacing w:line="560" w:lineRule="exact"/>
        <w:ind w:firstLine="640" w:firstLineChars="200"/>
        <w:rPr>
          <w:rFonts w:hint="default" w:eastAsia="仿宋_GB2312"/>
          <w:kern w:val="0"/>
          <w:sz w:val="32"/>
          <w:szCs w:val="32"/>
          <w:lang w:eastAsia="zh-CN"/>
        </w:rPr>
      </w:pPr>
      <w:r>
        <w:rPr>
          <w:rFonts w:hint="default" w:eastAsia="仿宋_GB2312"/>
          <w:kern w:val="0"/>
          <w:sz w:val="32"/>
          <w:szCs w:val="32"/>
        </w:rPr>
        <w:t>（四）报告期内收费标准、通行费减免政策变化情况</w:t>
      </w:r>
      <w:r>
        <w:rPr>
          <w:rFonts w:hint="default" w:eastAsia="仿宋_GB2312"/>
          <w:kern w:val="0"/>
          <w:sz w:val="32"/>
          <w:szCs w:val="32"/>
          <w:lang w:eastAsia="zh-CN"/>
        </w:rPr>
        <w:t>；</w:t>
      </w:r>
      <w:r>
        <w:rPr>
          <w:rFonts w:hint="default" w:eastAsia="仿宋_GB2312"/>
          <w:kern w:val="0"/>
          <w:sz w:val="32"/>
          <w:szCs w:val="32"/>
        </w:rPr>
        <w:t>存在重大变化的，还应当披露相关变化对基金份额持有人权益的影响</w:t>
      </w:r>
      <w:r>
        <w:rPr>
          <w:rFonts w:hint="default" w:eastAsia="仿宋_GB2312"/>
          <w:kern w:val="0"/>
          <w:sz w:val="32"/>
          <w:szCs w:val="32"/>
          <w:lang w:eastAsia="zh-CN"/>
        </w:rPr>
        <w:t>；</w:t>
      </w:r>
    </w:p>
    <w:p w14:paraId="52699EAC">
      <w:pPr>
        <w:tabs>
          <w:tab w:val="left" w:pos="1701"/>
        </w:tabs>
        <w:spacing w:line="560" w:lineRule="exact"/>
        <w:ind w:firstLine="640" w:firstLineChars="200"/>
        <w:rPr>
          <w:rFonts w:hint="default" w:eastAsia="仿宋_GB2312"/>
          <w:kern w:val="0"/>
          <w:sz w:val="32"/>
          <w:szCs w:val="32"/>
        </w:rPr>
      </w:pPr>
      <w:r>
        <w:rPr>
          <w:rFonts w:hint="default" w:eastAsia="仿宋_GB2312"/>
          <w:kern w:val="0"/>
          <w:sz w:val="32"/>
          <w:szCs w:val="32"/>
        </w:rPr>
        <w:t>（五）报告期内收费公路特许经营权摊销方式调整的，应当披露会计估计变更项目的调整原因、对财务报表科目和基金份额持有人权益的影响。</w:t>
      </w:r>
    </w:p>
    <w:p w14:paraId="38F9008E">
      <w:pPr>
        <w:pStyle w:val="2"/>
        <w:spacing w:line="560" w:lineRule="exact"/>
        <w:ind w:firstLine="643"/>
        <w:rPr>
          <w:rFonts w:hint="default" w:ascii="Times New Roman"/>
          <w:sz w:val="32"/>
          <w:szCs w:val="32"/>
        </w:rPr>
      </w:pPr>
      <w:r>
        <w:rPr>
          <w:rFonts w:hint="default" w:ascii="Times New Roman"/>
          <w:b/>
          <w:bCs/>
          <w:sz w:val="32"/>
          <w:szCs w:val="32"/>
        </w:rPr>
        <w:t>第四十</w:t>
      </w:r>
      <w:r>
        <w:rPr>
          <w:rFonts w:hint="default" w:ascii="Times New Roman"/>
          <w:b/>
          <w:bCs/>
          <w:sz w:val="32"/>
          <w:szCs w:val="32"/>
          <w:lang w:eastAsia="zh-CN"/>
        </w:rPr>
        <w:t>五</w:t>
      </w:r>
      <w:r>
        <w:rPr>
          <w:rFonts w:hint="default" w:ascii="Times New Roman"/>
          <w:b/>
          <w:bCs/>
          <w:sz w:val="32"/>
          <w:szCs w:val="32"/>
        </w:rPr>
        <w:t xml:space="preserve">条 </w:t>
      </w:r>
      <w:r>
        <w:rPr>
          <w:rFonts w:hint="default" w:ascii="Times New Roman"/>
          <w:sz w:val="32"/>
          <w:szCs w:val="32"/>
        </w:rPr>
        <w:t>不动产</w:t>
      </w:r>
      <w:r>
        <w:rPr>
          <w:rFonts w:hint="default" w:ascii="Times New Roman"/>
          <w:sz w:val="32"/>
          <w:szCs w:val="32"/>
          <w:lang w:eastAsia="zh-CN"/>
        </w:rPr>
        <w:t>项目涉及</w:t>
      </w:r>
      <w:r>
        <w:rPr>
          <w:rFonts w:hint="default" w:ascii="Times New Roman"/>
          <w:sz w:val="32"/>
          <w:szCs w:val="32"/>
        </w:rPr>
        <w:t>能源</w:t>
      </w:r>
      <w:r>
        <w:rPr>
          <w:rFonts w:hint="default" w:ascii="Times New Roman"/>
          <w:sz w:val="32"/>
          <w:szCs w:val="32"/>
          <w:lang w:eastAsia="zh-CN"/>
        </w:rPr>
        <w:t>相关业态</w:t>
      </w:r>
      <w:r>
        <w:rPr>
          <w:rFonts w:hint="default" w:ascii="Times New Roman"/>
          <w:sz w:val="32"/>
          <w:szCs w:val="32"/>
        </w:rPr>
        <w:t>的，基金管理人应当</w:t>
      </w:r>
      <w:r>
        <w:rPr>
          <w:rFonts w:hint="default" w:ascii="Times New Roman"/>
          <w:bCs/>
          <w:kern w:val="0"/>
          <w:sz w:val="32"/>
          <w:szCs w:val="32"/>
        </w:rPr>
        <w:t>基于本指引第三十二条第二项和第三十三条第一款第三项，</w:t>
      </w:r>
      <w:r>
        <w:rPr>
          <w:rFonts w:hint="default" w:ascii="Times New Roman"/>
          <w:sz w:val="32"/>
          <w:szCs w:val="32"/>
        </w:rPr>
        <w:t>在中期报告</w:t>
      </w:r>
      <w:r>
        <w:rPr>
          <w:rFonts w:hint="default" w:ascii="Times New Roman"/>
          <w:bCs/>
          <w:kern w:val="0"/>
          <w:sz w:val="32"/>
          <w:szCs w:val="32"/>
        </w:rPr>
        <w:t>和季度报告</w:t>
      </w:r>
      <w:r>
        <w:rPr>
          <w:rFonts w:hint="default" w:ascii="Times New Roman"/>
          <w:sz w:val="32"/>
          <w:szCs w:val="32"/>
        </w:rPr>
        <w:t>中详细披露下列信息：</w:t>
      </w:r>
    </w:p>
    <w:p w14:paraId="439719C8">
      <w:pPr>
        <w:tabs>
          <w:tab w:val="left" w:pos="1701"/>
        </w:tabs>
        <w:spacing w:line="560" w:lineRule="exact"/>
        <w:ind w:firstLine="640" w:firstLineChars="200"/>
        <w:rPr>
          <w:rFonts w:hint="default" w:eastAsia="仿宋_GB2312"/>
          <w:bCs/>
          <w:kern w:val="0"/>
          <w:sz w:val="32"/>
          <w:szCs w:val="32"/>
          <w:lang w:eastAsia="zh-CN"/>
        </w:rPr>
      </w:pPr>
      <w:r>
        <w:rPr>
          <w:rFonts w:hint="default" w:eastAsia="仿宋_GB2312"/>
          <w:bCs/>
          <w:kern w:val="0"/>
          <w:sz w:val="32"/>
          <w:szCs w:val="32"/>
        </w:rPr>
        <w:t>（一）不动产项目营业收入</w:t>
      </w:r>
      <w:r>
        <w:rPr>
          <w:rFonts w:hint="default" w:eastAsia="仿宋_GB2312"/>
          <w:kern w:val="0"/>
          <w:sz w:val="32"/>
          <w:szCs w:val="32"/>
        </w:rPr>
        <w:t>的主要构成情况</w:t>
      </w:r>
      <w:r>
        <w:rPr>
          <w:rFonts w:hint="default" w:eastAsia="仿宋_GB2312"/>
          <w:bCs/>
          <w:kern w:val="0"/>
          <w:sz w:val="32"/>
          <w:szCs w:val="32"/>
          <w:lang w:eastAsia="zh-CN"/>
        </w:rPr>
        <w:t>；</w:t>
      </w:r>
    </w:p>
    <w:p w14:paraId="16C4F177">
      <w:pPr>
        <w:tabs>
          <w:tab w:val="left" w:pos="1701"/>
        </w:tabs>
        <w:spacing w:line="560" w:lineRule="exact"/>
        <w:ind w:firstLine="640" w:firstLineChars="200"/>
        <w:rPr>
          <w:rFonts w:hint="default" w:eastAsia="仿宋_GB2312"/>
          <w:kern w:val="0"/>
          <w:sz w:val="32"/>
          <w:szCs w:val="32"/>
          <w:lang w:eastAsia="zh-CN"/>
        </w:rPr>
      </w:pPr>
      <w:r>
        <w:rPr>
          <w:rFonts w:hint="default" w:eastAsia="仿宋_GB2312"/>
          <w:bCs/>
          <w:kern w:val="0"/>
          <w:sz w:val="32"/>
          <w:szCs w:val="32"/>
        </w:rPr>
        <w:t>（二）</w:t>
      </w:r>
      <w:r>
        <w:rPr>
          <w:rFonts w:hint="default" w:eastAsia="仿宋_GB2312"/>
          <w:kern w:val="0"/>
          <w:sz w:val="32"/>
          <w:szCs w:val="32"/>
        </w:rPr>
        <w:t>不动产项目营业成本以及费用的主要构成情况，包括但不限于原材料</w:t>
      </w:r>
      <w:r>
        <w:rPr>
          <w:rFonts w:hint="default" w:eastAsia="仿宋_GB2312"/>
          <w:kern w:val="0"/>
          <w:sz w:val="32"/>
          <w:szCs w:val="32"/>
          <w:lang w:eastAsia="zh-CN"/>
        </w:rPr>
        <w:t>成本</w:t>
      </w:r>
      <w:r>
        <w:rPr>
          <w:rFonts w:hint="default" w:eastAsia="仿宋_GB2312"/>
          <w:kern w:val="0"/>
          <w:sz w:val="32"/>
          <w:szCs w:val="32"/>
        </w:rPr>
        <w:t>（如有）、土地租赁成本（如有）、折旧摊销成本等</w:t>
      </w:r>
      <w:r>
        <w:rPr>
          <w:rFonts w:hint="default" w:eastAsia="仿宋_GB2312"/>
          <w:kern w:val="0"/>
          <w:sz w:val="32"/>
          <w:szCs w:val="32"/>
          <w:lang w:eastAsia="zh-CN"/>
        </w:rPr>
        <w:t>；</w:t>
      </w:r>
    </w:p>
    <w:p w14:paraId="1C70139C">
      <w:pPr>
        <w:pStyle w:val="2"/>
        <w:numPr>
          <w:ilvl w:val="255"/>
          <w:numId w:val="0"/>
        </w:numPr>
        <w:spacing w:line="560" w:lineRule="exact"/>
        <w:ind w:firstLine="640"/>
        <w:rPr>
          <w:rFonts w:hint="default" w:ascii="Times New Roman" w:eastAsia="仿宋_GB2312"/>
          <w:sz w:val="32"/>
          <w:szCs w:val="32"/>
          <w:lang w:eastAsia="zh-CN"/>
        </w:rPr>
      </w:pPr>
      <w:r>
        <w:rPr>
          <w:rFonts w:hint="default" w:ascii="Times New Roman"/>
          <w:sz w:val="32"/>
          <w:szCs w:val="32"/>
        </w:rPr>
        <w:t>（三）报告期内设备使用情况、发电量、等效利用小时数、结算电量、结算电价、结算电费</w:t>
      </w:r>
      <w:r>
        <w:rPr>
          <w:rFonts w:hint="default" w:ascii="Times New Roman"/>
          <w:sz w:val="32"/>
          <w:szCs w:val="32"/>
          <w:lang w:eastAsia="zh-CN"/>
        </w:rPr>
        <w:t>；</w:t>
      </w:r>
      <w:r>
        <w:rPr>
          <w:rFonts w:hint="default" w:ascii="Times New Roman"/>
          <w:sz w:val="32"/>
          <w:szCs w:val="32"/>
        </w:rPr>
        <w:t>存在不同售电模式的，应当分别披露不同售电模式的售电量及其占比、售电收入及其占比</w:t>
      </w:r>
      <w:r>
        <w:rPr>
          <w:rFonts w:hint="default" w:ascii="Times New Roman"/>
          <w:sz w:val="32"/>
          <w:szCs w:val="32"/>
          <w:lang w:eastAsia="zh-CN"/>
        </w:rPr>
        <w:t>，以及</w:t>
      </w:r>
      <w:r>
        <w:rPr>
          <w:rFonts w:hint="default" w:ascii="Times New Roman"/>
          <w:sz w:val="32"/>
          <w:szCs w:val="32"/>
        </w:rPr>
        <w:t>平均上网电价</w:t>
      </w:r>
      <w:r>
        <w:rPr>
          <w:rFonts w:hint="default" w:ascii="Times New Roman"/>
          <w:sz w:val="32"/>
          <w:szCs w:val="32"/>
          <w:lang w:eastAsia="zh-CN"/>
        </w:rPr>
        <w:t>；</w:t>
      </w:r>
    </w:p>
    <w:p w14:paraId="12AD160D">
      <w:pPr>
        <w:pStyle w:val="2"/>
        <w:numPr>
          <w:ilvl w:val="255"/>
          <w:numId w:val="0"/>
        </w:numPr>
        <w:spacing w:line="560" w:lineRule="exact"/>
        <w:ind w:firstLine="640"/>
        <w:rPr>
          <w:rFonts w:hint="default" w:ascii="Times New Roman" w:eastAsia="仿宋_GB2312"/>
          <w:sz w:val="32"/>
          <w:szCs w:val="32"/>
          <w:lang w:eastAsia="zh-CN"/>
        </w:rPr>
      </w:pPr>
      <w:r>
        <w:rPr>
          <w:rFonts w:hint="default" w:ascii="Times New Roman"/>
          <w:sz w:val="32"/>
          <w:szCs w:val="32"/>
        </w:rPr>
        <w:t>（四）涉及能源采购的，应当分别披露采购模式</w:t>
      </w:r>
      <w:r>
        <w:rPr>
          <w:rFonts w:hint="default" w:ascii="Times New Roman"/>
          <w:sz w:val="32"/>
          <w:szCs w:val="32"/>
          <w:lang w:eastAsia="zh-CN"/>
        </w:rPr>
        <w:t>、</w:t>
      </w:r>
      <w:r>
        <w:rPr>
          <w:rFonts w:hint="default" w:ascii="Times New Roman"/>
          <w:sz w:val="32"/>
          <w:szCs w:val="32"/>
        </w:rPr>
        <w:t>前五大能源供应商</w:t>
      </w:r>
      <w:r>
        <w:rPr>
          <w:rFonts w:hint="default" w:ascii="Times New Roman"/>
          <w:sz w:val="32"/>
          <w:szCs w:val="32"/>
          <w:lang w:eastAsia="zh-CN"/>
        </w:rPr>
        <w:t>以及</w:t>
      </w:r>
      <w:r>
        <w:rPr>
          <w:rFonts w:hint="default" w:ascii="Times New Roman"/>
          <w:sz w:val="32"/>
          <w:szCs w:val="32"/>
        </w:rPr>
        <w:t>采购量占比、采购均价</w:t>
      </w:r>
      <w:r>
        <w:rPr>
          <w:rFonts w:hint="default" w:ascii="Times New Roman"/>
          <w:sz w:val="32"/>
          <w:szCs w:val="32"/>
          <w:lang w:eastAsia="zh-CN"/>
        </w:rPr>
        <w:t>；</w:t>
      </w:r>
    </w:p>
    <w:p w14:paraId="1533A40D">
      <w:pPr>
        <w:pStyle w:val="2"/>
        <w:spacing w:line="560" w:lineRule="exact"/>
        <w:ind w:firstLine="640"/>
        <w:rPr>
          <w:rFonts w:hint="default" w:ascii="Times New Roman" w:eastAsia="仿宋_GB2312"/>
          <w:sz w:val="32"/>
          <w:szCs w:val="32"/>
          <w:lang w:eastAsia="zh-CN"/>
        </w:rPr>
      </w:pPr>
      <w:r>
        <w:rPr>
          <w:rFonts w:hint="default" w:ascii="Times New Roman"/>
          <w:sz w:val="32"/>
          <w:szCs w:val="32"/>
        </w:rPr>
        <w:t>（五）上网电价涉及中央和地方财政补贴的，</w:t>
      </w:r>
      <w:r>
        <w:rPr>
          <w:rFonts w:hint="default" w:ascii="Times New Roman"/>
          <w:sz w:val="32"/>
          <w:szCs w:val="32"/>
          <w:lang w:eastAsia="zh-CN"/>
        </w:rPr>
        <w:t>应当</w:t>
      </w:r>
      <w:r>
        <w:rPr>
          <w:rFonts w:hint="default" w:ascii="Times New Roman"/>
          <w:sz w:val="32"/>
          <w:szCs w:val="32"/>
        </w:rPr>
        <w:t>披露补贴占比及其回款情况、补贴文件</w:t>
      </w:r>
      <w:r>
        <w:rPr>
          <w:rFonts w:hint="default" w:ascii="Times New Roman"/>
          <w:sz w:val="32"/>
          <w:szCs w:val="32"/>
          <w:lang w:eastAsia="zh"/>
        </w:rPr>
        <w:t>，</w:t>
      </w:r>
      <w:r>
        <w:rPr>
          <w:rFonts w:hint="default" w:ascii="Times New Roman"/>
          <w:sz w:val="32"/>
          <w:szCs w:val="32"/>
        </w:rPr>
        <w:t>包括补贴价格、补贴电量等（如有）</w:t>
      </w:r>
      <w:r>
        <w:rPr>
          <w:rFonts w:hint="default" w:ascii="Times New Roman"/>
          <w:sz w:val="32"/>
          <w:szCs w:val="32"/>
          <w:lang w:eastAsia="zh-CN"/>
        </w:rPr>
        <w:t>；</w:t>
      </w:r>
    </w:p>
    <w:p w14:paraId="79294A74">
      <w:pPr>
        <w:pStyle w:val="2"/>
        <w:spacing w:line="560" w:lineRule="exact"/>
        <w:ind w:firstLine="640"/>
        <w:rPr>
          <w:rFonts w:hint="default" w:ascii="Times New Roman"/>
          <w:sz w:val="32"/>
          <w:szCs w:val="32"/>
        </w:rPr>
      </w:pPr>
      <w:r>
        <w:rPr>
          <w:rFonts w:hint="default" w:ascii="Times New Roman"/>
          <w:sz w:val="32"/>
          <w:szCs w:val="32"/>
        </w:rPr>
        <w:t>（六）报告期内发现设备存在影响机组正常运行问题的，</w:t>
      </w:r>
      <w:r>
        <w:rPr>
          <w:rFonts w:hint="default" w:ascii="Times New Roman"/>
          <w:sz w:val="32"/>
          <w:szCs w:val="32"/>
          <w:lang w:eastAsia="zh-CN"/>
        </w:rPr>
        <w:t>应当</w:t>
      </w:r>
      <w:r>
        <w:rPr>
          <w:rFonts w:hint="default" w:ascii="Times New Roman"/>
          <w:sz w:val="32"/>
          <w:szCs w:val="32"/>
        </w:rPr>
        <w:t>披露相关检测情况，并结合检测结果分析对不动产项目经营的影响以及应对措施。</w:t>
      </w:r>
    </w:p>
    <w:p w14:paraId="401A4C23">
      <w:pPr>
        <w:pStyle w:val="2"/>
        <w:spacing w:line="560" w:lineRule="exact"/>
        <w:ind w:firstLine="643"/>
        <w:rPr>
          <w:rFonts w:hint="default" w:ascii="Times New Roman"/>
          <w:sz w:val="32"/>
          <w:szCs w:val="32"/>
        </w:rPr>
      </w:pPr>
      <w:r>
        <w:rPr>
          <w:rFonts w:hint="default" w:ascii="Times New Roman"/>
          <w:b/>
          <w:bCs/>
          <w:sz w:val="32"/>
          <w:szCs w:val="32"/>
        </w:rPr>
        <w:t>第四十</w:t>
      </w:r>
      <w:r>
        <w:rPr>
          <w:rFonts w:hint="default" w:ascii="Times New Roman"/>
          <w:b/>
          <w:bCs/>
          <w:sz w:val="32"/>
          <w:szCs w:val="32"/>
          <w:lang w:eastAsia="zh-CN"/>
        </w:rPr>
        <w:t>六</w:t>
      </w:r>
      <w:r>
        <w:rPr>
          <w:rFonts w:hint="default" w:ascii="Times New Roman"/>
          <w:b/>
          <w:bCs/>
          <w:sz w:val="32"/>
          <w:szCs w:val="32"/>
        </w:rPr>
        <w:t xml:space="preserve">条 </w:t>
      </w:r>
      <w:r>
        <w:rPr>
          <w:rFonts w:hint="default" w:ascii="Times New Roman"/>
          <w:sz w:val="32"/>
          <w:szCs w:val="32"/>
        </w:rPr>
        <w:t>不动产</w:t>
      </w:r>
      <w:r>
        <w:rPr>
          <w:rFonts w:hint="default" w:ascii="Times New Roman"/>
          <w:sz w:val="32"/>
          <w:szCs w:val="32"/>
          <w:lang w:eastAsia="zh-CN"/>
        </w:rPr>
        <w:t>项目涉及</w:t>
      </w:r>
      <w:r>
        <w:rPr>
          <w:rFonts w:hint="default" w:ascii="Times New Roman"/>
          <w:sz w:val="32"/>
          <w:szCs w:val="32"/>
        </w:rPr>
        <w:t>生态环保</w:t>
      </w:r>
      <w:r>
        <w:rPr>
          <w:rFonts w:hint="default" w:ascii="Times New Roman"/>
          <w:sz w:val="32"/>
          <w:szCs w:val="32"/>
          <w:lang w:eastAsia="zh-CN"/>
        </w:rPr>
        <w:t>相关业态</w:t>
      </w:r>
      <w:r>
        <w:rPr>
          <w:rFonts w:hint="default" w:ascii="Times New Roman"/>
          <w:sz w:val="32"/>
          <w:szCs w:val="32"/>
        </w:rPr>
        <w:t>的，基金管理人应当</w:t>
      </w:r>
      <w:r>
        <w:rPr>
          <w:rFonts w:hint="default" w:ascii="Times New Roman"/>
          <w:bCs/>
          <w:kern w:val="0"/>
          <w:sz w:val="32"/>
          <w:szCs w:val="32"/>
        </w:rPr>
        <w:t>基于本指引第三十二条第二项和第三十三条第一款第三项，</w:t>
      </w:r>
      <w:r>
        <w:rPr>
          <w:rFonts w:hint="default" w:ascii="Times New Roman"/>
          <w:sz w:val="32"/>
          <w:szCs w:val="32"/>
        </w:rPr>
        <w:t>在中期报告</w:t>
      </w:r>
      <w:r>
        <w:rPr>
          <w:rFonts w:hint="default" w:ascii="Times New Roman"/>
          <w:bCs/>
          <w:kern w:val="0"/>
          <w:sz w:val="32"/>
          <w:szCs w:val="32"/>
        </w:rPr>
        <w:t>和季度报告</w:t>
      </w:r>
      <w:r>
        <w:rPr>
          <w:rFonts w:hint="default" w:ascii="Times New Roman"/>
          <w:sz w:val="32"/>
          <w:szCs w:val="32"/>
        </w:rPr>
        <w:t>中详细披露下列信息：</w:t>
      </w:r>
    </w:p>
    <w:p w14:paraId="4BE7A844">
      <w:pPr>
        <w:tabs>
          <w:tab w:val="left" w:pos="1701"/>
        </w:tabs>
        <w:spacing w:line="560" w:lineRule="exact"/>
        <w:ind w:firstLine="640" w:firstLineChars="200"/>
        <w:rPr>
          <w:rFonts w:hint="default" w:eastAsia="仿宋_GB2312"/>
          <w:bCs/>
          <w:kern w:val="0"/>
          <w:sz w:val="32"/>
          <w:szCs w:val="32"/>
        </w:rPr>
      </w:pPr>
      <w:r>
        <w:rPr>
          <w:rFonts w:hint="default" w:eastAsia="仿宋_GB2312"/>
          <w:bCs/>
          <w:kern w:val="0"/>
          <w:sz w:val="32"/>
          <w:szCs w:val="32"/>
        </w:rPr>
        <w:t>（一）不动产项目营业收入</w:t>
      </w:r>
      <w:r>
        <w:rPr>
          <w:rFonts w:hint="default" w:eastAsia="仿宋_GB2312"/>
          <w:kern w:val="0"/>
          <w:sz w:val="32"/>
          <w:szCs w:val="32"/>
        </w:rPr>
        <w:t>的主要构成情况</w:t>
      </w:r>
      <w:r>
        <w:rPr>
          <w:rFonts w:hint="default" w:eastAsia="仿宋_GB2312"/>
          <w:bCs/>
          <w:kern w:val="0"/>
          <w:sz w:val="32"/>
          <w:szCs w:val="32"/>
        </w:rPr>
        <w:t>；</w:t>
      </w:r>
    </w:p>
    <w:p w14:paraId="112F1278">
      <w:pPr>
        <w:tabs>
          <w:tab w:val="left" w:pos="1701"/>
        </w:tabs>
        <w:spacing w:line="560" w:lineRule="exact"/>
        <w:ind w:firstLine="640" w:firstLineChars="200"/>
        <w:rPr>
          <w:rFonts w:hint="default" w:eastAsia="仿宋_GB2312"/>
          <w:kern w:val="0"/>
          <w:sz w:val="32"/>
          <w:szCs w:val="32"/>
        </w:rPr>
      </w:pPr>
      <w:r>
        <w:rPr>
          <w:rFonts w:hint="default" w:eastAsia="仿宋_GB2312"/>
          <w:bCs/>
          <w:kern w:val="0"/>
          <w:sz w:val="32"/>
          <w:szCs w:val="32"/>
        </w:rPr>
        <w:t>（二）</w:t>
      </w:r>
      <w:r>
        <w:rPr>
          <w:rFonts w:hint="default" w:eastAsia="仿宋_GB2312"/>
          <w:kern w:val="0"/>
          <w:sz w:val="32"/>
          <w:szCs w:val="32"/>
        </w:rPr>
        <w:t>不动产项目营业成本以及费用的主要构成情况；</w:t>
      </w:r>
    </w:p>
    <w:p w14:paraId="55E4504C">
      <w:pPr>
        <w:pStyle w:val="2"/>
        <w:numPr>
          <w:ilvl w:val="255"/>
          <w:numId w:val="0"/>
        </w:numPr>
        <w:spacing w:line="560" w:lineRule="exact"/>
        <w:ind w:firstLine="640"/>
        <w:rPr>
          <w:rFonts w:hint="default" w:ascii="Times New Roman"/>
          <w:sz w:val="32"/>
          <w:szCs w:val="32"/>
        </w:rPr>
      </w:pPr>
      <w:r>
        <w:rPr>
          <w:rFonts w:hint="default" w:ascii="Times New Roman"/>
          <w:sz w:val="32"/>
          <w:szCs w:val="32"/>
        </w:rPr>
        <w:t>（三）报告期内实际处理量、产能情况、平均单价；</w:t>
      </w:r>
    </w:p>
    <w:p w14:paraId="32E9511F">
      <w:pPr>
        <w:pStyle w:val="2"/>
        <w:spacing w:line="560" w:lineRule="exact"/>
        <w:ind w:firstLine="640"/>
        <w:rPr>
          <w:rFonts w:hint="default" w:ascii="Times New Roman"/>
          <w:sz w:val="32"/>
          <w:szCs w:val="32"/>
        </w:rPr>
      </w:pPr>
      <w:r>
        <w:rPr>
          <w:rFonts w:hint="default" w:ascii="Times New Roman"/>
          <w:sz w:val="32"/>
          <w:szCs w:val="32"/>
        </w:rPr>
        <w:t>（四）报告期内发现设备存在影响机组正常运行问题的，披露相关检测情况，并结合检测结果分析对不动产项目经营的影响以及应对措施。</w:t>
      </w:r>
    </w:p>
    <w:p w14:paraId="307787D0">
      <w:pPr>
        <w:spacing w:line="560" w:lineRule="exact"/>
        <w:jc w:val="center"/>
        <w:rPr>
          <w:rFonts w:eastAsia="黑体"/>
          <w:bCs/>
          <w:sz w:val="32"/>
          <w:szCs w:val="32"/>
        </w:rPr>
      </w:pPr>
      <w:r>
        <w:rPr>
          <w:rFonts w:eastAsia="黑体"/>
          <w:bCs/>
          <w:kern w:val="0"/>
          <w:sz w:val="32"/>
          <w:szCs w:val="32"/>
        </w:rPr>
        <w:t>第三章</w:t>
      </w:r>
      <w:r>
        <w:rPr>
          <w:rFonts w:eastAsia="黑体"/>
          <w:sz w:val="32"/>
          <w:szCs w:val="32"/>
        </w:rPr>
        <w:t xml:space="preserve"> 信息披露事务管理</w:t>
      </w:r>
    </w:p>
    <w:p w14:paraId="74A1F0C7">
      <w:pPr>
        <w:pStyle w:val="2"/>
        <w:spacing w:line="560" w:lineRule="exact"/>
        <w:ind w:firstLine="643"/>
        <w:rPr>
          <w:rFonts w:ascii="Times New Roman"/>
          <w:bCs/>
          <w:kern w:val="0"/>
          <w:sz w:val="32"/>
          <w:szCs w:val="32"/>
        </w:rPr>
      </w:pPr>
      <w:r>
        <w:rPr>
          <w:rFonts w:ascii="Times New Roman"/>
          <w:b/>
          <w:kern w:val="0"/>
          <w:sz w:val="32"/>
          <w:szCs w:val="32"/>
        </w:rPr>
        <w:t>第四十</w:t>
      </w:r>
      <w:r>
        <w:rPr>
          <w:rFonts w:hint="default" w:ascii="Times New Roman"/>
          <w:b/>
          <w:kern w:val="0"/>
          <w:sz w:val="32"/>
          <w:szCs w:val="32"/>
          <w:lang w:eastAsia="zh-CN"/>
        </w:rPr>
        <w:t>七</w:t>
      </w:r>
      <w:r>
        <w:rPr>
          <w:rFonts w:ascii="Times New Roman"/>
          <w:b/>
          <w:kern w:val="0"/>
          <w:sz w:val="32"/>
          <w:szCs w:val="32"/>
        </w:rPr>
        <w:t xml:space="preserve">条 </w:t>
      </w:r>
      <w:r>
        <w:rPr>
          <w:rFonts w:ascii="Times New Roman"/>
          <w:bCs/>
          <w:kern w:val="0"/>
          <w:sz w:val="32"/>
          <w:szCs w:val="32"/>
        </w:rPr>
        <w:t>基金管理人应当制定信息披露管理制度，指定高级管理人员担任信息披露事务负责人，并将信息披露管理制度、信息披露事务负责人等信息向本所报备。信息披露管理制度应当包括但不限于下列事项：</w:t>
      </w:r>
    </w:p>
    <w:p w14:paraId="039F07AB">
      <w:pPr>
        <w:pStyle w:val="2"/>
        <w:spacing w:line="560" w:lineRule="exact"/>
        <w:ind w:firstLine="640"/>
        <w:rPr>
          <w:rFonts w:ascii="Times New Roman"/>
          <w:bCs/>
          <w:kern w:val="0"/>
          <w:sz w:val="32"/>
          <w:szCs w:val="32"/>
        </w:rPr>
      </w:pPr>
      <w:r>
        <w:rPr>
          <w:rFonts w:ascii="Times New Roman"/>
          <w:bCs/>
          <w:kern w:val="0"/>
          <w:sz w:val="32"/>
          <w:szCs w:val="32"/>
        </w:rPr>
        <w:t>（一）信息披露事务主管部门及其职责；</w:t>
      </w:r>
    </w:p>
    <w:p w14:paraId="06F5EAE4">
      <w:pPr>
        <w:pStyle w:val="2"/>
        <w:spacing w:line="560" w:lineRule="exact"/>
        <w:ind w:firstLine="640"/>
        <w:rPr>
          <w:rFonts w:ascii="Times New Roman"/>
          <w:bCs/>
          <w:kern w:val="0"/>
          <w:sz w:val="32"/>
          <w:szCs w:val="32"/>
        </w:rPr>
      </w:pPr>
      <w:r>
        <w:rPr>
          <w:rFonts w:ascii="Times New Roman"/>
          <w:bCs/>
          <w:kern w:val="0"/>
          <w:sz w:val="32"/>
          <w:szCs w:val="32"/>
        </w:rPr>
        <w:t>（二）信息披露事务负责人的选任、具体职责及其履职保障；</w:t>
      </w:r>
    </w:p>
    <w:p w14:paraId="2340D00C">
      <w:pPr>
        <w:pStyle w:val="2"/>
        <w:spacing w:line="560" w:lineRule="exact"/>
        <w:ind w:firstLine="640"/>
        <w:rPr>
          <w:rFonts w:ascii="Times New Roman"/>
          <w:bCs/>
          <w:kern w:val="0"/>
          <w:sz w:val="32"/>
          <w:szCs w:val="32"/>
        </w:rPr>
      </w:pPr>
      <w:r>
        <w:rPr>
          <w:rFonts w:ascii="Times New Roman"/>
          <w:bCs/>
          <w:kern w:val="0"/>
          <w:sz w:val="32"/>
          <w:szCs w:val="32"/>
        </w:rPr>
        <w:t>（三）信息披露审核与发布规范，包括拟披露信息的传递、申请、审核、披露的流程</w:t>
      </w:r>
      <w:r>
        <w:rPr>
          <w:rFonts w:hint="default" w:ascii="Times New Roman"/>
          <w:bCs/>
          <w:kern w:val="0"/>
          <w:sz w:val="32"/>
          <w:szCs w:val="32"/>
          <w:lang w:eastAsia="zh-CN"/>
        </w:rPr>
        <w:t>，</w:t>
      </w:r>
      <w:r>
        <w:rPr>
          <w:rFonts w:ascii="Times New Roman"/>
          <w:bCs/>
          <w:kern w:val="0"/>
          <w:sz w:val="32"/>
          <w:szCs w:val="32"/>
        </w:rPr>
        <w:t>相应决策机构或者人员及其履职要求；</w:t>
      </w:r>
    </w:p>
    <w:p w14:paraId="087A1E13">
      <w:pPr>
        <w:pStyle w:val="2"/>
        <w:spacing w:line="560" w:lineRule="exact"/>
        <w:ind w:firstLine="640"/>
        <w:rPr>
          <w:rFonts w:ascii="Times New Roman"/>
          <w:bCs/>
          <w:kern w:val="0"/>
          <w:sz w:val="32"/>
          <w:szCs w:val="32"/>
        </w:rPr>
      </w:pPr>
      <w:r>
        <w:rPr>
          <w:rFonts w:ascii="Times New Roman"/>
          <w:bCs/>
          <w:kern w:val="0"/>
          <w:sz w:val="32"/>
          <w:szCs w:val="32"/>
        </w:rPr>
        <w:t>（四）内幕信息管理规范，包括内幕信息知情人范围、保密责任、未公开信息的保密措施；</w:t>
      </w:r>
    </w:p>
    <w:p w14:paraId="4FE07DD7">
      <w:pPr>
        <w:pStyle w:val="2"/>
        <w:spacing w:line="560" w:lineRule="exact"/>
        <w:ind w:firstLine="640"/>
        <w:rPr>
          <w:rFonts w:ascii="Times New Roman"/>
          <w:bCs/>
          <w:kern w:val="0"/>
          <w:sz w:val="32"/>
          <w:szCs w:val="32"/>
        </w:rPr>
      </w:pPr>
      <w:r>
        <w:rPr>
          <w:rFonts w:ascii="Times New Roman"/>
          <w:bCs/>
          <w:kern w:val="0"/>
          <w:sz w:val="32"/>
          <w:szCs w:val="32"/>
        </w:rPr>
        <w:t>（五）信息披露暂缓、豁免的内部管理机制；</w:t>
      </w:r>
    </w:p>
    <w:p w14:paraId="7248911F">
      <w:pPr>
        <w:pStyle w:val="2"/>
        <w:spacing w:line="560" w:lineRule="exact"/>
        <w:ind w:firstLine="640"/>
        <w:rPr>
          <w:rFonts w:ascii="Times New Roman"/>
          <w:bCs/>
          <w:kern w:val="0"/>
          <w:sz w:val="32"/>
          <w:szCs w:val="32"/>
        </w:rPr>
      </w:pPr>
      <w:r>
        <w:rPr>
          <w:rFonts w:ascii="Times New Roman"/>
          <w:bCs/>
          <w:kern w:val="0"/>
          <w:sz w:val="32"/>
          <w:szCs w:val="32"/>
        </w:rPr>
        <w:t>（六）信息披露文件、相关决策过程或者履职记录等资料的档案管理制度。</w:t>
      </w:r>
    </w:p>
    <w:p w14:paraId="64F4414E">
      <w:pPr>
        <w:pStyle w:val="2"/>
        <w:spacing w:line="560" w:lineRule="exact"/>
        <w:ind w:firstLine="640"/>
        <w:rPr>
          <w:rFonts w:ascii="Times New Roman"/>
          <w:bCs/>
          <w:kern w:val="0"/>
          <w:sz w:val="32"/>
          <w:szCs w:val="32"/>
        </w:rPr>
      </w:pPr>
      <w:r>
        <w:rPr>
          <w:rFonts w:ascii="Times New Roman"/>
          <w:bCs/>
          <w:kern w:val="0"/>
          <w:sz w:val="32"/>
          <w:szCs w:val="32"/>
        </w:rPr>
        <w:t>运营管理机构应当参照前款规定制定信息披露配合制度，指定高级管理人员担任信息披露事务负责人，并将信息披露配合制度、信息披露事务负责人等信息</w:t>
      </w:r>
      <w:r>
        <w:rPr>
          <w:rFonts w:hint="default" w:ascii="Times New Roman"/>
          <w:bCs/>
          <w:kern w:val="0"/>
          <w:sz w:val="32"/>
          <w:szCs w:val="32"/>
          <w:lang w:eastAsia="zh-CN"/>
        </w:rPr>
        <w:t>由基金管理人</w:t>
      </w:r>
      <w:r>
        <w:rPr>
          <w:rFonts w:ascii="Times New Roman"/>
          <w:bCs/>
          <w:kern w:val="0"/>
          <w:sz w:val="32"/>
          <w:szCs w:val="32"/>
        </w:rPr>
        <w:t>向本所报备。</w:t>
      </w:r>
    </w:p>
    <w:p w14:paraId="097A2EAC">
      <w:pPr>
        <w:pStyle w:val="2"/>
        <w:spacing w:line="560" w:lineRule="exact"/>
        <w:ind w:firstLine="643"/>
        <w:rPr>
          <w:rFonts w:ascii="Times New Roman"/>
          <w:sz w:val="32"/>
          <w:szCs w:val="32"/>
        </w:rPr>
      </w:pPr>
      <w:r>
        <w:rPr>
          <w:rFonts w:ascii="Times New Roman"/>
          <w:b/>
          <w:kern w:val="0"/>
          <w:sz w:val="32"/>
          <w:szCs w:val="32"/>
        </w:rPr>
        <w:t>第四十</w:t>
      </w:r>
      <w:r>
        <w:rPr>
          <w:rFonts w:hint="default" w:ascii="Times New Roman"/>
          <w:b/>
          <w:bCs/>
          <w:sz w:val="32"/>
          <w:szCs w:val="32"/>
          <w:lang w:eastAsia="zh-CN"/>
        </w:rPr>
        <w:t>八</w:t>
      </w:r>
      <w:r>
        <w:rPr>
          <w:rFonts w:ascii="Times New Roman"/>
          <w:b/>
          <w:kern w:val="0"/>
          <w:sz w:val="32"/>
          <w:szCs w:val="32"/>
        </w:rPr>
        <w:t xml:space="preserve">条 </w:t>
      </w:r>
      <w:r>
        <w:rPr>
          <w:rFonts w:ascii="Times New Roman"/>
          <w:sz w:val="32"/>
          <w:szCs w:val="32"/>
        </w:rPr>
        <w:t>基金管理人和运营管理机构应当明确不动产基金中期报告和季度报告编制、审核与发布的业务流程。基金管理人和运营管理机构指定的信息披露事务负责人应当组织和协调中期报告和季度报告披露事务，对报告的合规性和质量承担相应责任。</w:t>
      </w:r>
    </w:p>
    <w:p w14:paraId="2F5D2E17">
      <w:pPr>
        <w:pStyle w:val="2"/>
        <w:spacing w:line="560" w:lineRule="exact"/>
        <w:ind w:firstLine="643"/>
        <w:rPr>
          <w:rFonts w:ascii="Times New Roman"/>
          <w:sz w:val="32"/>
          <w:szCs w:val="32"/>
        </w:rPr>
      </w:pPr>
      <w:r>
        <w:rPr>
          <w:rFonts w:ascii="Times New Roman"/>
          <w:b/>
          <w:bCs/>
          <w:sz w:val="32"/>
          <w:szCs w:val="32"/>
        </w:rPr>
        <w:t>第</w:t>
      </w:r>
      <w:r>
        <w:rPr>
          <w:rFonts w:hint="default" w:ascii="Times New Roman"/>
          <w:b/>
          <w:bCs/>
          <w:sz w:val="32"/>
          <w:szCs w:val="32"/>
          <w:lang w:eastAsia="zh-CN"/>
        </w:rPr>
        <w:t>四十九</w:t>
      </w:r>
      <w:r>
        <w:rPr>
          <w:rFonts w:ascii="Times New Roman"/>
          <w:b/>
          <w:bCs/>
          <w:sz w:val="32"/>
          <w:szCs w:val="32"/>
        </w:rPr>
        <w:t>条</w:t>
      </w:r>
      <w:r>
        <w:rPr>
          <w:rFonts w:ascii="Times New Roman"/>
          <w:b/>
          <w:kern w:val="0"/>
          <w:sz w:val="32"/>
          <w:szCs w:val="32"/>
        </w:rPr>
        <w:t xml:space="preserve"> </w:t>
      </w:r>
      <w:r>
        <w:rPr>
          <w:rFonts w:ascii="Times New Roman"/>
          <w:sz w:val="32"/>
          <w:szCs w:val="32"/>
        </w:rPr>
        <w:t>基金管理人和运营管理机构应当在中期报告和季度报告中公示信息披露事务负责人信息。本所鼓励基金管理人和运营管理机构在其官方网站中公示上述信息。</w:t>
      </w:r>
    </w:p>
    <w:p w14:paraId="24BDE546">
      <w:pPr>
        <w:pStyle w:val="2"/>
        <w:spacing w:line="560" w:lineRule="exact"/>
        <w:ind w:firstLine="643"/>
        <w:rPr>
          <w:rFonts w:ascii="Times New Roman"/>
          <w:sz w:val="32"/>
          <w:szCs w:val="32"/>
        </w:rPr>
      </w:pPr>
      <w:r>
        <w:rPr>
          <w:rFonts w:ascii="Times New Roman"/>
          <w:b/>
          <w:bCs/>
          <w:sz w:val="32"/>
          <w:szCs w:val="32"/>
        </w:rPr>
        <w:t>第</w:t>
      </w:r>
      <w:r>
        <w:rPr>
          <w:rFonts w:hint="default" w:ascii="Times New Roman"/>
          <w:b/>
          <w:bCs/>
          <w:sz w:val="32"/>
          <w:szCs w:val="32"/>
        </w:rPr>
        <w:t>五十</w:t>
      </w:r>
      <w:r>
        <w:rPr>
          <w:rFonts w:ascii="Times New Roman"/>
          <w:b/>
          <w:bCs/>
          <w:sz w:val="32"/>
          <w:szCs w:val="32"/>
        </w:rPr>
        <w:t>条</w:t>
      </w:r>
      <w:r>
        <w:rPr>
          <w:rFonts w:ascii="Times New Roman"/>
          <w:b/>
          <w:kern w:val="0"/>
          <w:sz w:val="32"/>
          <w:szCs w:val="32"/>
        </w:rPr>
        <w:t xml:space="preserve"> </w:t>
      </w:r>
      <w:r>
        <w:rPr>
          <w:rFonts w:ascii="Times New Roman"/>
          <w:sz w:val="32"/>
          <w:szCs w:val="32"/>
        </w:rPr>
        <w:t>信息披露文件应当通过本所网站以及其他符合法律法规规定条件的媒体向投资者披露，披露时间不得晚于在其他场合披露的时间。</w:t>
      </w:r>
    </w:p>
    <w:p w14:paraId="24117BC2">
      <w:pPr>
        <w:pStyle w:val="2"/>
        <w:spacing w:line="560" w:lineRule="exact"/>
        <w:ind w:firstLine="640"/>
        <w:rPr>
          <w:rFonts w:ascii="Times New Roman"/>
          <w:sz w:val="32"/>
          <w:szCs w:val="32"/>
        </w:rPr>
      </w:pPr>
      <w:r>
        <w:rPr>
          <w:rFonts w:ascii="Times New Roman"/>
          <w:sz w:val="32"/>
          <w:szCs w:val="32"/>
        </w:rPr>
        <w:t>同一信息在不同媒介上披露的内容应当一致。</w:t>
      </w:r>
    </w:p>
    <w:p w14:paraId="4DC58656">
      <w:pPr>
        <w:spacing w:line="560" w:lineRule="exact"/>
        <w:ind w:firstLine="643" w:firstLineChars="200"/>
        <w:rPr>
          <w:rFonts w:eastAsia="仿宋_GB2312"/>
          <w:kern w:val="0"/>
          <w:sz w:val="32"/>
          <w:szCs w:val="32"/>
        </w:rPr>
      </w:pPr>
      <w:r>
        <w:rPr>
          <w:rFonts w:eastAsia="仿宋_GB2312"/>
          <w:b/>
          <w:kern w:val="0"/>
          <w:sz w:val="32"/>
          <w:szCs w:val="32"/>
        </w:rPr>
        <w:t>第</w:t>
      </w:r>
      <w:r>
        <w:rPr>
          <w:rFonts w:hint="default" w:eastAsia="仿宋_GB2312"/>
          <w:b/>
          <w:kern w:val="0"/>
          <w:sz w:val="32"/>
          <w:szCs w:val="32"/>
        </w:rPr>
        <w:t>五十一</w:t>
      </w:r>
      <w:r>
        <w:rPr>
          <w:rFonts w:eastAsia="仿宋_GB2312"/>
          <w:b/>
          <w:kern w:val="0"/>
          <w:sz w:val="32"/>
          <w:szCs w:val="32"/>
        </w:rPr>
        <w:t xml:space="preserve">条 </w:t>
      </w:r>
      <w:r>
        <w:rPr>
          <w:rFonts w:eastAsia="仿宋_GB2312"/>
          <w:kern w:val="0"/>
          <w:sz w:val="32"/>
          <w:szCs w:val="32"/>
        </w:rPr>
        <w:t>基金管理人应当按照下列时间要求编制中期报告和季度报告：</w:t>
      </w:r>
    </w:p>
    <w:p w14:paraId="2DBF684F">
      <w:pPr>
        <w:spacing w:line="560" w:lineRule="exact"/>
        <w:ind w:firstLine="640" w:firstLineChars="200"/>
        <w:rPr>
          <w:rFonts w:eastAsia="仿宋_GB2312"/>
          <w:kern w:val="0"/>
          <w:sz w:val="32"/>
          <w:szCs w:val="32"/>
        </w:rPr>
      </w:pPr>
      <w:r>
        <w:rPr>
          <w:rFonts w:eastAsia="仿宋_GB2312"/>
          <w:kern w:val="0"/>
          <w:sz w:val="32"/>
          <w:szCs w:val="32"/>
        </w:rPr>
        <w:t>（一）在上半年结束之日起</w:t>
      </w:r>
      <w:r>
        <w:rPr>
          <w:rFonts w:hint="default" w:eastAsia="仿宋_GB2312"/>
          <w:kern w:val="0"/>
          <w:sz w:val="32"/>
          <w:szCs w:val="32"/>
          <w:lang w:val="en-US" w:eastAsia="zh-CN"/>
        </w:rPr>
        <w:t>2</w:t>
      </w:r>
      <w:r>
        <w:rPr>
          <w:rFonts w:eastAsia="仿宋_GB2312"/>
          <w:kern w:val="0"/>
          <w:sz w:val="32"/>
          <w:szCs w:val="32"/>
        </w:rPr>
        <w:t>个月内，编制和披露不动产基金中期报告；</w:t>
      </w:r>
    </w:p>
    <w:p w14:paraId="23117B17">
      <w:pPr>
        <w:spacing w:line="560" w:lineRule="exact"/>
        <w:ind w:firstLine="640" w:firstLineChars="200"/>
        <w:rPr>
          <w:rFonts w:eastAsia="仿宋_GB2312"/>
          <w:kern w:val="0"/>
          <w:sz w:val="32"/>
          <w:szCs w:val="32"/>
        </w:rPr>
      </w:pPr>
      <w:r>
        <w:rPr>
          <w:rFonts w:eastAsia="仿宋_GB2312"/>
          <w:kern w:val="0"/>
          <w:sz w:val="32"/>
          <w:szCs w:val="32"/>
        </w:rPr>
        <w:t>（二）在每季度结束之日起</w:t>
      </w:r>
      <w:r>
        <w:rPr>
          <w:rFonts w:hint="default" w:eastAsia="仿宋_GB2312"/>
          <w:kern w:val="0"/>
          <w:sz w:val="32"/>
          <w:szCs w:val="32"/>
          <w:lang w:val="en-US" w:eastAsia="zh-CN"/>
        </w:rPr>
        <w:t>15</w:t>
      </w:r>
      <w:r>
        <w:rPr>
          <w:rFonts w:eastAsia="仿宋_GB2312"/>
          <w:kern w:val="0"/>
          <w:sz w:val="32"/>
          <w:szCs w:val="32"/>
        </w:rPr>
        <w:t>个工作日内，编制和披露不动产基金季度报告。</w:t>
      </w:r>
    </w:p>
    <w:p w14:paraId="70ABD368">
      <w:pPr>
        <w:spacing w:line="560" w:lineRule="exact"/>
        <w:ind w:firstLine="640" w:firstLineChars="200"/>
        <w:rPr>
          <w:rFonts w:eastAsia="仿宋_GB2312"/>
          <w:kern w:val="0"/>
          <w:sz w:val="32"/>
          <w:szCs w:val="32"/>
        </w:rPr>
      </w:pPr>
      <w:r>
        <w:rPr>
          <w:rFonts w:eastAsia="仿宋_GB2312"/>
          <w:kern w:val="0"/>
          <w:sz w:val="32"/>
          <w:szCs w:val="32"/>
        </w:rPr>
        <w:t>不动产基金合同生效不足</w:t>
      </w:r>
      <w:r>
        <w:rPr>
          <w:rFonts w:hint="default" w:eastAsia="仿宋_GB2312"/>
          <w:kern w:val="0"/>
          <w:sz w:val="32"/>
          <w:szCs w:val="32"/>
          <w:lang w:val="en-US" w:eastAsia="zh-CN"/>
        </w:rPr>
        <w:t>2</w:t>
      </w:r>
      <w:r>
        <w:rPr>
          <w:rFonts w:eastAsia="仿宋_GB2312"/>
          <w:kern w:val="0"/>
          <w:sz w:val="32"/>
          <w:szCs w:val="32"/>
        </w:rPr>
        <w:t>个月的，基金管理人可以不编制当期中期报告和季度报告。</w:t>
      </w:r>
    </w:p>
    <w:p w14:paraId="0ADA2383">
      <w:pPr>
        <w:spacing w:line="560" w:lineRule="exact"/>
        <w:ind w:firstLine="643" w:firstLineChars="200"/>
        <w:rPr>
          <w:rFonts w:eastAsia="仿宋_GB2312"/>
          <w:sz w:val="32"/>
          <w:szCs w:val="32"/>
        </w:rPr>
      </w:pPr>
      <w:r>
        <w:rPr>
          <w:rFonts w:eastAsia="仿宋_GB2312"/>
          <w:b/>
          <w:kern w:val="0"/>
          <w:sz w:val="32"/>
          <w:szCs w:val="32"/>
        </w:rPr>
        <w:t>第</w:t>
      </w:r>
      <w:r>
        <w:rPr>
          <w:rFonts w:hint="default" w:eastAsia="仿宋_GB2312"/>
          <w:b/>
          <w:kern w:val="0"/>
          <w:sz w:val="32"/>
          <w:szCs w:val="32"/>
        </w:rPr>
        <w:t>五十</w:t>
      </w:r>
      <w:r>
        <w:rPr>
          <w:rFonts w:hint="default" w:eastAsia="仿宋_GB2312"/>
          <w:b/>
          <w:kern w:val="0"/>
          <w:sz w:val="32"/>
          <w:szCs w:val="32"/>
          <w:lang w:eastAsia="zh-CN"/>
        </w:rPr>
        <w:t>二</w:t>
      </w:r>
      <w:r>
        <w:rPr>
          <w:rFonts w:eastAsia="仿宋_GB2312"/>
          <w:b/>
          <w:kern w:val="0"/>
          <w:sz w:val="32"/>
          <w:szCs w:val="32"/>
        </w:rPr>
        <w:t xml:space="preserve">条 </w:t>
      </w:r>
      <w:r>
        <w:rPr>
          <w:rFonts w:eastAsia="仿宋_GB2312"/>
          <w:kern w:val="0"/>
          <w:sz w:val="32"/>
          <w:szCs w:val="32"/>
        </w:rPr>
        <w:t>因不动产基金合同生效时间原因导致基金管理人披露的数据未涵盖完整报告期的，基金管理人应当说明实际报告期间，并根据实际情况进行披露</w:t>
      </w:r>
      <w:r>
        <w:rPr>
          <w:rFonts w:eastAsia="仿宋_GB2312"/>
          <w:sz w:val="32"/>
          <w:szCs w:val="32"/>
        </w:rPr>
        <w:t>。</w:t>
      </w:r>
    </w:p>
    <w:p w14:paraId="6D910D43">
      <w:pPr>
        <w:spacing w:line="560" w:lineRule="exact"/>
        <w:ind w:firstLine="643" w:firstLineChars="200"/>
        <w:rPr>
          <w:rFonts w:eastAsia="仿宋_GB2312"/>
          <w:sz w:val="32"/>
          <w:szCs w:val="32"/>
        </w:rPr>
      </w:pPr>
      <w:r>
        <w:rPr>
          <w:rFonts w:eastAsia="仿宋_GB2312"/>
          <w:b/>
          <w:kern w:val="0"/>
          <w:sz w:val="32"/>
          <w:szCs w:val="32"/>
        </w:rPr>
        <w:t>第五十</w:t>
      </w:r>
      <w:r>
        <w:rPr>
          <w:rFonts w:hint="default" w:eastAsia="仿宋_GB2312"/>
          <w:b/>
          <w:bCs/>
          <w:sz w:val="32"/>
          <w:szCs w:val="32"/>
          <w:lang w:eastAsia="zh-CN"/>
        </w:rPr>
        <w:t>三</w:t>
      </w:r>
      <w:r>
        <w:rPr>
          <w:rFonts w:eastAsia="仿宋_GB2312"/>
          <w:b/>
          <w:kern w:val="0"/>
          <w:sz w:val="32"/>
          <w:szCs w:val="32"/>
        </w:rPr>
        <w:t xml:space="preserve">条 </w:t>
      </w:r>
      <w:r>
        <w:rPr>
          <w:rFonts w:eastAsia="仿宋_GB2312"/>
          <w:bCs/>
          <w:kern w:val="0"/>
          <w:sz w:val="32"/>
          <w:szCs w:val="32"/>
        </w:rPr>
        <w:t>中期报告和季度报告</w:t>
      </w:r>
      <w:r>
        <w:rPr>
          <w:rFonts w:eastAsia="仿宋_GB2312"/>
          <w:kern w:val="0"/>
          <w:sz w:val="32"/>
          <w:szCs w:val="32"/>
        </w:rPr>
        <w:t>披露</w:t>
      </w:r>
      <w:r>
        <w:rPr>
          <w:rFonts w:eastAsia="仿宋_GB2312"/>
          <w:sz w:val="32"/>
          <w:szCs w:val="32"/>
        </w:rPr>
        <w:t>内容与格式应当符合法律法规、本所其他业务规则的规定和</w:t>
      </w:r>
      <w:r>
        <w:rPr>
          <w:rFonts w:hint="default" w:eastAsia="仿宋_GB2312"/>
          <w:sz w:val="32"/>
          <w:szCs w:val="32"/>
          <w:lang w:eastAsia="zh-CN"/>
        </w:rPr>
        <w:t>有关</w:t>
      </w:r>
      <w:r>
        <w:rPr>
          <w:rFonts w:eastAsia="仿宋_GB2312"/>
          <w:sz w:val="32"/>
          <w:szCs w:val="32"/>
        </w:rPr>
        <w:t>约定。确不适用的信息披露事项，基金管理人可以按</w:t>
      </w:r>
      <w:r>
        <w:rPr>
          <w:rFonts w:hint="default" w:eastAsia="仿宋_GB2312"/>
          <w:sz w:val="32"/>
          <w:szCs w:val="32"/>
          <w:lang w:eastAsia="zh-CN"/>
        </w:rPr>
        <w:t>照</w:t>
      </w:r>
      <w:r>
        <w:rPr>
          <w:rFonts w:eastAsia="仿宋_GB2312"/>
          <w:sz w:val="32"/>
          <w:szCs w:val="32"/>
        </w:rPr>
        <w:t>规定不予披露，但应当在中期报告和季度报告中说明事项以及理由。</w:t>
      </w:r>
    </w:p>
    <w:p w14:paraId="70B6B7C7">
      <w:pPr>
        <w:pStyle w:val="2"/>
        <w:spacing w:line="560" w:lineRule="exact"/>
        <w:ind w:firstLine="640"/>
        <w:rPr>
          <w:rFonts w:ascii="Times New Roman"/>
          <w:sz w:val="32"/>
          <w:szCs w:val="32"/>
        </w:rPr>
      </w:pPr>
      <w:r>
        <w:rPr>
          <w:rFonts w:ascii="Times New Roman"/>
          <w:sz w:val="32"/>
          <w:szCs w:val="32"/>
        </w:rPr>
        <w:t>基金管理人应当结合基础资产</w:t>
      </w:r>
      <w:r>
        <w:rPr>
          <w:rFonts w:hint="default" w:ascii="Times New Roman"/>
          <w:sz w:val="32"/>
          <w:szCs w:val="32"/>
          <w:lang w:eastAsia="zh-CN"/>
        </w:rPr>
        <w:t>业态</w:t>
      </w:r>
      <w:r>
        <w:rPr>
          <w:rFonts w:ascii="Times New Roman"/>
          <w:sz w:val="32"/>
          <w:szCs w:val="32"/>
        </w:rPr>
        <w:t>、招募说明书和</w:t>
      </w:r>
      <w:r>
        <w:rPr>
          <w:rFonts w:ascii="Times New Roman"/>
          <w:kern w:val="0"/>
          <w:sz w:val="32"/>
          <w:szCs w:val="32"/>
        </w:rPr>
        <w:t>不动产基金</w:t>
      </w:r>
      <w:r>
        <w:rPr>
          <w:rFonts w:ascii="Times New Roman"/>
          <w:sz w:val="32"/>
          <w:szCs w:val="32"/>
        </w:rPr>
        <w:t>合同约定，在中期报告和季度报告中充分披露与产品特征相关和有助于投资者理解</w:t>
      </w:r>
      <w:r>
        <w:rPr>
          <w:rFonts w:ascii="Times New Roman"/>
          <w:kern w:val="0"/>
          <w:sz w:val="32"/>
          <w:szCs w:val="32"/>
        </w:rPr>
        <w:t>不动产基金</w:t>
      </w:r>
      <w:r>
        <w:rPr>
          <w:rFonts w:ascii="Times New Roman"/>
          <w:sz w:val="32"/>
          <w:szCs w:val="32"/>
        </w:rPr>
        <w:t>运作的重要信息。</w:t>
      </w:r>
    </w:p>
    <w:p w14:paraId="2CB531A0">
      <w:pPr>
        <w:tabs>
          <w:tab w:val="left" w:pos="1701"/>
        </w:tabs>
        <w:spacing w:line="560" w:lineRule="exact"/>
        <w:ind w:firstLine="643" w:firstLineChars="200"/>
        <w:rPr>
          <w:rFonts w:eastAsia="仿宋_GB2312"/>
          <w:kern w:val="0"/>
          <w:sz w:val="32"/>
          <w:szCs w:val="32"/>
        </w:rPr>
      </w:pPr>
      <w:r>
        <w:rPr>
          <w:rFonts w:eastAsia="仿宋_GB2312"/>
          <w:b/>
          <w:bCs/>
          <w:sz w:val="32"/>
          <w:szCs w:val="32"/>
        </w:rPr>
        <w:t>第五十</w:t>
      </w:r>
      <w:r>
        <w:rPr>
          <w:rFonts w:hint="default" w:eastAsia="仿宋_GB2312"/>
          <w:b/>
          <w:bCs/>
          <w:sz w:val="32"/>
          <w:szCs w:val="32"/>
          <w:lang w:eastAsia="zh-CN"/>
        </w:rPr>
        <w:t>四</w:t>
      </w:r>
      <w:r>
        <w:rPr>
          <w:rFonts w:eastAsia="仿宋_GB2312"/>
          <w:b/>
          <w:bCs/>
          <w:sz w:val="32"/>
          <w:szCs w:val="32"/>
        </w:rPr>
        <w:t xml:space="preserve">条 </w:t>
      </w:r>
      <w:r>
        <w:rPr>
          <w:rFonts w:eastAsia="仿宋_GB2312"/>
          <w:sz w:val="32"/>
          <w:szCs w:val="32"/>
        </w:rPr>
        <w:t>不同报告期内披露的不动产项目的经营和运营情况应当具有可比性，原则上不得调整相关数据的计算方法或者指标口径。因行业政策等原因确有必要调整的，基金管理人应当在中期报告和季度报告中披露调整前后的计算方法或者指标口径及其调整原因。</w:t>
      </w:r>
    </w:p>
    <w:p w14:paraId="3E3D82FE">
      <w:pPr>
        <w:pStyle w:val="2"/>
        <w:spacing w:line="560" w:lineRule="exact"/>
        <w:ind w:firstLine="643"/>
        <w:rPr>
          <w:rFonts w:ascii="Times New Roman"/>
          <w:sz w:val="32"/>
          <w:szCs w:val="32"/>
        </w:rPr>
      </w:pPr>
      <w:r>
        <w:rPr>
          <w:rFonts w:ascii="Times New Roman"/>
          <w:b/>
          <w:bCs/>
          <w:sz w:val="32"/>
          <w:szCs w:val="32"/>
        </w:rPr>
        <w:t>第五十</w:t>
      </w:r>
      <w:r>
        <w:rPr>
          <w:rFonts w:hint="default" w:ascii="Times New Roman"/>
          <w:b/>
          <w:bCs/>
          <w:sz w:val="32"/>
          <w:szCs w:val="32"/>
          <w:lang w:eastAsia="zh-CN"/>
        </w:rPr>
        <w:t>五</w:t>
      </w:r>
      <w:r>
        <w:rPr>
          <w:rFonts w:ascii="Times New Roman"/>
          <w:b/>
          <w:bCs/>
          <w:sz w:val="32"/>
          <w:szCs w:val="32"/>
        </w:rPr>
        <w:t>条</w:t>
      </w:r>
      <w:r>
        <w:rPr>
          <w:rFonts w:ascii="Times New Roman"/>
          <w:b/>
          <w:kern w:val="0"/>
          <w:sz w:val="32"/>
          <w:szCs w:val="32"/>
        </w:rPr>
        <w:t xml:space="preserve"> </w:t>
      </w:r>
      <w:r>
        <w:rPr>
          <w:rFonts w:ascii="Times New Roman"/>
          <w:sz w:val="32"/>
          <w:szCs w:val="32"/>
        </w:rPr>
        <w:t>信息披露义务人需要暂缓披露信息的，按照《</w:t>
      </w:r>
      <w:r>
        <w:rPr>
          <w:rFonts w:hint="default" w:ascii="Times New Roman"/>
          <w:sz w:val="32"/>
          <w:szCs w:val="32"/>
        </w:rPr>
        <w:t>不动产</w:t>
      </w:r>
      <w:r>
        <w:rPr>
          <w:rFonts w:ascii="Times New Roman"/>
          <w:sz w:val="32"/>
          <w:szCs w:val="32"/>
        </w:rPr>
        <w:t>基金业务办法》的规定办理。</w:t>
      </w:r>
    </w:p>
    <w:p w14:paraId="58D72922">
      <w:pPr>
        <w:pStyle w:val="2"/>
        <w:spacing w:line="560" w:lineRule="exact"/>
        <w:ind w:firstLine="640"/>
        <w:rPr>
          <w:rFonts w:ascii="Times New Roman"/>
          <w:sz w:val="32"/>
          <w:szCs w:val="32"/>
        </w:rPr>
      </w:pPr>
      <w:r>
        <w:rPr>
          <w:rFonts w:ascii="Times New Roman"/>
          <w:sz w:val="32"/>
          <w:szCs w:val="32"/>
        </w:rPr>
        <w:t>信息披露义务人拟披露的信息属于国家秘密、永久性商业秘密或者商业敏感信息，按照本指引披露可能导致其违反法律法规</w:t>
      </w:r>
      <w:r>
        <w:rPr>
          <w:rFonts w:hint="default" w:ascii="Times New Roman"/>
          <w:sz w:val="32"/>
          <w:szCs w:val="32"/>
          <w:lang w:eastAsia="zh-CN"/>
        </w:rPr>
        <w:t>、</w:t>
      </w:r>
      <w:r>
        <w:rPr>
          <w:rFonts w:ascii="Times New Roman"/>
          <w:sz w:val="32"/>
          <w:szCs w:val="32"/>
        </w:rPr>
        <w:t>危害国家安全</w:t>
      </w:r>
      <w:r>
        <w:rPr>
          <w:rFonts w:hint="default" w:ascii="Times New Roman"/>
          <w:sz w:val="32"/>
          <w:szCs w:val="32"/>
          <w:lang w:eastAsia="zh-CN"/>
        </w:rPr>
        <w:t>、</w:t>
      </w:r>
      <w:r>
        <w:rPr>
          <w:rFonts w:ascii="Times New Roman"/>
          <w:sz w:val="32"/>
          <w:szCs w:val="32"/>
        </w:rPr>
        <w:t>引致不</w:t>
      </w:r>
      <w:r>
        <w:rPr>
          <w:rFonts w:hint="default" w:ascii="Times New Roman"/>
          <w:sz w:val="32"/>
          <w:szCs w:val="32"/>
          <w:lang w:eastAsia="zh-CN"/>
        </w:rPr>
        <w:t>正</w:t>
      </w:r>
      <w:r>
        <w:rPr>
          <w:rFonts w:ascii="Times New Roman"/>
          <w:sz w:val="32"/>
          <w:szCs w:val="32"/>
        </w:rPr>
        <w:t>当竞争、损害</w:t>
      </w:r>
      <w:r>
        <w:rPr>
          <w:rFonts w:hint="default" w:ascii="Times New Roman"/>
          <w:sz w:val="32"/>
          <w:szCs w:val="32"/>
          <w:lang w:eastAsia="zh-CN"/>
        </w:rPr>
        <w:t>不动产基金和</w:t>
      </w:r>
      <w:r>
        <w:rPr>
          <w:rFonts w:ascii="Times New Roman"/>
          <w:sz w:val="32"/>
          <w:szCs w:val="32"/>
        </w:rPr>
        <w:t>基金份额持有人权益或者误导投资者，且同时符合</w:t>
      </w:r>
      <w:r>
        <w:rPr>
          <w:rFonts w:hint="default" w:ascii="Times New Roman"/>
          <w:sz w:val="32"/>
          <w:szCs w:val="32"/>
          <w:lang w:val="en-US" w:eastAsia="zh-CN"/>
        </w:rPr>
        <w:t>下列</w:t>
      </w:r>
      <w:r>
        <w:rPr>
          <w:rFonts w:ascii="Times New Roman"/>
          <w:sz w:val="32"/>
          <w:szCs w:val="32"/>
        </w:rPr>
        <w:t>条件的，可以豁免披露：</w:t>
      </w:r>
    </w:p>
    <w:p w14:paraId="5151D58B">
      <w:pPr>
        <w:pStyle w:val="2"/>
        <w:spacing w:line="560" w:lineRule="exact"/>
        <w:ind w:firstLine="640"/>
        <w:rPr>
          <w:rFonts w:ascii="Times New Roman"/>
          <w:sz w:val="32"/>
          <w:szCs w:val="32"/>
        </w:rPr>
      </w:pPr>
      <w:r>
        <w:rPr>
          <w:rFonts w:ascii="Times New Roman"/>
          <w:sz w:val="32"/>
          <w:szCs w:val="32"/>
        </w:rPr>
        <w:t>（一）相关信息未泄露；</w:t>
      </w:r>
    </w:p>
    <w:p w14:paraId="4B7A0751">
      <w:pPr>
        <w:pStyle w:val="2"/>
        <w:spacing w:line="560" w:lineRule="exact"/>
        <w:ind w:firstLine="640"/>
        <w:rPr>
          <w:rFonts w:ascii="Times New Roman"/>
          <w:sz w:val="32"/>
          <w:szCs w:val="32"/>
        </w:rPr>
      </w:pPr>
      <w:r>
        <w:rPr>
          <w:rFonts w:ascii="Times New Roman"/>
          <w:sz w:val="32"/>
          <w:szCs w:val="32"/>
        </w:rPr>
        <w:t>（二）有关内幕信息知情人已书面承诺保密；</w:t>
      </w:r>
    </w:p>
    <w:p w14:paraId="237795C1">
      <w:pPr>
        <w:pStyle w:val="2"/>
        <w:spacing w:line="560" w:lineRule="exact"/>
        <w:ind w:firstLine="640"/>
        <w:rPr>
          <w:rFonts w:ascii="Times New Roman"/>
          <w:sz w:val="32"/>
          <w:szCs w:val="32"/>
        </w:rPr>
      </w:pPr>
      <w:r>
        <w:rPr>
          <w:rFonts w:ascii="Times New Roman"/>
          <w:sz w:val="32"/>
          <w:szCs w:val="32"/>
        </w:rPr>
        <w:t>（三）不动产基金交易未发生异常波动。</w:t>
      </w:r>
    </w:p>
    <w:p w14:paraId="3DB8D319">
      <w:pPr>
        <w:pStyle w:val="2"/>
        <w:spacing w:line="560" w:lineRule="exact"/>
        <w:ind w:firstLine="640"/>
        <w:rPr>
          <w:rFonts w:ascii="Times New Roman"/>
          <w:sz w:val="32"/>
          <w:szCs w:val="32"/>
        </w:rPr>
      </w:pPr>
      <w:r>
        <w:rPr>
          <w:rFonts w:ascii="Times New Roman"/>
          <w:sz w:val="32"/>
          <w:szCs w:val="32"/>
        </w:rPr>
        <w:t>信息披露义务人应当审慎确定信息披露暂缓、豁免事项，决定暂缓、豁免披露的，应当严格按照信息披露内部管理制度的规定履行内部决策程序。本所对信息披露义务人暂缓、豁免披露行为进行事后监管。</w:t>
      </w:r>
    </w:p>
    <w:p w14:paraId="17B2E82E">
      <w:pPr>
        <w:autoSpaceDE w:val="0"/>
        <w:autoSpaceDN w:val="0"/>
        <w:adjustRightInd w:val="0"/>
        <w:spacing w:line="560" w:lineRule="exact"/>
        <w:jc w:val="center"/>
        <w:rPr>
          <w:rFonts w:eastAsia="黑体"/>
          <w:bCs/>
          <w:kern w:val="0"/>
          <w:sz w:val="32"/>
          <w:szCs w:val="32"/>
        </w:rPr>
      </w:pPr>
      <w:r>
        <w:rPr>
          <w:rFonts w:eastAsia="黑体"/>
          <w:bCs/>
          <w:kern w:val="0"/>
          <w:sz w:val="32"/>
          <w:szCs w:val="32"/>
        </w:rPr>
        <w:t>第</w:t>
      </w:r>
      <w:r>
        <w:rPr>
          <w:rFonts w:hint="default" w:eastAsia="黑体"/>
          <w:bCs/>
          <w:kern w:val="0"/>
          <w:sz w:val="32"/>
          <w:szCs w:val="32"/>
          <w:lang w:eastAsia="zh-CN"/>
        </w:rPr>
        <w:t>四</w:t>
      </w:r>
      <w:r>
        <w:rPr>
          <w:rFonts w:eastAsia="黑体"/>
          <w:bCs/>
          <w:kern w:val="0"/>
          <w:sz w:val="32"/>
          <w:szCs w:val="32"/>
        </w:rPr>
        <w:t>章</w:t>
      </w:r>
      <w:r>
        <w:rPr>
          <w:rFonts w:eastAsia="黑体"/>
          <w:sz w:val="32"/>
          <w:szCs w:val="32"/>
        </w:rPr>
        <w:t xml:space="preserve"> </w:t>
      </w:r>
      <w:r>
        <w:rPr>
          <w:rFonts w:eastAsia="黑体"/>
          <w:bCs/>
          <w:kern w:val="0"/>
          <w:sz w:val="32"/>
          <w:szCs w:val="32"/>
        </w:rPr>
        <w:t>附</w:t>
      </w:r>
      <w:r>
        <w:rPr>
          <w:rFonts w:hint="default" w:eastAsia="黑体"/>
          <w:bCs/>
          <w:kern w:val="0"/>
          <w:sz w:val="32"/>
          <w:szCs w:val="32"/>
          <w:lang w:eastAsia="zh"/>
        </w:rPr>
        <w:t xml:space="preserve"> </w:t>
      </w:r>
      <w:r>
        <w:rPr>
          <w:rFonts w:eastAsia="黑体"/>
          <w:bCs/>
          <w:kern w:val="0"/>
          <w:sz w:val="32"/>
          <w:szCs w:val="32"/>
        </w:rPr>
        <w:t>则</w:t>
      </w:r>
    </w:p>
    <w:p w14:paraId="6FC62784">
      <w:pPr>
        <w:autoSpaceDE w:val="0"/>
        <w:autoSpaceDN w:val="0"/>
        <w:adjustRightInd w:val="0"/>
        <w:spacing w:line="560" w:lineRule="exact"/>
        <w:ind w:firstLine="643" w:firstLineChars="200"/>
        <w:rPr>
          <w:rFonts w:hint="default" w:eastAsia="仿宋_GB2312"/>
          <w:b/>
          <w:kern w:val="0"/>
          <w:sz w:val="32"/>
          <w:szCs w:val="32"/>
        </w:rPr>
      </w:pPr>
      <w:r>
        <w:rPr>
          <w:rFonts w:hint="default" w:eastAsia="仿宋_GB2312"/>
          <w:b/>
          <w:kern w:val="0"/>
          <w:sz w:val="32"/>
          <w:szCs w:val="32"/>
        </w:rPr>
        <w:t>第五十</w:t>
      </w:r>
      <w:r>
        <w:rPr>
          <w:rFonts w:hint="default" w:eastAsia="仿宋_GB2312"/>
          <w:b/>
          <w:kern w:val="0"/>
          <w:sz w:val="32"/>
          <w:szCs w:val="32"/>
          <w:lang w:eastAsia="zh-CN"/>
        </w:rPr>
        <w:t>六</w:t>
      </w:r>
      <w:r>
        <w:rPr>
          <w:rFonts w:hint="default" w:eastAsia="仿宋_GB2312"/>
          <w:b/>
          <w:kern w:val="0"/>
          <w:sz w:val="32"/>
          <w:szCs w:val="32"/>
        </w:rPr>
        <w:t xml:space="preserve">条 </w:t>
      </w:r>
      <w:r>
        <w:rPr>
          <w:rFonts w:hint="default" w:ascii="Times New Roman" w:hAnsi="Times New Roman" w:eastAsia="仿宋_GB2312" w:cs="Times New Roman"/>
          <w:kern w:val="0"/>
          <w:sz w:val="32"/>
          <w:szCs w:val="32"/>
          <w:highlight w:val="none"/>
        </w:rPr>
        <w:t>不动产基金业务参与人及其人员</w:t>
      </w:r>
      <w:r>
        <w:rPr>
          <w:rFonts w:hint="default" w:eastAsia="仿宋_GB2312"/>
          <w:b w:val="0"/>
          <w:bCs/>
          <w:kern w:val="0"/>
          <w:sz w:val="32"/>
          <w:szCs w:val="32"/>
        </w:rPr>
        <w:t>违反本指引、本所其他业务规则规定，不动产基金合同、招募说明书、不动产项目运营管理协议等基金法律文件约定</w:t>
      </w:r>
      <w:r>
        <w:rPr>
          <w:rFonts w:hint="default" w:eastAsia="仿宋_GB2312"/>
          <w:b w:val="0"/>
          <w:bCs/>
          <w:kern w:val="0"/>
          <w:sz w:val="32"/>
          <w:szCs w:val="32"/>
          <w:lang w:eastAsia="zh-CN"/>
        </w:rPr>
        <w:t>，</w:t>
      </w:r>
      <w:r>
        <w:rPr>
          <w:rFonts w:hint="default" w:eastAsia="仿宋_GB2312"/>
          <w:b w:val="0"/>
          <w:bCs/>
          <w:kern w:val="0"/>
          <w:sz w:val="32"/>
          <w:szCs w:val="32"/>
        </w:rPr>
        <w:t>或者其所作出的承诺的，本所可以按照规定对其采取自律监管措施或者纪律处分。</w:t>
      </w:r>
    </w:p>
    <w:p w14:paraId="752D0D33">
      <w:pPr>
        <w:keepNext w:val="0"/>
        <w:keepLines w:val="0"/>
        <w:pageBreakBefore w:val="0"/>
        <w:widowControl w:val="0"/>
        <w:kinsoku/>
        <w:wordWrap/>
        <w:overflowPunct/>
        <w:topLinePunct w:val="0"/>
        <w:autoSpaceDE w:val="0"/>
        <w:autoSpaceDN w:val="0"/>
        <w:bidi w:val="0"/>
        <w:adjustRightInd w:val="0"/>
        <w:snapToGrid/>
        <w:spacing w:line="560" w:lineRule="exact"/>
        <w:ind w:left="0" w:firstLine="640" w:firstLineChars="200"/>
        <w:textAlignment w:val="auto"/>
        <w:rPr>
          <w:rFonts w:hint="default" w:ascii="Times New Roman" w:hAnsi="Times New Roman" w:eastAsia="仿宋_GB2312" w:cs="Times New Roman"/>
          <w:b w:val="0"/>
          <w:bCs w:val="0"/>
          <w:kern w:val="0"/>
          <w:sz w:val="32"/>
          <w:szCs w:val="32"/>
          <w:highlight w:val="none"/>
          <w:lang w:val="en-US" w:eastAsia="zh-CN"/>
        </w:rPr>
      </w:pPr>
      <w:r>
        <w:rPr>
          <w:rFonts w:hint="default" w:ascii="Times New Roman" w:hAnsi="Times New Roman" w:eastAsia="仿宋_GB2312" w:cs="Times New Roman"/>
          <w:kern w:val="0"/>
          <w:sz w:val="32"/>
          <w:szCs w:val="32"/>
          <w:highlight w:val="none"/>
        </w:rPr>
        <w:t>涉嫌违反法律、行政法规、部门规章和规范性文件的，本所将及时报中国证监会处理。</w:t>
      </w:r>
    </w:p>
    <w:p w14:paraId="4581F3D1">
      <w:pPr>
        <w:autoSpaceDE w:val="0"/>
        <w:autoSpaceDN w:val="0"/>
        <w:adjustRightInd w:val="0"/>
        <w:spacing w:line="560" w:lineRule="exact"/>
        <w:ind w:firstLine="643" w:firstLineChars="200"/>
        <w:rPr>
          <w:rFonts w:hint="default" w:eastAsia="仿宋_GB2312"/>
          <w:b/>
          <w:kern w:val="0"/>
          <w:sz w:val="32"/>
          <w:szCs w:val="32"/>
        </w:rPr>
      </w:pPr>
      <w:r>
        <w:rPr>
          <w:rFonts w:hint="default" w:eastAsia="仿宋_GB2312"/>
          <w:b/>
          <w:kern w:val="0"/>
          <w:sz w:val="32"/>
          <w:szCs w:val="32"/>
        </w:rPr>
        <w:t>第</w:t>
      </w:r>
      <w:r>
        <w:rPr>
          <w:rFonts w:hint="default" w:eastAsia="仿宋_GB2312"/>
          <w:b/>
          <w:kern w:val="0"/>
          <w:sz w:val="32"/>
          <w:szCs w:val="32"/>
          <w:lang w:eastAsia="zh-CN"/>
        </w:rPr>
        <w:t>五十七</w:t>
      </w:r>
      <w:r>
        <w:rPr>
          <w:rFonts w:hint="default" w:eastAsia="仿宋_GB2312"/>
          <w:b/>
          <w:kern w:val="0"/>
          <w:sz w:val="32"/>
          <w:szCs w:val="32"/>
        </w:rPr>
        <w:t xml:space="preserve">条 </w:t>
      </w:r>
      <w:r>
        <w:rPr>
          <w:rFonts w:hint="default" w:eastAsia="仿宋_GB2312"/>
          <w:kern w:val="0"/>
          <w:sz w:val="32"/>
          <w:szCs w:val="32"/>
        </w:rPr>
        <w:t>本指引</w:t>
      </w:r>
      <w:r>
        <w:rPr>
          <w:rFonts w:hint="default" w:eastAsia="仿宋_GB2312"/>
          <w:kern w:val="0"/>
          <w:sz w:val="32"/>
          <w:szCs w:val="32"/>
          <w:lang w:eastAsia="zh-CN"/>
        </w:rPr>
        <w:t>相关</w:t>
      </w:r>
      <w:r>
        <w:rPr>
          <w:rFonts w:hint="default" w:eastAsia="仿宋_GB2312"/>
          <w:kern w:val="0"/>
          <w:sz w:val="32"/>
          <w:szCs w:val="32"/>
        </w:rPr>
        <w:t>用语的含义</w:t>
      </w:r>
      <w:r>
        <w:rPr>
          <w:rFonts w:hint="default" w:eastAsia="仿宋_GB2312"/>
          <w:kern w:val="0"/>
          <w:sz w:val="32"/>
          <w:szCs w:val="32"/>
          <w:lang w:eastAsia="zh-CN"/>
        </w:rPr>
        <w:t>如下</w:t>
      </w:r>
      <w:r>
        <w:rPr>
          <w:rFonts w:hint="default" w:eastAsia="仿宋_GB2312"/>
          <w:kern w:val="0"/>
          <w:sz w:val="32"/>
          <w:szCs w:val="32"/>
        </w:rPr>
        <w:t>：</w:t>
      </w:r>
    </w:p>
    <w:p w14:paraId="5B3161EA">
      <w:pPr>
        <w:pStyle w:val="2"/>
        <w:spacing w:line="560" w:lineRule="exact"/>
        <w:ind w:firstLine="640"/>
        <w:rPr>
          <w:rFonts w:hint="default" w:ascii="Times New Roman" w:eastAsia="仿宋_GB2312"/>
          <w:kern w:val="0"/>
          <w:sz w:val="32"/>
          <w:szCs w:val="32"/>
          <w:lang w:eastAsia="zh-CN"/>
        </w:rPr>
      </w:pPr>
      <w:r>
        <w:rPr>
          <w:rFonts w:hint="default" w:ascii="Times New Roman"/>
          <w:kern w:val="0"/>
          <w:sz w:val="32"/>
          <w:szCs w:val="32"/>
        </w:rPr>
        <w:t>（一）重要不动产项目，</w:t>
      </w:r>
      <w:r>
        <w:rPr>
          <w:rFonts w:hint="default" w:ascii="Times New Roman"/>
          <w:kern w:val="0"/>
          <w:sz w:val="32"/>
          <w:szCs w:val="32"/>
          <w:lang w:eastAsia="zh"/>
        </w:rPr>
        <w:t>是</w:t>
      </w:r>
      <w:r>
        <w:rPr>
          <w:rFonts w:hint="default" w:ascii="Times New Roman"/>
          <w:kern w:val="0"/>
          <w:sz w:val="32"/>
          <w:szCs w:val="32"/>
        </w:rPr>
        <w:t>指单独或者合计</w:t>
      </w:r>
      <w:r>
        <w:rPr>
          <w:rFonts w:hint="default" w:ascii="Times New Roman"/>
          <w:kern w:val="0"/>
          <w:sz w:val="32"/>
          <w:szCs w:val="32"/>
          <w:lang w:eastAsia="zh-CN"/>
        </w:rPr>
        <w:t>营业</w:t>
      </w:r>
      <w:r>
        <w:rPr>
          <w:rFonts w:hint="default" w:ascii="Times New Roman"/>
          <w:kern w:val="0"/>
          <w:sz w:val="32"/>
          <w:szCs w:val="32"/>
        </w:rPr>
        <w:t>收入或者现金流占上年度全部</w:t>
      </w:r>
      <w:r>
        <w:rPr>
          <w:rFonts w:hint="default" w:ascii="Times New Roman"/>
          <w:kern w:val="0"/>
          <w:sz w:val="32"/>
          <w:szCs w:val="32"/>
          <w:lang w:eastAsia="zh-CN"/>
        </w:rPr>
        <w:t>不动产项目合计营业</w:t>
      </w:r>
      <w:r>
        <w:rPr>
          <w:rFonts w:hint="default" w:ascii="Times New Roman"/>
          <w:kern w:val="0"/>
          <w:sz w:val="32"/>
          <w:szCs w:val="32"/>
        </w:rPr>
        <w:t>收入</w:t>
      </w:r>
      <w:r>
        <w:rPr>
          <w:rFonts w:hint="default" w:ascii="Times New Roman"/>
          <w:kern w:val="0"/>
          <w:sz w:val="32"/>
          <w:szCs w:val="32"/>
          <w:lang w:eastAsia="zh-CN"/>
        </w:rPr>
        <w:t>、</w:t>
      </w:r>
      <w:r>
        <w:rPr>
          <w:rFonts w:hint="default" w:ascii="Times New Roman"/>
          <w:kern w:val="0"/>
          <w:sz w:val="32"/>
          <w:szCs w:val="32"/>
        </w:rPr>
        <w:t>现金流</w:t>
      </w:r>
      <w:r>
        <w:rPr>
          <w:rFonts w:ascii="Times New Roman"/>
          <w:kern w:val="0"/>
          <w:sz w:val="32"/>
          <w:szCs w:val="32"/>
        </w:rPr>
        <w:t>10%以上的项目，或者其他对</w:t>
      </w:r>
      <w:r>
        <w:rPr>
          <w:rFonts w:hint="default" w:ascii="Times New Roman"/>
          <w:kern w:val="0"/>
          <w:sz w:val="32"/>
          <w:szCs w:val="32"/>
        </w:rPr>
        <w:t>不动产</w:t>
      </w:r>
      <w:r>
        <w:rPr>
          <w:rFonts w:hint="default" w:ascii="Times New Roman"/>
          <w:kern w:val="0"/>
          <w:sz w:val="32"/>
          <w:szCs w:val="32"/>
          <w:lang w:eastAsia="zh-CN"/>
        </w:rPr>
        <w:t>项目</w:t>
      </w:r>
      <w:r>
        <w:rPr>
          <w:rFonts w:ascii="Times New Roman"/>
          <w:kern w:val="0"/>
          <w:sz w:val="32"/>
          <w:szCs w:val="32"/>
        </w:rPr>
        <w:t>运营、基金份额持有人权益产生重大影响的项目</w:t>
      </w:r>
      <w:r>
        <w:rPr>
          <w:rFonts w:hint="default" w:ascii="Times New Roman"/>
          <w:kern w:val="0"/>
          <w:sz w:val="32"/>
          <w:szCs w:val="32"/>
          <w:lang w:eastAsia="zh-CN"/>
        </w:rPr>
        <w:t>；</w:t>
      </w:r>
    </w:p>
    <w:p w14:paraId="2ECA3DCE">
      <w:pPr>
        <w:pStyle w:val="2"/>
        <w:spacing w:line="560" w:lineRule="exact"/>
        <w:ind w:firstLine="640"/>
        <w:rPr>
          <w:rFonts w:hint="default" w:ascii="Times New Roman" w:eastAsia="仿宋_GB2312"/>
          <w:kern w:val="0"/>
          <w:sz w:val="32"/>
          <w:szCs w:val="32"/>
          <w:lang w:eastAsia="zh-CN"/>
        </w:rPr>
      </w:pPr>
      <w:r>
        <w:rPr>
          <w:rFonts w:ascii="Times New Roman"/>
          <w:kern w:val="0"/>
          <w:sz w:val="32"/>
          <w:szCs w:val="32"/>
        </w:rPr>
        <w:t>（</w:t>
      </w:r>
      <w:r>
        <w:rPr>
          <w:rFonts w:hint="default" w:ascii="Times New Roman"/>
          <w:kern w:val="0"/>
          <w:sz w:val="32"/>
          <w:szCs w:val="32"/>
          <w:lang w:eastAsia="zh-CN"/>
        </w:rPr>
        <w:t>二</w:t>
      </w:r>
      <w:r>
        <w:rPr>
          <w:rFonts w:ascii="Times New Roman"/>
          <w:kern w:val="0"/>
          <w:sz w:val="32"/>
          <w:szCs w:val="32"/>
        </w:rPr>
        <w:t>）重要不动产项目</w:t>
      </w:r>
      <w:r>
        <w:rPr>
          <w:rFonts w:hint="default" w:ascii="Times New Roman"/>
          <w:kern w:val="0"/>
          <w:sz w:val="32"/>
          <w:szCs w:val="32"/>
          <w:lang w:eastAsia="zh-CN"/>
        </w:rPr>
        <w:t>公司</w:t>
      </w:r>
      <w:r>
        <w:rPr>
          <w:rFonts w:ascii="Times New Roman"/>
          <w:kern w:val="0"/>
          <w:sz w:val="32"/>
          <w:szCs w:val="32"/>
        </w:rPr>
        <w:t>，</w:t>
      </w:r>
      <w:r>
        <w:rPr>
          <w:rFonts w:hint="default" w:ascii="Times New Roman"/>
          <w:kern w:val="0"/>
          <w:sz w:val="32"/>
          <w:szCs w:val="32"/>
          <w:lang w:eastAsia="zh"/>
        </w:rPr>
        <w:t>是</w:t>
      </w:r>
      <w:r>
        <w:rPr>
          <w:rFonts w:ascii="Times New Roman"/>
          <w:kern w:val="0"/>
          <w:sz w:val="32"/>
          <w:szCs w:val="32"/>
        </w:rPr>
        <w:t>指单独或者合计</w:t>
      </w:r>
      <w:r>
        <w:rPr>
          <w:rFonts w:hint="default" w:ascii="Times New Roman"/>
          <w:kern w:val="0"/>
          <w:sz w:val="32"/>
          <w:szCs w:val="32"/>
          <w:lang w:eastAsia="zh-CN"/>
        </w:rPr>
        <w:t>营业</w:t>
      </w:r>
      <w:r>
        <w:rPr>
          <w:rFonts w:ascii="Times New Roman"/>
          <w:kern w:val="0"/>
          <w:sz w:val="32"/>
          <w:szCs w:val="32"/>
        </w:rPr>
        <w:t>收入或者现金流占上年度全部</w:t>
      </w:r>
      <w:r>
        <w:rPr>
          <w:rFonts w:hint="default" w:ascii="Times New Roman"/>
          <w:kern w:val="0"/>
          <w:sz w:val="32"/>
          <w:szCs w:val="32"/>
          <w:lang w:eastAsia="zh-CN"/>
        </w:rPr>
        <w:t>不动产项目公司合计营业</w:t>
      </w:r>
      <w:r>
        <w:rPr>
          <w:rFonts w:ascii="Times New Roman"/>
          <w:kern w:val="0"/>
          <w:sz w:val="32"/>
          <w:szCs w:val="32"/>
        </w:rPr>
        <w:t>收入</w:t>
      </w:r>
      <w:r>
        <w:rPr>
          <w:rFonts w:hint="default" w:ascii="Times New Roman"/>
          <w:kern w:val="0"/>
          <w:sz w:val="32"/>
          <w:szCs w:val="32"/>
          <w:lang w:eastAsia="zh-CN"/>
        </w:rPr>
        <w:t>、</w:t>
      </w:r>
      <w:r>
        <w:rPr>
          <w:rFonts w:ascii="Times New Roman"/>
          <w:kern w:val="0"/>
          <w:sz w:val="32"/>
          <w:szCs w:val="32"/>
        </w:rPr>
        <w:t>现金流10%以上的项目</w:t>
      </w:r>
      <w:r>
        <w:rPr>
          <w:rFonts w:hint="default" w:ascii="Times New Roman"/>
          <w:kern w:val="0"/>
          <w:sz w:val="32"/>
          <w:szCs w:val="32"/>
          <w:lang w:eastAsia="zh-CN"/>
        </w:rPr>
        <w:t>公司</w:t>
      </w:r>
      <w:r>
        <w:rPr>
          <w:rFonts w:ascii="Times New Roman"/>
          <w:kern w:val="0"/>
          <w:sz w:val="32"/>
          <w:szCs w:val="32"/>
        </w:rPr>
        <w:t>，或者其他对</w:t>
      </w:r>
      <w:r>
        <w:rPr>
          <w:rFonts w:hint="default" w:ascii="Times New Roman"/>
          <w:kern w:val="0"/>
          <w:sz w:val="32"/>
          <w:szCs w:val="32"/>
        </w:rPr>
        <w:t>不动产</w:t>
      </w:r>
      <w:r>
        <w:rPr>
          <w:rFonts w:hint="default" w:ascii="Times New Roman"/>
          <w:kern w:val="0"/>
          <w:sz w:val="32"/>
          <w:szCs w:val="32"/>
          <w:lang w:eastAsia="zh-CN"/>
        </w:rPr>
        <w:t>项目</w:t>
      </w:r>
      <w:r>
        <w:rPr>
          <w:rFonts w:ascii="Times New Roman"/>
          <w:kern w:val="0"/>
          <w:sz w:val="32"/>
          <w:szCs w:val="32"/>
        </w:rPr>
        <w:t>运营、基金份额持有人权益产生重大影响的项目</w:t>
      </w:r>
      <w:r>
        <w:rPr>
          <w:rFonts w:hint="default" w:ascii="Times New Roman"/>
          <w:kern w:val="0"/>
          <w:sz w:val="32"/>
          <w:szCs w:val="32"/>
          <w:lang w:eastAsia="zh-CN"/>
        </w:rPr>
        <w:t>公司；</w:t>
      </w:r>
    </w:p>
    <w:p w14:paraId="108631AA">
      <w:pPr>
        <w:pStyle w:val="2"/>
        <w:spacing w:line="560" w:lineRule="exact"/>
        <w:ind w:firstLine="640"/>
        <w:rPr>
          <w:rFonts w:hint="default" w:ascii="Times New Roman" w:eastAsia="仿宋_GB2312"/>
          <w:kern w:val="0"/>
          <w:sz w:val="32"/>
          <w:szCs w:val="32"/>
          <w:lang w:eastAsia="zh-CN"/>
        </w:rPr>
      </w:pPr>
      <w:r>
        <w:rPr>
          <w:rFonts w:ascii="Times New Roman"/>
          <w:kern w:val="0"/>
          <w:sz w:val="32"/>
          <w:szCs w:val="32"/>
        </w:rPr>
        <w:t>（</w:t>
      </w:r>
      <w:r>
        <w:rPr>
          <w:rFonts w:hint="default" w:ascii="Times New Roman"/>
          <w:kern w:val="0"/>
          <w:sz w:val="32"/>
          <w:szCs w:val="32"/>
          <w:lang w:eastAsia="zh-CN"/>
        </w:rPr>
        <w:t>三</w:t>
      </w:r>
      <w:r>
        <w:rPr>
          <w:rFonts w:ascii="Times New Roman"/>
          <w:kern w:val="0"/>
          <w:sz w:val="32"/>
          <w:szCs w:val="32"/>
        </w:rPr>
        <w:t>）主要资产科目，</w:t>
      </w:r>
      <w:r>
        <w:rPr>
          <w:rFonts w:hint="default" w:ascii="Times New Roman"/>
          <w:kern w:val="0"/>
          <w:sz w:val="32"/>
          <w:szCs w:val="32"/>
          <w:lang w:eastAsia="zh"/>
        </w:rPr>
        <w:t>是</w:t>
      </w:r>
      <w:r>
        <w:rPr>
          <w:rFonts w:ascii="Times New Roman"/>
          <w:kern w:val="0"/>
          <w:sz w:val="32"/>
          <w:szCs w:val="32"/>
        </w:rPr>
        <w:t>指占期末总资产10%以上的资产科目</w:t>
      </w:r>
      <w:r>
        <w:rPr>
          <w:rFonts w:hint="default" w:ascii="Times New Roman"/>
          <w:kern w:val="0"/>
          <w:sz w:val="32"/>
          <w:szCs w:val="32"/>
          <w:lang w:eastAsia="zh-CN"/>
        </w:rPr>
        <w:t>；</w:t>
      </w:r>
    </w:p>
    <w:p w14:paraId="072C1091">
      <w:pPr>
        <w:pStyle w:val="2"/>
        <w:spacing w:line="560" w:lineRule="exact"/>
        <w:ind w:firstLine="640"/>
        <w:rPr>
          <w:rFonts w:hint="default" w:ascii="Times New Roman" w:eastAsia="仿宋_GB2312"/>
          <w:kern w:val="0"/>
          <w:sz w:val="32"/>
          <w:szCs w:val="32"/>
          <w:lang w:eastAsia="zh-CN"/>
        </w:rPr>
      </w:pPr>
      <w:r>
        <w:rPr>
          <w:rFonts w:ascii="Times New Roman"/>
          <w:kern w:val="0"/>
          <w:sz w:val="32"/>
          <w:szCs w:val="32"/>
        </w:rPr>
        <w:t>（</w:t>
      </w:r>
      <w:r>
        <w:rPr>
          <w:rFonts w:hint="default" w:ascii="Times New Roman"/>
          <w:kern w:val="0"/>
          <w:sz w:val="32"/>
          <w:szCs w:val="32"/>
          <w:lang w:eastAsia="zh-CN"/>
        </w:rPr>
        <w:t>四</w:t>
      </w:r>
      <w:r>
        <w:rPr>
          <w:rFonts w:ascii="Times New Roman"/>
          <w:kern w:val="0"/>
          <w:sz w:val="32"/>
          <w:szCs w:val="32"/>
        </w:rPr>
        <w:t>）主要负债科目，</w:t>
      </w:r>
      <w:r>
        <w:rPr>
          <w:rFonts w:hint="default" w:ascii="Times New Roman"/>
          <w:kern w:val="0"/>
          <w:sz w:val="32"/>
          <w:szCs w:val="32"/>
          <w:lang w:eastAsia="zh"/>
        </w:rPr>
        <w:t>是</w:t>
      </w:r>
      <w:r>
        <w:rPr>
          <w:rFonts w:ascii="Times New Roman"/>
          <w:kern w:val="0"/>
          <w:sz w:val="32"/>
          <w:szCs w:val="32"/>
        </w:rPr>
        <w:t>指占期末总负债10%以上的负债科目</w:t>
      </w:r>
      <w:r>
        <w:rPr>
          <w:rFonts w:hint="default" w:ascii="Times New Roman"/>
          <w:kern w:val="0"/>
          <w:sz w:val="32"/>
          <w:szCs w:val="32"/>
          <w:lang w:eastAsia="zh-CN"/>
        </w:rPr>
        <w:t>；</w:t>
      </w:r>
    </w:p>
    <w:p w14:paraId="40843AEE">
      <w:pPr>
        <w:numPr>
          <w:ilvl w:val="255"/>
          <w:numId w:val="0"/>
        </w:numPr>
        <w:spacing w:line="560" w:lineRule="exact"/>
        <w:ind w:firstLine="640" w:firstLineChars="200"/>
        <w:rPr>
          <w:rFonts w:eastAsia="仿宋_GB2312"/>
          <w:kern w:val="0"/>
          <w:sz w:val="32"/>
          <w:szCs w:val="32"/>
        </w:rPr>
      </w:pPr>
      <w:r>
        <w:rPr>
          <w:rFonts w:eastAsia="仿宋_GB2312"/>
          <w:kern w:val="0"/>
          <w:sz w:val="32"/>
          <w:szCs w:val="32"/>
        </w:rPr>
        <w:t>（</w:t>
      </w:r>
      <w:r>
        <w:rPr>
          <w:rFonts w:hint="default" w:eastAsia="仿宋_GB2312"/>
          <w:kern w:val="0"/>
          <w:sz w:val="32"/>
          <w:szCs w:val="32"/>
          <w:lang w:eastAsia="zh-CN"/>
        </w:rPr>
        <w:t>五</w:t>
      </w:r>
      <w:r>
        <w:rPr>
          <w:rFonts w:eastAsia="仿宋_GB2312"/>
          <w:kern w:val="0"/>
          <w:sz w:val="32"/>
          <w:szCs w:val="32"/>
        </w:rPr>
        <w:t>）收入，</w:t>
      </w:r>
      <w:r>
        <w:rPr>
          <w:rFonts w:hint="default" w:eastAsia="仿宋_GB2312"/>
          <w:kern w:val="0"/>
          <w:sz w:val="32"/>
          <w:szCs w:val="32"/>
          <w:lang w:eastAsia="zh"/>
        </w:rPr>
        <w:t>是</w:t>
      </w:r>
      <w:r>
        <w:rPr>
          <w:rFonts w:eastAsia="仿宋_GB2312"/>
          <w:kern w:val="0"/>
          <w:sz w:val="32"/>
          <w:szCs w:val="32"/>
        </w:rPr>
        <w:t>指不含税的收入。</w:t>
      </w:r>
    </w:p>
    <w:p w14:paraId="2BD59567">
      <w:pPr>
        <w:pStyle w:val="15"/>
        <w:spacing w:line="560" w:lineRule="exact"/>
        <w:ind w:left="624" w:firstLine="0" w:firstLineChars="0"/>
        <w:rPr>
          <w:rFonts w:eastAsia="仿宋_GB2312"/>
          <w:kern w:val="0"/>
          <w:sz w:val="32"/>
          <w:szCs w:val="32"/>
        </w:rPr>
      </w:pPr>
      <w:r>
        <w:rPr>
          <w:rFonts w:eastAsia="仿宋_GB2312"/>
          <w:b/>
          <w:kern w:val="0"/>
          <w:sz w:val="32"/>
          <w:szCs w:val="32"/>
        </w:rPr>
        <w:t>第</w:t>
      </w:r>
      <w:r>
        <w:rPr>
          <w:rFonts w:hint="default" w:eastAsia="仿宋_GB2312"/>
          <w:b/>
          <w:kern w:val="0"/>
          <w:sz w:val="32"/>
          <w:szCs w:val="32"/>
          <w:lang w:eastAsia="zh-CN"/>
        </w:rPr>
        <w:t>五十八</w:t>
      </w:r>
      <w:r>
        <w:rPr>
          <w:rFonts w:eastAsia="仿宋_GB2312"/>
          <w:b/>
          <w:kern w:val="0"/>
          <w:sz w:val="32"/>
          <w:szCs w:val="32"/>
        </w:rPr>
        <w:t xml:space="preserve">条 </w:t>
      </w:r>
      <w:r>
        <w:rPr>
          <w:rFonts w:eastAsia="仿宋_GB2312"/>
          <w:kern w:val="0"/>
          <w:sz w:val="32"/>
          <w:szCs w:val="32"/>
        </w:rPr>
        <w:t>本指引由本所负责解释。</w:t>
      </w:r>
    </w:p>
    <w:p w14:paraId="3BD15B32">
      <w:pPr>
        <w:pStyle w:val="15"/>
        <w:spacing w:line="560" w:lineRule="exact"/>
        <w:ind w:firstLine="643"/>
        <w:rPr>
          <w:sz w:val="32"/>
          <w:szCs w:val="32"/>
        </w:rPr>
      </w:pPr>
      <w:r>
        <w:rPr>
          <w:rFonts w:eastAsia="仿宋_GB2312"/>
          <w:b/>
          <w:kern w:val="0"/>
          <w:sz w:val="32"/>
          <w:szCs w:val="32"/>
        </w:rPr>
        <w:t>第</w:t>
      </w:r>
      <w:r>
        <w:rPr>
          <w:rFonts w:hint="default" w:eastAsia="仿宋_GB2312"/>
          <w:b/>
          <w:kern w:val="0"/>
          <w:sz w:val="32"/>
          <w:szCs w:val="32"/>
          <w:lang w:eastAsia="zh-CN"/>
        </w:rPr>
        <w:t>五十九</w:t>
      </w:r>
      <w:r>
        <w:rPr>
          <w:rFonts w:eastAsia="仿宋_GB2312"/>
          <w:b/>
          <w:kern w:val="0"/>
          <w:sz w:val="32"/>
          <w:szCs w:val="32"/>
        </w:rPr>
        <w:t xml:space="preserve">条 </w:t>
      </w:r>
      <w:r>
        <w:rPr>
          <w:rFonts w:eastAsia="仿宋_GB2312"/>
          <w:kern w:val="0"/>
          <w:sz w:val="32"/>
          <w:szCs w:val="32"/>
        </w:rPr>
        <w:t>本指引自发布之日起施行。</w:t>
      </w:r>
      <w:r>
        <w:rPr>
          <w:rFonts w:hint="default" w:eastAsia="仿宋_GB2312"/>
          <w:kern w:val="0"/>
          <w:sz w:val="32"/>
          <w:szCs w:val="32"/>
        </w:rPr>
        <w:t>本所于</w:t>
      </w:r>
      <w:r>
        <w:rPr>
          <w:rFonts w:eastAsia="仿宋_GB2312"/>
          <w:kern w:val="0"/>
          <w:sz w:val="32"/>
          <w:szCs w:val="32"/>
        </w:rPr>
        <w:t>2024年</w:t>
      </w:r>
      <w:r>
        <w:rPr>
          <w:rFonts w:hint="default" w:eastAsia="仿宋_GB2312"/>
          <w:kern w:val="0"/>
          <w:sz w:val="32"/>
          <w:szCs w:val="32"/>
        </w:rPr>
        <w:t>11</w:t>
      </w:r>
      <w:r>
        <w:rPr>
          <w:rFonts w:eastAsia="仿宋_GB2312"/>
          <w:kern w:val="0"/>
          <w:sz w:val="32"/>
          <w:szCs w:val="32"/>
        </w:rPr>
        <w:t>月</w:t>
      </w:r>
      <w:r>
        <w:rPr>
          <w:rFonts w:hint="default" w:eastAsia="仿宋_GB2312"/>
          <w:kern w:val="0"/>
          <w:sz w:val="32"/>
          <w:szCs w:val="32"/>
        </w:rPr>
        <w:t>29</w:t>
      </w:r>
      <w:r>
        <w:rPr>
          <w:rFonts w:eastAsia="仿宋_GB2312"/>
          <w:kern w:val="0"/>
          <w:sz w:val="32"/>
          <w:szCs w:val="32"/>
        </w:rPr>
        <w:t>日发布的《</w:t>
      </w:r>
      <w:r>
        <w:rPr>
          <w:rFonts w:hint="default" w:eastAsia="仿宋_GB2312"/>
          <w:kern w:val="0"/>
          <w:sz w:val="32"/>
          <w:szCs w:val="32"/>
        </w:rPr>
        <w:t>上海证券交易所公开募集基础设施证券投资基金（REITs）规则适用指引第7号——中期报告和季度报告（试行）</w:t>
      </w:r>
      <w:r>
        <w:rPr>
          <w:rFonts w:eastAsia="仿宋_GB2312"/>
          <w:kern w:val="0"/>
          <w:sz w:val="32"/>
          <w:szCs w:val="32"/>
        </w:rPr>
        <w:t>》（上证发〔2024〕</w:t>
      </w:r>
      <w:r>
        <w:rPr>
          <w:rFonts w:hint="default" w:eastAsia="仿宋_GB2312"/>
          <w:kern w:val="0"/>
          <w:sz w:val="32"/>
          <w:szCs w:val="32"/>
        </w:rPr>
        <w:t>148</w:t>
      </w:r>
      <w:r>
        <w:rPr>
          <w:rFonts w:eastAsia="仿宋_GB2312"/>
          <w:kern w:val="0"/>
          <w:sz w:val="32"/>
          <w:szCs w:val="32"/>
        </w:rPr>
        <w:t>号）同时废止。</w:t>
      </w:r>
    </w:p>
    <w:sectPr>
      <w:footerReference r:id="rId3" w:type="default"/>
      <w:footerReference r:id="rId4" w:type="even"/>
      <w:pgSz w:w="11906" w:h="16838"/>
      <w:pgMar w:top="1440" w:right="1797" w:bottom="1440"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大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0210691"/>
    </w:sdtPr>
    <w:sdtContent>
      <w:p w14:paraId="4F795533">
        <w:pPr>
          <w:pStyle w:val="8"/>
          <w:jc w:val="center"/>
        </w:pPr>
        <w:r>
          <w:fldChar w:fldCharType="begin"/>
        </w:r>
        <w:r>
          <w:instrText xml:space="preserve"> PAGE   \* MERGEFORMAT </w:instrText>
        </w:r>
        <w:r>
          <w:fldChar w:fldCharType="separate"/>
        </w:r>
        <w:r>
          <w:rPr>
            <w:lang w:val="zh-CN"/>
          </w:rPr>
          <w:t>22</w:t>
        </w:r>
        <w:r>
          <w:rPr>
            <w:lang w:val="zh-CN"/>
          </w:rPr>
          <w:fldChar w:fldCharType="end"/>
        </w:r>
      </w:p>
    </w:sdtContent>
  </w:sdt>
  <w:p w14:paraId="7CC65613">
    <w:pPr>
      <w:pStyle w:val="8"/>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0210693"/>
    </w:sdtPr>
    <w:sdtContent>
      <w:p w14:paraId="5CEADC1E">
        <w:pPr>
          <w:pStyle w:val="8"/>
          <w:jc w:val="center"/>
        </w:pPr>
        <w:r>
          <w:fldChar w:fldCharType="begin"/>
        </w:r>
        <w:r>
          <w:instrText xml:space="preserve"> PAGE   \* MERGEFORMAT </w:instrText>
        </w:r>
        <w:r>
          <w:fldChar w:fldCharType="separate"/>
        </w:r>
        <w:r>
          <w:rPr>
            <w:lang w:val="zh-CN"/>
          </w:rPr>
          <w:t>24</w:t>
        </w:r>
        <w:r>
          <w:rPr>
            <w:lang w:val="zh-CN"/>
          </w:rPr>
          <w:fldChar w:fldCharType="end"/>
        </w:r>
      </w:p>
    </w:sdtContent>
  </w:sdt>
  <w:p w14:paraId="390B548C">
    <w:pPr>
      <w:pStyle w:val="8"/>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0"/>
  <w:doNotDisplayPageBoundaries w:val="1"/>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44C50B3"/>
    <w:rsid w:val="000D090C"/>
    <w:rsid w:val="000F505F"/>
    <w:rsid w:val="00107A7D"/>
    <w:rsid w:val="00122DED"/>
    <w:rsid w:val="001468D2"/>
    <w:rsid w:val="0014779D"/>
    <w:rsid w:val="00182ACB"/>
    <w:rsid w:val="0022195D"/>
    <w:rsid w:val="00245469"/>
    <w:rsid w:val="003153CC"/>
    <w:rsid w:val="00344A69"/>
    <w:rsid w:val="003B0159"/>
    <w:rsid w:val="003C373E"/>
    <w:rsid w:val="003D1560"/>
    <w:rsid w:val="00440959"/>
    <w:rsid w:val="00482821"/>
    <w:rsid w:val="004B2754"/>
    <w:rsid w:val="005B0D5D"/>
    <w:rsid w:val="005C5CB5"/>
    <w:rsid w:val="005D6063"/>
    <w:rsid w:val="005F3721"/>
    <w:rsid w:val="006263EC"/>
    <w:rsid w:val="006954B8"/>
    <w:rsid w:val="00696A17"/>
    <w:rsid w:val="006B30E6"/>
    <w:rsid w:val="006B78CA"/>
    <w:rsid w:val="007233DD"/>
    <w:rsid w:val="007711FB"/>
    <w:rsid w:val="007A589C"/>
    <w:rsid w:val="007E13C1"/>
    <w:rsid w:val="00801416"/>
    <w:rsid w:val="00816E40"/>
    <w:rsid w:val="00877F0D"/>
    <w:rsid w:val="008B5EBB"/>
    <w:rsid w:val="008F1527"/>
    <w:rsid w:val="009165FC"/>
    <w:rsid w:val="00964818"/>
    <w:rsid w:val="00967183"/>
    <w:rsid w:val="00977080"/>
    <w:rsid w:val="00981E64"/>
    <w:rsid w:val="00A215A5"/>
    <w:rsid w:val="00A41E27"/>
    <w:rsid w:val="00A6233D"/>
    <w:rsid w:val="00A67E7F"/>
    <w:rsid w:val="00AE152D"/>
    <w:rsid w:val="00B30C02"/>
    <w:rsid w:val="00B40971"/>
    <w:rsid w:val="00BC066C"/>
    <w:rsid w:val="00BC15B2"/>
    <w:rsid w:val="00C85E8D"/>
    <w:rsid w:val="00CA06F0"/>
    <w:rsid w:val="00CB68E6"/>
    <w:rsid w:val="00CC345F"/>
    <w:rsid w:val="00E705AB"/>
    <w:rsid w:val="00E86958"/>
    <w:rsid w:val="00EA0F38"/>
    <w:rsid w:val="00EA24BF"/>
    <w:rsid w:val="00EA4916"/>
    <w:rsid w:val="00F36A20"/>
    <w:rsid w:val="00F42B82"/>
    <w:rsid w:val="00F66C46"/>
    <w:rsid w:val="00FD6E58"/>
    <w:rsid w:val="01261457"/>
    <w:rsid w:val="015D0F40"/>
    <w:rsid w:val="019B3A38"/>
    <w:rsid w:val="01BB4E65"/>
    <w:rsid w:val="01F522B8"/>
    <w:rsid w:val="021D638C"/>
    <w:rsid w:val="0283176C"/>
    <w:rsid w:val="02B043DA"/>
    <w:rsid w:val="033654DB"/>
    <w:rsid w:val="03834C59"/>
    <w:rsid w:val="04353232"/>
    <w:rsid w:val="04504509"/>
    <w:rsid w:val="048B2A85"/>
    <w:rsid w:val="04EC5695"/>
    <w:rsid w:val="05147476"/>
    <w:rsid w:val="0536769A"/>
    <w:rsid w:val="05CE1715"/>
    <w:rsid w:val="05F31ECD"/>
    <w:rsid w:val="05FD2B63"/>
    <w:rsid w:val="06332A51"/>
    <w:rsid w:val="06356E17"/>
    <w:rsid w:val="06424CB2"/>
    <w:rsid w:val="06B65283"/>
    <w:rsid w:val="07095017"/>
    <w:rsid w:val="07312DB8"/>
    <w:rsid w:val="07352BCC"/>
    <w:rsid w:val="07526DE6"/>
    <w:rsid w:val="080109EC"/>
    <w:rsid w:val="089C6D14"/>
    <w:rsid w:val="08D77548"/>
    <w:rsid w:val="08EF53B5"/>
    <w:rsid w:val="093F4A82"/>
    <w:rsid w:val="09831990"/>
    <w:rsid w:val="09925683"/>
    <w:rsid w:val="0A095A8B"/>
    <w:rsid w:val="0A134205"/>
    <w:rsid w:val="0A3A1D2C"/>
    <w:rsid w:val="0A6E5533"/>
    <w:rsid w:val="0AA2487E"/>
    <w:rsid w:val="0ACC6B39"/>
    <w:rsid w:val="0ACF503B"/>
    <w:rsid w:val="0AD16DDE"/>
    <w:rsid w:val="0AF97BC3"/>
    <w:rsid w:val="0B0C6FC2"/>
    <w:rsid w:val="0B23332E"/>
    <w:rsid w:val="0B586776"/>
    <w:rsid w:val="0B8701FD"/>
    <w:rsid w:val="0BD25EA5"/>
    <w:rsid w:val="0BFE4B3A"/>
    <w:rsid w:val="0C1454CA"/>
    <w:rsid w:val="0C9B2428"/>
    <w:rsid w:val="0CA52E3C"/>
    <w:rsid w:val="0CB60ADA"/>
    <w:rsid w:val="0D1E4C12"/>
    <w:rsid w:val="0D501CB0"/>
    <w:rsid w:val="0D7D78F4"/>
    <w:rsid w:val="0D865558"/>
    <w:rsid w:val="0E19322E"/>
    <w:rsid w:val="0E9F3E09"/>
    <w:rsid w:val="0EE875DF"/>
    <w:rsid w:val="0EFB66AF"/>
    <w:rsid w:val="0F1862A0"/>
    <w:rsid w:val="0F1A6FD6"/>
    <w:rsid w:val="0F4F026A"/>
    <w:rsid w:val="0FEF38AA"/>
    <w:rsid w:val="0FF43AE3"/>
    <w:rsid w:val="105D3BF9"/>
    <w:rsid w:val="109D5B2F"/>
    <w:rsid w:val="11223B28"/>
    <w:rsid w:val="112D1F30"/>
    <w:rsid w:val="118D689F"/>
    <w:rsid w:val="11CD7952"/>
    <w:rsid w:val="11CE5140"/>
    <w:rsid w:val="121709EC"/>
    <w:rsid w:val="122D5878"/>
    <w:rsid w:val="1266190A"/>
    <w:rsid w:val="12992932"/>
    <w:rsid w:val="12D74C26"/>
    <w:rsid w:val="13B817D1"/>
    <w:rsid w:val="142F20B3"/>
    <w:rsid w:val="14794134"/>
    <w:rsid w:val="1514053A"/>
    <w:rsid w:val="15235780"/>
    <w:rsid w:val="15307872"/>
    <w:rsid w:val="153F0FBD"/>
    <w:rsid w:val="156033BE"/>
    <w:rsid w:val="159709FC"/>
    <w:rsid w:val="15B61697"/>
    <w:rsid w:val="163760FE"/>
    <w:rsid w:val="167BA4AE"/>
    <w:rsid w:val="169C38A4"/>
    <w:rsid w:val="16AB12C3"/>
    <w:rsid w:val="16AC4287"/>
    <w:rsid w:val="16D563EC"/>
    <w:rsid w:val="17745405"/>
    <w:rsid w:val="17AB75F5"/>
    <w:rsid w:val="17DE56E2"/>
    <w:rsid w:val="183B4674"/>
    <w:rsid w:val="18BF66C8"/>
    <w:rsid w:val="190E4CF3"/>
    <w:rsid w:val="191D1185"/>
    <w:rsid w:val="192B46F6"/>
    <w:rsid w:val="195F7921"/>
    <w:rsid w:val="197540B1"/>
    <w:rsid w:val="1A0742D0"/>
    <w:rsid w:val="1A63329C"/>
    <w:rsid w:val="1ACE57E5"/>
    <w:rsid w:val="1B362575"/>
    <w:rsid w:val="1B564EFF"/>
    <w:rsid w:val="1BC72E6E"/>
    <w:rsid w:val="1BDE669C"/>
    <w:rsid w:val="1BF41D74"/>
    <w:rsid w:val="1C073CA8"/>
    <w:rsid w:val="1C1461AC"/>
    <w:rsid w:val="1C740EC9"/>
    <w:rsid w:val="1C8F45C2"/>
    <w:rsid w:val="1CB1495B"/>
    <w:rsid w:val="1CF2582F"/>
    <w:rsid w:val="1D202B32"/>
    <w:rsid w:val="1D2C0347"/>
    <w:rsid w:val="1D5A6C5B"/>
    <w:rsid w:val="1D950615"/>
    <w:rsid w:val="1E0850D6"/>
    <w:rsid w:val="1E670E20"/>
    <w:rsid w:val="1F070126"/>
    <w:rsid w:val="1F7774AB"/>
    <w:rsid w:val="1F8E6BE8"/>
    <w:rsid w:val="1F984E09"/>
    <w:rsid w:val="1FA57708"/>
    <w:rsid w:val="1FAA7553"/>
    <w:rsid w:val="1FC0014F"/>
    <w:rsid w:val="1FDF3CC3"/>
    <w:rsid w:val="1FFB729D"/>
    <w:rsid w:val="20273FF5"/>
    <w:rsid w:val="20341587"/>
    <w:rsid w:val="204670F0"/>
    <w:rsid w:val="206009C7"/>
    <w:rsid w:val="208C0A14"/>
    <w:rsid w:val="20965534"/>
    <w:rsid w:val="20B40F6C"/>
    <w:rsid w:val="20BF035A"/>
    <w:rsid w:val="21412AAD"/>
    <w:rsid w:val="214C5229"/>
    <w:rsid w:val="21892883"/>
    <w:rsid w:val="21C418DF"/>
    <w:rsid w:val="21FF47A4"/>
    <w:rsid w:val="22095331"/>
    <w:rsid w:val="22194EB7"/>
    <w:rsid w:val="2231765B"/>
    <w:rsid w:val="228D1FBC"/>
    <w:rsid w:val="22960E8C"/>
    <w:rsid w:val="229C1BB0"/>
    <w:rsid w:val="22E32282"/>
    <w:rsid w:val="230E380E"/>
    <w:rsid w:val="23857FD5"/>
    <w:rsid w:val="23DE0392"/>
    <w:rsid w:val="240474DC"/>
    <w:rsid w:val="2456682E"/>
    <w:rsid w:val="24E06F8D"/>
    <w:rsid w:val="25115E41"/>
    <w:rsid w:val="251D41DD"/>
    <w:rsid w:val="25230953"/>
    <w:rsid w:val="25310DC5"/>
    <w:rsid w:val="25502AC4"/>
    <w:rsid w:val="255A1CEA"/>
    <w:rsid w:val="256772C7"/>
    <w:rsid w:val="25843A67"/>
    <w:rsid w:val="25AB230D"/>
    <w:rsid w:val="25E42015"/>
    <w:rsid w:val="267B6203"/>
    <w:rsid w:val="26BF74E4"/>
    <w:rsid w:val="26C01A21"/>
    <w:rsid w:val="26D07EC7"/>
    <w:rsid w:val="26FB2086"/>
    <w:rsid w:val="27A43626"/>
    <w:rsid w:val="27BA16F8"/>
    <w:rsid w:val="28023395"/>
    <w:rsid w:val="28B2613B"/>
    <w:rsid w:val="28C97878"/>
    <w:rsid w:val="291B4CEE"/>
    <w:rsid w:val="291C7814"/>
    <w:rsid w:val="29522207"/>
    <w:rsid w:val="298015A5"/>
    <w:rsid w:val="29914979"/>
    <w:rsid w:val="29F425AC"/>
    <w:rsid w:val="2A116143"/>
    <w:rsid w:val="2A286622"/>
    <w:rsid w:val="2A866380"/>
    <w:rsid w:val="2A9B5625"/>
    <w:rsid w:val="2AB831F0"/>
    <w:rsid w:val="2B3F5F30"/>
    <w:rsid w:val="2B5C6C89"/>
    <w:rsid w:val="2B9411EB"/>
    <w:rsid w:val="2B9D7E25"/>
    <w:rsid w:val="2BA173C0"/>
    <w:rsid w:val="2BEB2B97"/>
    <w:rsid w:val="2BF4699C"/>
    <w:rsid w:val="2BF86C5F"/>
    <w:rsid w:val="2CE8107A"/>
    <w:rsid w:val="2DF718C5"/>
    <w:rsid w:val="2F164E1A"/>
    <w:rsid w:val="2F801843"/>
    <w:rsid w:val="2F880062"/>
    <w:rsid w:val="2FB672CC"/>
    <w:rsid w:val="2FC02832"/>
    <w:rsid w:val="2FC1361F"/>
    <w:rsid w:val="2FE63427"/>
    <w:rsid w:val="3010777F"/>
    <w:rsid w:val="301260D6"/>
    <w:rsid w:val="3030157E"/>
    <w:rsid w:val="30364C47"/>
    <w:rsid w:val="304971D3"/>
    <w:rsid w:val="30626755"/>
    <w:rsid w:val="31714BEC"/>
    <w:rsid w:val="31734EAD"/>
    <w:rsid w:val="31BA17C0"/>
    <w:rsid w:val="32027928"/>
    <w:rsid w:val="32085E9C"/>
    <w:rsid w:val="32285D42"/>
    <w:rsid w:val="323E1488"/>
    <w:rsid w:val="3297174B"/>
    <w:rsid w:val="344175E3"/>
    <w:rsid w:val="344C23E9"/>
    <w:rsid w:val="34580D92"/>
    <w:rsid w:val="347E0EC7"/>
    <w:rsid w:val="34C15685"/>
    <w:rsid w:val="351E4BEF"/>
    <w:rsid w:val="353F0D54"/>
    <w:rsid w:val="3572496C"/>
    <w:rsid w:val="359410AC"/>
    <w:rsid w:val="35B767E4"/>
    <w:rsid w:val="35D53058"/>
    <w:rsid w:val="35E5580E"/>
    <w:rsid w:val="360B36E1"/>
    <w:rsid w:val="36414AC9"/>
    <w:rsid w:val="36420356"/>
    <w:rsid w:val="370A7398"/>
    <w:rsid w:val="37106E27"/>
    <w:rsid w:val="374A7260"/>
    <w:rsid w:val="376B14AE"/>
    <w:rsid w:val="37A57C5B"/>
    <w:rsid w:val="37AB3241"/>
    <w:rsid w:val="37AD4AC6"/>
    <w:rsid w:val="37C13D08"/>
    <w:rsid w:val="37CD1682"/>
    <w:rsid w:val="37D827A4"/>
    <w:rsid w:val="37F327EE"/>
    <w:rsid w:val="381B09A4"/>
    <w:rsid w:val="38827EC7"/>
    <w:rsid w:val="3888024E"/>
    <w:rsid w:val="391C2436"/>
    <w:rsid w:val="39284554"/>
    <w:rsid w:val="393670ED"/>
    <w:rsid w:val="393B36AE"/>
    <w:rsid w:val="397516C8"/>
    <w:rsid w:val="39B97FC7"/>
    <w:rsid w:val="3A6469CE"/>
    <w:rsid w:val="3ADE6576"/>
    <w:rsid w:val="3AEC202F"/>
    <w:rsid w:val="3B4648CF"/>
    <w:rsid w:val="3B5E2A01"/>
    <w:rsid w:val="3BBC7847"/>
    <w:rsid w:val="3C2553BE"/>
    <w:rsid w:val="3C8A1876"/>
    <w:rsid w:val="3CCD12B2"/>
    <w:rsid w:val="3CDB50AA"/>
    <w:rsid w:val="3D4C0AA7"/>
    <w:rsid w:val="3D8F0C62"/>
    <w:rsid w:val="3E254CEB"/>
    <w:rsid w:val="3E4B2281"/>
    <w:rsid w:val="3EC81291"/>
    <w:rsid w:val="3EFD2ECB"/>
    <w:rsid w:val="3FB41525"/>
    <w:rsid w:val="3FC94006"/>
    <w:rsid w:val="3FCA561D"/>
    <w:rsid w:val="3FE10468"/>
    <w:rsid w:val="3FEA9237"/>
    <w:rsid w:val="3FF3C93E"/>
    <w:rsid w:val="4060246A"/>
    <w:rsid w:val="407C6788"/>
    <w:rsid w:val="409C326C"/>
    <w:rsid w:val="40F74534"/>
    <w:rsid w:val="41490D2C"/>
    <w:rsid w:val="41753100"/>
    <w:rsid w:val="41884094"/>
    <w:rsid w:val="41E208EB"/>
    <w:rsid w:val="4265234A"/>
    <w:rsid w:val="4272007F"/>
    <w:rsid w:val="428849ED"/>
    <w:rsid w:val="42AA2F7B"/>
    <w:rsid w:val="42B6204F"/>
    <w:rsid w:val="42CA4F9F"/>
    <w:rsid w:val="42E2506F"/>
    <w:rsid w:val="438D23D8"/>
    <w:rsid w:val="43916F69"/>
    <w:rsid w:val="43CE6126"/>
    <w:rsid w:val="441006DE"/>
    <w:rsid w:val="441B0423"/>
    <w:rsid w:val="44705AEB"/>
    <w:rsid w:val="45602A50"/>
    <w:rsid w:val="456B75C0"/>
    <w:rsid w:val="46955E71"/>
    <w:rsid w:val="46CD3559"/>
    <w:rsid w:val="46F31BC3"/>
    <w:rsid w:val="473B20A3"/>
    <w:rsid w:val="476C3D70"/>
    <w:rsid w:val="47C54EA4"/>
    <w:rsid w:val="47F5ACF5"/>
    <w:rsid w:val="487B7DC2"/>
    <w:rsid w:val="48834582"/>
    <w:rsid w:val="48CF2A3A"/>
    <w:rsid w:val="492A2119"/>
    <w:rsid w:val="494E2932"/>
    <w:rsid w:val="4953586F"/>
    <w:rsid w:val="49554764"/>
    <w:rsid w:val="499814CB"/>
    <w:rsid w:val="4A261C48"/>
    <w:rsid w:val="4ABF126D"/>
    <w:rsid w:val="4B5D4AFA"/>
    <w:rsid w:val="4B86551D"/>
    <w:rsid w:val="4C8061F1"/>
    <w:rsid w:val="4C9950FA"/>
    <w:rsid w:val="4C9E7B3C"/>
    <w:rsid w:val="4CC2023C"/>
    <w:rsid w:val="4CCF28BF"/>
    <w:rsid w:val="4D287F3B"/>
    <w:rsid w:val="4D2A2BDA"/>
    <w:rsid w:val="4D402A89"/>
    <w:rsid w:val="4D742AA0"/>
    <w:rsid w:val="4D766E05"/>
    <w:rsid w:val="4DFC59E2"/>
    <w:rsid w:val="4E3F0CDE"/>
    <w:rsid w:val="4E41049C"/>
    <w:rsid w:val="4E520232"/>
    <w:rsid w:val="4EC85950"/>
    <w:rsid w:val="4F0E63CE"/>
    <w:rsid w:val="4F3B1644"/>
    <w:rsid w:val="4F574317"/>
    <w:rsid w:val="4FB57E10"/>
    <w:rsid w:val="4FC3616E"/>
    <w:rsid w:val="505450D7"/>
    <w:rsid w:val="51242943"/>
    <w:rsid w:val="51837D57"/>
    <w:rsid w:val="5241475E"/>
    <w:rsid w:val="52773AD7"/>
    <w:rsid w:val="5282460C"/>
    <w:rsid w:val="5293297F"/>
    <w:rsid w:val="52C4390C"/>
    <w:rsid w:val="52DF6A37"/>
    <w:rsid w:val="52FF05D6"/>
    <w:rsid w:val="530F0FA6"/>
    <w:rsid w:val="5389001A"/>
    <w:rsid w:val="540C51D3"/>
    <w:rsid w:val="544E3A63"/>
    <w:rsid w:val="545B2B8E"/>
    <w:rsid w:val="549B1754"/>
    <w:rsid w:val="54A14E50"/>
    <w:rsid w:val="55140ED6"/>
    <w:rsid w:val="55663C20"/>
    <w:rsid w:val="5581153A"/>
    <w:rsid w:val="55B625DF"/>
    <w:rsid w:val="55F13BAD"/>
    <w:rsid w:val="56EB78E5"/>
    <w:rsid w:val="573D51EA"/>
    <w:rsid w:val="577D0485"/>
    <w:rsid w:val="5798258C"/>
    <w:rsid w:val="57A70BC4"/>
    <w:rsid w:val="58144044"/>
    <w:rsid w:val="59256C24"/>
    <w:rsid w:val="595032B6"/>
    <w:rsid w:val="5A3C3E2B"/>
    <w:rsid w:val="5A567846"/>
    <w:rsid w:val="5A5A7114"/>
    <w:rsid w:val="5A6A2B66"/>
    <w:rsid w:val="5A7D1C84"/>
    <w:rsid w:val="5A835D8B"/>
    <w:rsid w:val="5AB43DE9"/>
    <w:rsid w:val="5B120535"/>
    <w:rsid w:val="5B92362B"/>
    <w:rsid w:val="5C6C4424"/>
    <w:rsid w:val="5C8C7A5B"/>
    <w:rsid w:val="5D1560C5"/>
    <w:rsid w:val="5D4C22F1"/>
    <w:rsid w:val="5D854B3D"/>
    <w:rsid w:val="5DC33A39"/>
    <w:rsid w:val="5DFFECE8"/>
    <w:rsid w:val="5E550A90"/>
    <w:rsid w:val="5EAA582E"/>
    <w:rsid w:val="5EBB7563"/>
    <w:rsid w:val="5EC96FE7"/>
    <w:rsid w:val="5F1D042B"/>
    <w:rsid w:val="5F3D11DB"/>
    <w:rsid w:val="5F6417E7"/>
    <w:rsid w:val="5F69329A"/>
    <w:rsid w:val="5F6952EA"/>
    <w:rsid w:val="5FB41319"/>
    <w:rsid w:val="600B4743"/>
    <w:rsid w:val="603D403D"/>
    <w:rsid w:val="605C71A6"/>
    <w:rsid w:val="608F60E8"/>
    <w:rsid w:val="60F13046"/>
    <w:rsid w:val="61434D6D"/>
    <w:rsid w:val="614D7FA6"/>
    <w:rsid w:val="618E6E5E"/>
    <w:rsid w:val="61956E51"/>
    <w:rsid w:val="61C64075"/>
    <w:rsid w:val="626F788E"/>
    <w:rsid w:val="62A669E6"/>
    <w:rsid w:val="62C156F2"/>
    <w:rsid w:val="62F24F74"/>
    <w:rsid w:val="63325B44"/>
    <w:rsid w:val="63351072"/>
    <w:rsid w:val="63E87658"/>
    <w:rsid w:val="64004A3F"/>
    <w:rsid w:val="64596B46"/>
    <w:rsid w:val="65410DB8"/>
    <w:rsid w:val="65860E9B"/>
    <w:rsid w:val="65BD2C66"/>
    <w:rsid w:val="65CD251C"/>
    <w:rsid w:val="65F8082F"/>
    <w:rsid w:val="6611351F"/>
    <w:rsid w:val="661C64F0"/>
    <w:rsid w:val="6664136D"/>
    <w:rsid w:val="66A11C58"/>
    <w:rsid w:val="66F71169"/>
    <w:rsid w:val="672E7154"/>
    <w:rsid w:val="677A666B"/>
    <w:rsid w:val="67A7139C"/>
    <w:rsid w:val="68AB183D"/>
    <w:rsid w:val="692F6A42"/>
    <w:rsid w:val="69787A6F"/>
    <w:rsid w:val="69CB6987"/>
    <w:rsid w:val="69D22F3A"/>
    <w:rsid w:val="6A222833"/>
    <w:rsid w:val="6AB226B6"/>
    <w:rsid w:val="6ABE3EE8"/>
    <w:rsid w:val="6AD721D4"/>
    <w:rsid w:val="6B0C5E52"/>
    <w:rsid w:val="6B4F6C03"/>
    <w:rsid w:val="6B7834F4"/>
    <w:rsid w:val="6BD672DD"/>
    <w:rsid w:val="6C781C1F"/>
    <w:rsid w:val="6D6145AD"/>
    <w:rsid w:val="6DA12273"/>
    <w:rsid w:val="6DDC090B"/>
    <w:rsid w:val="6E210AC4"/>
    <w:rsid w:val="6E4A4A9F"/>
    <w:rsid w:val="6E6F48E7"/>
    <w:rsid w:val="6F1E1004"/>
    <w:rsid w:val="6FA45A5E"/>
    <w:rsid w:val="6FF92A4A"/>
    <w:rsid w:val="6FF9BE03"/>
    <w:rsid w:val="709D1CF0"/>
    <w:rsid w:val="70AA08B9"/>
    <w:rsid w:val="70CF2B23"/>
    <w:rsid w:val="713F12C4"/>
    <w:rsid w:val="71925F59"/>
    <w:rsid w:val="71A86F83"/>
    <w:rsid w:val="71AA3ACB"/>
    <w:rsid w:val="71D576BB"/>
    <w:rsid w:val="720A1A6F"/>
    <w:rsid w:val="72413EFA"/>
    <w:rsid w:val="72A05C85"/>
    <w:rsid w:val="72E901FC"/>
    <w:rsid w:val="73CA376B"/>
    <w:rsid w:val="742B2349"/>
    <w:rsid w:val="74420497"/>
    <w:rsid w:val="744C50B3"/>
    <w:rsid w:val="7532450A"/>
    <w:rsid w:val="753469FD"/>
    <w:rsid w:val="754E3287"/>
    <w:rsid w:val="76197E1A"/>
    <w:rsid w:val="76350705"/>
    <w:rsid w:val="767F16A2"/>
    <w:rsid w:val="76866E81"/>
    <w:rsid w:val="76C92779"/>
    <w:rsid w:val="76DF20A5"/>
    <w:rsid w:val="76EB03FD"/>
    <w:rsid w:val="76EC46EF"/>
    <w:rsid w:val="76F73CBD"/>
    <w:rsid w:val="7732769E"/>
    <w:rsid w:val="77B77121"/>
    <w:rsid w:val="77FE2A7E"/>
    <w:rsid w:val="781947C3"/>
    <w:rsid w:val="7824462C"/>
    <w:rsid w:val="7838429A"/>
    <w:rsid w:val="78AC1E9D"/>
    <w:rsid w:val="78BE2756"/>
    <w:rsid w:val="79111FF0"/>
    <w:rsid w:val="799F045E"/>
    <w:rsid w:val="79C06293"/>
    <w:rsid w:val="79D31E93"/>
    <w:rsid w:val="79E7EAB9"/>
    <w:rsid w:val="79EE8692"/>
    <w:rsid w:val="79FB70C6"/>
    <w:rsid w:val="7A4040F9"/>
    <w:rsid w:val="7A5B27AA"/>
    <w:rsid w:val="7A8E29F2"/>
    <w:rsid w:val="7AD017BD"/>
    <w:rsid w:val="7B473F36"/>
    <w:rsid w:val="7C09750D"/>
    <w:rsid w:val="7C0C4DE2"/>
    <w:rsid w:val="7C48611D"/>
    <w:rsid w:val="7CFD581C"/>
    <w:rsid w:val="7D46539A"/>
    <w:rsid w:val="7D5D0814"/>
    <w:rsid w:val="7D663816"/>
    <w:rsid w:val="7D6FC339"/>
    <w:rsid w:val="7D7EAE53"/>
    <w:rsid w:val="7D9552ED"/>
    <w:rsid w:val="7DE31CF7"/>
    <w:rsid w:val="7E59272D"/>
    <w:rsid w:val="7E684AAA"/>
    <w:rsid w:val="7EDC3997"/>
    <w:rsid w:val="7F12130A"/>
    <w:rsid w:val="7F355367"/>
    <w:rsid w:val="7F73F250"/>
    <w:rsid w:val="7F7845D1"/>
    <w:rsid w:val="7F7B6EB5"/>
    <w:rsid w:val="7F7E94E3"/>
    <w:rsid w:val="7F842DB5"/>
    <w:rsid w:val="7F8B0999"/>
    <w:rsid w:val="7FAD3458"/>
    <w:rsid w:val="7FEF9D8B"/>
    <w:rsid w:val="7FFEBA6C"/>
    <w:rsid w:val="91D7F1DE"/>
    <w:rsid w:val="957B1E9D"/>
    <w:rsid w:val="99B6AF39"/>
    <w:rsid w:val="9BFBB699"/>
    <w:rsid w:val="9F7D0CB3"/>
    <w:rsid w:val="ABFAAB18"/>
    <w:rsid w:val="AFBDD3BA"/>
    <w:rsid w:val="B57F4FC9"/>
    <w:rsid w:val="B5CB2533"/>
    <w:rsid w:val="B7FF0FE2"/>
    <w:rsid w:val="BBFF5D64"/>
    <w:rsid w:val="BFAFECED"/>
    <w:rsid w:val="C6BBE7F7"/>
    <w:rsid w:val="C7FF86C8"/>
    <w:rsid w:val="CFBB6ABB"/>
    <w:rsid w:val="D379C04D"/>
    <w:rsid w:val="DBDBF7FF"/>
    <w:rsid w:val="DEF58A19"/>
    <w:rsid w:val="DEFB8C80"/>
    <w:rsid w:val="DFB7C937"/>
    <w:rsid w:val="E5FDD79C"/>
    <w:rsid w:val="E8BF2B5C"/>
    <w:rsid w:val="EDEA9333"/>
    <w:rsid w:val="EEF17655"/>
    <w:rsid w:val="F2F6347D"/>
    <w:rsid w:val="F6FE4E93"/>
    <w:rsid w:val="FBFF46AE"/>
    <w:rsid w:val="FDEEAB6C"/>
    <w:rsid w:val="FFB8BA5A"/>
    <w:rsid w:val="FFEFB32B"/>
    <w:rsid w:val="FFFFED9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1"/>
    <w:basedOn w:val="1"/>
    <w:next w:val="1"/>
    <w:qFormat/>
    <w:uiPriority w:val="0"/>
    <w:pPr>
      <w:spacing w:beforeAutospacing="1" w:afterAutospacing="1"/>
      <w:jc w:val="left"/>
      <w:outlineLvl w:val="0"/>
    </w:pPr>
    <w:rPr>
      <w:rFonts w:hint="eastAsia" w:ascii="宋体" w:hAnsi="宋体"/>
      <w:b/>
      <w:bCs/>
      <w:kern w:val="44"/>
      <w:sz w:val="48"/>
      <w:szCs w:val="48"/>
    </w:rPr>
  </w:style>
  <w:style w:type="paragraph" w:styleId="5">
    <w:name w:val="heading 2"/>
    <w:basedOn w:val="1"/>
    <w:next w:val="1"/>
    <w:semiHidden/>
    <w:unhideWhenUsed/>
    <w:qFormat/>
    <w:uiPriority w:val="0"/>
    <w:pPr>
      <w:spacing w:beforeAutospacing="1" w:afterAutospacing="1"/>
      <w:jc w:val="left"/>
      <w:outlineLvl w:val="1"/>
    </w:pPr>
    <w:rPr>
      <w:rFonts w:hint="eastAsia" w:ascii="宋体" w:hAnsi="宋体"/>
      <w:b/>
      <w:bCs/>
      <w:kern w:val="0"/>
      <w:sz w:val="36"/>
      <w:szCs w:val="36"/>
    </w:rPr>
  </w:style>
  <w:style w:type="character" w:default="1" w:styleId="13">
    <w:name w:val="Default Paragraph Font"/>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semiHidden/>
    <w:unhideWhenUsed/>
    <w:qFormat/>
    <w:uiPriority w:val="0"/>
    <w:pPr>
      <w:ind w:firstLine="420"/>
    </w:pPr>
  </w:style>
  <w:style w:type="paragraph" w:styleId="3">
    <w:name w:val="Body Text Indent"/>
    <w:basedOn w:val="1"/>
    <w:qFormat/>
    <w:uiPriority w:val="0"/>
    <w:pPr>
      <w:spacing w:line="600" w:lineRule="exact"/>
      <w:ind w:firstLine="600" w:firstLineChars="200"/>
    </w:pPr>
    <w:rPr>
      <w:rFonts w:ascii="仿宋_GB2312" w:eastAsia="仿宋_GB2312"/>
      <w:sz w:val="30"/>
      <w:szCs w:val="24"/>
    </w:rPr>
  </w:style>
  <w:style w:type="paragraph" w:styleId="6">
    <w:name w:val="annotation text"/>
    <w:basedOn w:val="1"/>
    <w:link w:val="19"/>
    <w:qFormat/>
    <w:uiPriority w:val="0"/>
    <w:pPr>
      <w:jc w:val="left"/>
    </w:pPr>
  </w:style>
  <w:style w:type="paragraph" w:styleId="7">
    <w:name w:val="Balloon Text"/>
    <w:basedOn w:val="1"/>
    <w:link w:val="16"/>
    <w:qFormat/>
    <w:uiPriority w:val="0"/>
    <w:rPr>
      <w:sz w:val="18"/>
      <w:szCs w:val="18"/>
    </w:rPr>
  </w:style>
  <w:style w:type="paragraph" w:styleId="8">
    <w:name w:val="footer"/>
    <w:basedOn w:val="1"/>
    <w:qFormat/>
    <w:uiPriority w:val="99"/>
    <w:pPr>
      <w:tabs>
        <w:tab w:val="center" w:pos="4153"/>
        <w:tab w:val="right" w:pos="8306"/>
      </w:tabs>
      <w:snapToGrid w:val="0"/>
      <w:jc w:val="left"/>
    </w:pPr>
    <w:rPr>
      <w:sz w:val="18"/>
      <w:szCs w:val="18"/>
    </w:rPr>
  </w:style>
  <w:style w:type="paragraph" w:styleId="9">
    <w:name w:val="header"/>
    <w:basedOn w:val="1"/>
    <w:link w:val="17"/>
    <w:qFormat/>
    <w:uiPriority w:val="0"/>
    <w:pPr>
      <w:pBdr>
        <w:bottom w:val="single" w:color="auto" w:sz="6" w:space="1"/>
      </w:pBdr>
      <w:tabs>
        <w:tab w:val="center" w:pos="4153"/>
        <w:tab w:val="right" w:pos="8306"/>
      </w:tabs>
      <w:snapToGrid w:val="0"/>
      <w:jc w:val="center"/>
    </w:pPr>
    <w:rPr>
      <w:sz w:val="18"/>
      <w:szCs w:val="18"/>
    </w:rPr>
  </w:style>
  <w:style w:type="paragraph" w:styleId="10">
    <w:name w:val="annotation subject"/>
    <w:basedOn w:val="6"/>
    <w:next w:val="6"/>
    <w:link w:val="20"/>
    <w:qFormat/>
    <w:uiPriority w:val="0"/>
    <w:rPr>
      <w:b/>
      <w:bCs/>
    </w:rPr>
  </w:style>
  <w:style w:type="table" w:styleId="12">
    <w:name w:val="Table Grid"/>
    <w:basedOn w:val="1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annotation reference"/>
    <w:basedOn w:val="13"/>
    <w:qFormat/>
    <w:uiPriority w:val="0"/>
    <w:rPr>
      <w:sz w:val="21"/>
      <w:szCs w:val="21"/>
    </w:rPr>
  </w:style>
  <w:style w:type="paragraph" w:styleId="15">
    <w:name w:val="List Paragraph"/>
    <w:basedOn w:val="1"/>
    <w:qFormat/>
    <w:uiPriority w:val="34"/>
    <w:pPr>
      <w:ind w:firstLine="420" w:firstLineChars="200"/>
    </w:pPr>
    <w:rPr>
      <w:szCs w:val="24"/>
    </w:rPr>
  </w:style>
  <w:style w:type="character" w:customStyle="1" w:styleId="16">
    <w:name w:val="批注框文本 字符"/>
    <w:basedOn w:val="13"/>
    <w:link w:val="7"/>
    <w:qFormat/>
    <w:uiPriority w:val="0"/>
    <w:rPr>
      <w:kern w:val="2"/>
      <w:sz w:val="18"/>
      <w:szCs w:val="18"/>
    </w:rPr>
  </w:style>
  <w:style w:type="character" w:customStyle="1" w:styleId="17">
    <w:name w:val="页眉 字符"/>
    <w:basedOn w:val="13"/>
    <w:link w:val="9"/>
    <w:qFormat/>
    <w:uiPriority w:val="0"/>
    <w:rPr>
      <w:kern w:val="2"/>
      <w:sz w:val="18"/>
      <w:szCs w:val="18"/>
    </w:rPr>
  </w:style>
  <w:style w:type="paragraph" w:customStyle="1" w:styleId="18">
    <w:name w:val="修订1"/>
    <w:hidden/>
    <w:unhideWhenUsed/>
    <w:qFormat/>
    <w:uiPriority w:val="99"/>
    <w:rPr>
      <w:rFonts w:ascii="Times New Roman" w:hAnsi="Times New Roman" w:eastAsia="宋体" w:cs="Times New Roman"/>
      <w:kern w:val="2"/>
      <w:sz w:val="21"/>
      <w:lang w:val="en-US" w:eastAsia="zh-CN" w:bidi="ar-SA"/>
    </w:rPr>
  </w:style>
  <w:style w:type="character" w:customStyle="1" w:styleId="19">
    <w:name w:val="批注文字 字符"/>
    <w:basedOn w:val="13"/>
    <w:link w:val="6"/>
    <w:qFormat/>
    <w:uiPriority w:val="0"/>
    <w:rPr>
      <w:kern w:val="2"/>
      <w:sz w:val="21"/>
    </w:rPr>
  </w:style>
  <w:style w:type="character" w:customStyle="1" w:styleId="20">
    <w:name w:val="批注主题 字符"/>
    <w:basedOn w:val="19"/>
    <w:link w:val="10"/>
    <w:qFormat/>
    <w:uiPriority w:val="0"/>
    <w:rPr>
      <w:b/>
      <w:bCs/>
      <w:kern w:val="2"/>
      <w:sz w:val="21"/>
    </w:rPr>
  </w:style>
  <w:style w:type="paragraph" w:customStyle="1" w:styleId="21">
    <w:name w:val="修订2"/>
    <w:hidden/>
    <w:unhideWhenUsed/>
    <w:qFormat/>
    <w:uiPriority w:val="99"/>
    <w:rPr>
      <w:rFonts w:ascii="Times New Roman" w:hAnsi="Times New Roman" w:eastAsia="宋体" w:cs="Times New Roman"/>
      <w:kern w:val="2"/>
      <w:sz w:val="21"/>
      <w:lang w:val="en-US" w:eastAsia="zh-CN" w:bidi="ar-SA"/>
    </w:rPr>
  </w:style>
  <w:style w:type="paragraph" w:customStyle="1" w:styleId="22">
    <w:name w:val="Revision"/>
    <w:hidden/>
    <w:unhideWhenUsed/>
    <w:qFormat/>
    <w:uiPriority w:val="99"/>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21</Pages>
  <Words>10463</Words>
  <Characters>10508</Characters>
  <Lines>88</Lines>
  <Paragraphs>24</Paragraphs>
  <TotalTime>76</TotalTime>
  <ScaleCrop>false</ScaleCrop>
  <LinksUpToDate>false</LinksUpToDate>
  <CharactersWithSpaces>10577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2025-09-17T10:48:00Z</dcterms:created>
  <dc:creator>sse</dc:creator>
  <cp:lastModifiedBy>whxu</cp:lastModifiedBy>
  <cp:lastPrinted>2024-12-05T12:30:00Z</cp:lastPrinted>
  <dcterms:modified xsi:type="dcterms:W3CDTF">2026-08-12T09:19:44Z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092A3A756DF12824A9A43A6960952D21_43</vt:lpwstr>
  </property>
  <property fmtid="{D5CDD505-2E9C-101B-9397-08002B2CF9AE}" pid="4" name="KSOTemplateDocerSaveRecord">
    <vt:lpwstr>eyJoZGlkIjoiMzkyMDA3YjgzOGJiZWQ3MDQzODIyNWZlMDExMGViMDYiLCJ1c2VySWQiOiI0MTAwNTg2ODQifQ==</vt:lpwstr>
  </property>
</Properties>
</file>