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E668A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"/>
        </w:rPr>
        <w:t>2</w:t>
      </w:r>
    </w:p>
    <w:p w14:paraId="64196F71">
      <w:pPr>
        <w:pStyle w:val="2"/>
        <w:rPr>
          <w:rFonts w:hint="default"/>
        </w:rPr>
      </w:pPr>
    </w:p>
    <w:p w14:paraId="47E57A65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《上海证券交易所公开募集基础设施证券投资基金（REITs）规则适用指引第6号</w:t>
      </w:r>
    </w:p>
    <w:p w14:paraId="3DA24FB1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——年度报告（试行）》等两项指引</w:t>
      </w:r>
    </w:p>
    <w:p w14:paraId="555A9AA7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起草说明</w:t>
      </w:r>
    </w:p>
    <w:p w14:paraId="7211402B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 w14:paraId="18549861">
      <w:pPr>
        <w:spacing w:line="560" w:lineRule="exact"/>
        <w:ind w:firstLine="640" w:firstLineChars="200"/>
        <w:contextualSpacing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了</w:t>
      </w:r>
      <w:r>
        <w:rPr>
          <w:rFonts w:ascii="Times New Roman" w:hAnsi="Times New Roman" w:eastAsia="仿宋_GB2312" w:cs="Times New Roman"/>
          <w:sz w:val="32"/>
          <w:szCs w:val="32"/>
        </w:rPr>
        <w:t>规范公开募集基础设施证券投资基金（以下简称基础设施REITs）定期报告披露，提高信息披露质量，保护投资者合法权益，上海证券交易所（以下简称本所）根据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中国</w:t>
      </w:r>
      <w:r>
        <w:rPr>
          <w:rFonts w:ascii="Times New Roman" w:hAnsi="Times New Roman" w:eastAsia="仿宋_GB2312" w:cs="Times New Roman"/>
          <w:sz w:val="32"/>
          <w:szCs w:val="32"/>
        </w:rPr>
        <w:t>证监会《公开募集基础设施证券投资基金指引（试行）》（以下简称《基金指引》）等规定，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起草了</w:t>
      </w:r>
      <w:r>
        <w:rPr>
          <w:rFonts w:ascii="Times New Roman" w:hAnsi="Times New Roman" w:eastAsia="仿宋_GB2312" w:cs="Times New Roman"/>
          <w:sz w:val="32"/>
          <w:szCs w:val="32"/>
        </w:rPr>
        <w:t>《上海证券交易所公开募集基础设施证券投资基金（REITs）规则适用指引第6号——年度报告（试行）》《上海证券交易所公开募集基础设施证券投资基金（REITs）规则适用指引第7号——中期报告和季度报告（试行）》（以下分别简称《年度报告指引》《中期报告和季度报告指引》）。现将《年度报告指引》《中期报告和季度报告指引》的起草背景、起草思路和主要内容说明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343F236">
      <w:pPr>
        <w:spacing w:line="560" w:lineRule="exact"/>
        <w:ind w:firstLine="640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一、起草背景</w:t>
      </w:r>
    </w:p>
    <w:p w14:paraId="4A52A89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自2020年4月基础设施REITs试点启动以来，市场运行总体良好，截至目前，全市场已上市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</w:t>
      </w:r>
      <w:r>
        <w:rPr>
          <w:rFonts w:ascii="Times New Roman" w:hAnsi="Times New Roman" w:eastAsia="仿宋_GB2312" w:cs="Times New Roman"/>
          <w:sz w:val="32"/>
          <w:szCs w:val="32"/>
        </w:rPr>
        <w:t>只产品，募集规模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超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亿元。在基础设施REITs发展过程中，本所有序推进信息披露制度建设工作，已于前期发布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《上海证券交易所公开募集基础设施证券投资基金（REITs）规则适用指引第5号——临时报告（试行）》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EBC247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为进一步健全基础设施REITs信息披露规则体系，规范定期报告披露，根据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证监会统筹安排</w:t>
      </w:r>
      <w:r>
        <w:rPr>
          <w:rFonts w:ascii="Times New Roman" w:hAnsi="Times New Roman" w:eastAsia="仿宋_GB2312" w:cs="Times New Roman"/>
          <w:sz w:val="32"/>
          <w:szCs w:val="32"/>
        </w:rPr>
        <w:t>，本所研究起草了《年度报告指引》《中期报告和季度报告指引》，明确基础设施REITs年度报告、中期报告以及季度报告的具体披露要求。</w:t>
      </w:r>
    </w:p>
    <w:p w14:paraId="35B5C547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二、起草思路</w:t>
      </w:r>
    </w:p>
    <w:p w14:paraId="23BF9A9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充分吸收基础设施REITs试点以来的信息披露实践和监管经验，在衔接公募基金上位规则的基础上，突出基础设施REITs特性，强化信息披露事务管理，构建多层次的信息披露规则体系。主要起草思路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98B05F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（一）衔接上位规则要求，明确基础设施REITs披露规范</w:t>
      </w:r>
    </w:p>
    <w:p w14:paraId="3F15176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《年度报告指引》《中期报告和季度报告指引》在《公开募集证券投资基金信息披露管理办法》等公募基金上位规则的基础上，对照《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基金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指引</w:t>
      </w:r>
      <w:r>
        <w:rPr>
          <w:rFonts w:ascii="Times New Roman" w:hAnsi="Times New Roman" w:eastAsia="仿宋_GB2312" w:cs="Times New Roman"/>
          <w:sz w:val="32"/>
          <w:szCs w:val="32"/>
        </w:rPr>
        <w:t>》中的信息披露相关规定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进一步明确基础设施REITs定期报告信息披露的具体标准和内容，细化基金运营情况的披露要求，并新增基础设施项目情况的披露要求。</w:t>
      </w:r>
    </w:p>
    <w:p w14:paraId="40E66EC5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（二）突出基础设施REITs特性，增强信息披露质效</w:t>
      </w:r>
    </w:p>
    <w:p w14:paraId="79021ED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着重强调基础设施REITs的资产特性，向投资者充分披露基础资产运营情况，提高信息披露的针对性、有效性。一是详细规定了基础设施项目基本情况、经营情况、财务指标及重要变化情况等一般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二是结合行业特点，分行业规定了基础资产运营情况、财务指标、重要变化等特殊披露要求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三是压实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基础设施项目</w:t>
      </w:r>
      <w:r>
        <w:rPr>
          <w:rFonts w:ascii="Times New Roman" w:hAnsi="Times New Roman" w:eastAsia="仿宋_GB2312" w:cs="Times New Roman"/>
          <w:sz w:val="32"/>
          <w:szCs w:val="32"/>
        </w:rPr>
        <w:t>运营管理机构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等主体</w:t>
      </w:r>
      <w:r>
        <w:rPr>
          <w:rFonts w:ascii="Times New Roman" w:hAnsi="Times New Roman" w:eastAsia="仿宋_GB2312" w:cs="Times New Roman"/>
          <w:sz w:val="32"/>
          <w:szCs w:val="32"/>
        </w:rPr>
        <w:t>的信息披露配合义务，提高基础资产相关信息的披露质量。</w:t>
      </w:r>
    </w:p>
    <w:p w14:paraId="4BFB66B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（三）明确各方信息披露职责，强化信息披露事务管理</w:t>
      </w:r>
    </w:p>
    <w:p w14:paraId="0222F9E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《年度报告指引》《中期报告和季度报告指引》明确了基础设施REITs信息披露义务人及信息披露配合义务人的主体责任，并在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</w:t>
      </w:r>
      <w:r>
        <w:rPr>
          <w:rFonts w:ascii="Times New Roman" w:hAnsi="Times New Roman" w:eastAsia="仿宋_GB2312" w:cs="Times New Roman"/>
          <w:sz w:val="32"/>
          <w:szCs w:val="32"/>
        </w:rPr>
        <w:t>公募基金信息披露事务管理的基础上，细化基础设施REITs信息披露事务管理要求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，明确基金管理人、运营管理机构应当制定信息披露相关制度，并强调信息披露事务负责人在定期报告编制过程中的义务和责任。</w:t>
      </w:r>
    </w:p>
    <w:p w14:paraId="2437ACC6"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三、主要内容</w:t>
      </w:r>
    </w:p>
    <w:p w14:paraId="413EB6A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（一）《年度报告指引》主要内容</w:t>
      </w:r>
    </w:p>
    <w:p w14:paraId="5797710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《年度报告指引》共计五章，分为总则、年度报告内容、信息披露事务管理、自律监管和附则。主要包括如下内容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3CC4A5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1.明确基础设施REITs业务参与人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主体责任。一是要求基金管理人、基金托管人等主体履行信息披露义务，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及时、公平地披露年度报告，并保证信息披露质量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二是要求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原始权益人、运营管理机构等主体履行信息披露配合义务，向信息披露义务人提供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真实、准确、完整的信息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三是要求</w:t>
      </w:r>
      <w:r>
        <w:rPr>
          <w:rFonts w:ascii="Times New Roman" w:hAnsi="Times New Roman" w:eastAsia="仿宋_GB2312" w:cs="Times New Roman"/>
          <w:sz w:val="32"/>
          <w:szCs w:val="32"/>
        </w:rPr>
        <w:t>会计师事务所、律师事务所等专业机构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诚实守信、</w:t>
      </w:r>
      <w:r>
        <w:rPr>
          <w:rFonts w:ascii="Times New Roman" w:hAnsi="Times New Roman" w:eastAsia="仿宋_GB2312" w:cs="Times New Roman"/>
          <w:sz w:val="32"/>
          <w:szCs w:val="32"/>
        </w:rPr>
        <w:t>勤勉尽责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。本所对前述主体及相关人员实施自律监管。</w:t>
      </w:r>
    </w:p>
    <w:p w14:paraId="5EAD00A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2.细化基金运作情况的披露要求。一是基金整体情况，包括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产品概况、持有人结构、费用收取、投资资产组合等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基金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财务信息，包括</w:t>
      </w:r>
      <w:r>
        <w:rPr>
          <w:rFonts w:ascii="Times New Roman" w:hAnsi="Times New Roman" w:eastAsia="仿宋_GB2312" w:cs="Times New Roman"/>
          <w:sz w:val="32"/>
          <w:szCs w:val="32"/>
        </w:rPr>
        <w:t>主要会计数据和财务指标、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财务报告和审计报告、收益分配、资产减值计提、投资性房地产公允价值计量等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三是基金重大事项，包括重大资本性支出使用、改造或者扩建、资产交割、承诺履行、采取的利益冲突防范措施等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705C17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3.强化业务参与人履职情况披露。一是突出基金管理人、运营管理机构在投资运作决策、运营管理、信息披露工作开展等方面的披露要求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二是明确原始权益人、</w:t>
      </w:r>
      <w:r>
        <w:rPr>
          <w:rFonts w:ascii="Times New Roman" w:hAnsi="Times New Roman" w:eastAsia="仿宋_GB2312" w:cs="Times New Roman"/>
          <w:sz w:val="32"/>
          <w:szCs w:val="32"/>
        </w:rPr>
        <w:t>基金托管人、资产支持证券管理人和专业机构等在持有份额变动、基金运作监督、专业服务等方面的披露要求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三是规范基金份额持有人大会以及业务参与人受处罚、诉讼等具体事项的披露要求。</w:t>
      </w:r>
    </w:p>
    <w:p w14:paraId="3629142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4.规范基础设施项目披露要求。一是针对基础设施项目整体情况，要求详细分析并披露行业情况、竞争格局、回顾与未来展望等。二是针对重要基础设施项目，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分行业披露基础资产的详细运营指标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和主要财务指标</w:t>
      </w:r>
      <w:r>
        <w:rPr>
          <w:rFonts w:ascii="Times New Roman" w:hAnsi="Times New Roman" w:eastAsia="仿宋_GB2312" w:cs="Times New Roman"/>
          <w:sz w:val="32"/>
          <w:szCs w:val="32"/>
        </w:rPr>
        <w:t>，提高同行业基础资产的可比性。同时，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着重强调项目生产经营状况、外部环境等发生重大变化的披露要求。</w:t>
      </w:r>
      <w:r>
        <w:rPr>
          <w:rFonts w:ascii="Times New Roman" w:hAnsi="Times New Roman" w:eastAsia="仿宋_GB2312" w:cs="Times New Roman"/>
          <w:sz w:val="32"/>
          <w:szCs w:val="32"/>
        </w:rPr>
        <w:t>三是与基础设施项目相关的其他披露要求，包括项目公司经营现金流情况、对外借入款项情况、购入或者出售项目情况等。</w:t>
      </w:r>
    </w:p>
    <w:p w14:paraId="7798FCBC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规范信息披露事务管理。一是要求基础设施REITs基金管理人、运营管理机构分别制定信息披露管理制度、信息披露配合制度，分别指定高级管理人员担任信息披露事务负责人，并落实报备制度。二是明确信息披露事务负责人应当组织和协调年度报告披露事务，对年度报告的合规性和质量承担相应责任。三是要求在年度报告中公示信息披露事务负责人信息，并鼓励同步在官网进行公示。四是规范暂缓、豁免披露等事项。</w:t>
      </w:r>
    </w:p>
    <w:p w14:paraId="732423D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（二）《中期报告和季度报告指引》主要内容</w:t>
      </w:r>
    </w:p>
    <w:p w14:paraId="76DE25E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提高基础设施REITs信息披露质效，以投资者需求为导向，合理降低信息披露成本，《中期报告和季度报告指引》在整体结构、原则及要求与《年度报告指引》保持一致的基础上，适当简化了部分披露内容。简化事项具体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B36AB4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1.中期报告的简化披露事项</w:t>
      </w:r>
    </w:p>
    <w:p w14:paraId="5178253A">
      <w:pPr>
        <w:pStyle w:val="2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中期报告突出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在半年内的经营状况和财务状况</w:t>
      </w:r>
      <w:r>
        <w:rPr>
          <w:rFonts w:ascii="Times New Roman" w:hAnsi="Times New Roman" w:eastAsia="仿宋_GB2312"/>
          <w:sz w:val="32"/>
          <w:szCs w:val="32"/>
        </w:rPr>
        <w:t>，相较于年度报告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的全面性和长期性，</w:t>
      </w:r>
      <w:r>
        <w:rPr>
          <w:rFonts w:ascii="Times New Roman" w:hAnsi="Times New Roman" w:eastAsia="仿宋_GB2312"/>
          <w:sz w:val="32"/>
          <w:szCs w:val="32"/>
        </w:rPr>
        <w:t>中期报告无需披露审计报告、评估报告，并删减了回顾与未来展望、重大资本性支出、投资</w:t>
      </w:r>
      <w:r>
        <w:rPr>
          <w:rFonts w:hint="eastAsia" w:ascii="Times New Roman" w:hAnsi="Times New Roman" w:eastAsia="仿宋_GB2312"/>
          <w:sz w:val="32"/>
          <w:szCs w:val="32"/>
        </w:rPr>
        <w:t>性</w:t>
      </w:r>
      <w:r>
        <w:rPr>
          <w:rFonts w:ascii="Times New Roman" w:hAnsi="Times New Roman" w:eastAsia="仿宋_GB2312"/>
          <w:sz w:val="32"/>
          <w:szCs w:val="32"/>
        </w:rPr>
        <w:t>房地产会计计量方式变更等事项。</w:t>
      </w:r>
    </w:p>
    <w:p w14:paraId="70CDC39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2.季度报告的简化披露事项</w:t>
      </w:r>
    </w:p>
    <w:p w14:paraId="5F626CC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季度报告更加聚焦基础设施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REITs</w:t>
      </w:r>
      <w:r>
        <w:rPr>
          <w:rFonts w:ascii="Times New Roman" w:hAnsi="Times New Roman" w:eastAsia="仿宋_GB2312" w:cs="Times New Roman"/>
          <w:sz w:val="32"/>
          <w:szCs w:val="32"/>
        </w:rPr>
        <w:t>业绩、项目运营情况相关信息，在中期报告基础上进一步作如下简化披露安排：一是基金运作方面，删减持有人结构、改造或者扩建、资产交割、资产减值等披露要求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二是业务参与人履职方面，仅需披露各业务参与人的基本信息，对具体履职情况不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作</w:t>
      </w:r>
      <w:r>
        <w:rPr>
          <w:rFonts w:ascii="Times New Roman" w:hAnsi="Times New Roman" w:eastAsia="仿宋_GB2312" w:cs="Times New Roman"/>
          <w:sz w:val="32"/>
          <w:szCs w:val="32"/>
        </w:rPr>
        <w:t>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三是基础设施项目方面，删减行业宏观趋势分析、对外借入款项、购入或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者</w:t>
      </w:r>
      <w:r>
        <w:rPr>
          <w:rFonts w:ascii="Times New Roman" w:hAnsi="Times New Roman" w:eastAsia="仿宋_GB2312" w:cs="Times New Roman"/>
          <w:sz w:val="32"/>
          <w:szCs w:val="32"/>
        </w:rPr>
        <w:t>出售项目、保险等披露要求。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62D0F820">
        <w:pPr>
          <w:pStyle w:val="7"/>
          <w:jc w:val="center"/>
        </w:pPr>
        <w:r>
          <w:t xml:space="preserve">     </w:t>
        </w:r>
      </w:p>
    </w:sdtContent>
  </w:sdt>
  <w:p w14:paraId="2D6BF221">
    <w:pPr>
      <w:framePr w:wrap="around" w:vAnchor="text" w:hAnchor="page" w:x="9255" w:y="1"/>
      <w:tabs>
        <w:tab w:val="center" w:pos="4153"/>
        <w:tab w:val="right" w:pos="8306"/>
      </w:tabs>
      <w:snapToGrid w:val="0"/>
      <w:ind w:left="440" w:hanging="440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 w14:paraId="77DD493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604E0">
    <w:pPr>
      <w:framePr w:wrap="around" w:vAnchor="text" w:hAnchor="page" w:x="1771" w:y="5"/>
      <w:tabs>
        <w:tab w:val="center" w:pos="4153"/>
        <w:tab w:val="right" w:pos="8306"/>
      </w:tabs>
      <w:snapToGrid w:val="0"/>
      <w:ind w:left="440" w:hanging="440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 w14:paraId="713E4C10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F0"/>
    <w:rsid w:val="0001766F"/>
    <w:rsid w:val="00047484"/>
    <w:rsid w:val="000569A1"/>
    <w:rsid w:val="00065DD5"/>
    <w:rsid w:val="000706BE"/>
    <w:rsid w:val="00087D55"/>
    <w:rsid w:val="000905B6"/>
    <w:rsid w:val="00091DD9"/>
    <w:rsid w:val="000A31E8"/>
    <w:rsid w:val="000C1025"/>
    <w:rsid w:val="000D6F9D"/>
    <w:rsid w:val="00101004"/>
    <w:rsid w:val="0010548D"/>
    <w:rsid w:val="00114E60"/>
    <w:rsid w:val="00151673"/>
    <w:rsid w:val="001D1929"/>
    <w:rsid w:val="001F1280"/>
    <w:rsid w:val="0020392E"/>
    <w:rsid w:val="0021468F"/>
    <w:rsid w:val="0023102F"/>
    <w:rsid w:val="00250335"/>
    <w:rsid w:val="0025392E"/>
    <w:rsid w:val="00271A8C"/>
    <w:rsid w:val="002B5B70"/>
    <w:rsid w:val="002D27C3"/>
    <w:rsid w:val="002D6ACA"/>
    <w:rsid w:val="002E7E9D"/>
    <w:rsid w:val="003111D3"/>
    <w:rsid w:val="00317BA0"/>
    <w:rsid w:val="00341BA5"/>
    <w:rsid w:val="0035439C"/>
    <w:rsid w:val="00362E70"/>
    <w:rsid w:val="00384CDF"/>
    <w:rsid w:val="003A6B55"/>
    <w:rsid w:val="003D131A"/>
    <w:rsid w:val="003F0AFE"/>
    <w:rsid w:val="003F4A2C"/>
    <w:rsid w:val="00413B1A"/>
    <w:rsid w:val="004542DD"/>
    <w:rsid w:val="004605BA"/>
    <w:rsid w:val="00473985"/>
    <w:rsid w:val="004A3AE5"/>
    <w:rsid w:val="004B4244"/>
    <w:rsid w:val="004F56E1"/>
    <w:rsid w:val="00500E8C"/>
    <w:rsid w:val="00520F7E"/>
    <w:rsid w:val="0055011C"/>
    <w:rsid w:val="00556DAE"/>
    <w:rsid w:val="00562345"/>
    <w:rsid w:val="005625B2"/>
    <w:rsid w:val="00570A07"/>
    <w:rsid w:val="0057466D"/>
    <w:rsid w:val="005B34B9"/>
    <w:rsid w:val="005C3A30"/>
    <w:rsid w:val="005C479E"/>
    <w:rsid w:val="005E4411"/>
    <w:rsid w:val="005E7091"/>
    <w:rsid w:val="006008E4"/>
    <w:rsid w:val="00605FD1"/>
    <w:rsid w:val="00607C56"/>
    <w:rsid w:val="0063581A"/>
    <w:rsid w:val="00635DF0"/>
    <w:rsid w:val="006448B0"/>
    <w:rsid w:val="00682D2A"/>
    <w:rsid w:val="006857F6"/>
    <w:rsid w:val="006A71B4"/>
    <w:rsid w:val="006E118D"/>
    <w:rsid w:val="0071241E"/>
    <w:rsid w:val="00786F0B"/>
    <w:rsid w:val="00791426"/>
    <w:rsid w:val="007A14F5"/>
    <w:rsid w:val="007A6ABE"/>
    <w:rsid w:val="007A7800"/>
    <w:rsid w:val="007D16D2"/>
    <w:rsid w:val="007D6310"/>
    <w:rsid w:val="007D687F"/>
    <w:rsid w:val="007D7A17"/>
    <w:rsid w:val="007E320B"/>
    <w:rsid w:val="00802F0A"/>
    <w:rsid w:val="00831CD7"/>
    <w:rsid w:val="00870EA5"/>
    <w:rsid w:val="00874053"/>
    <w:rsid w:val="00881E9E"/>
    <w:rsid w:val="00886F3B"/>
    <w:rsid w:val="008B7281"/>
    <w:rsid w:val="008E7405"/>
    <w:rsid w:val="008F1666"/>
    <w:rsid w:val="009162EB"/>
    <w:rsid w:val="00942D34"/>
    <w:rsid w:val="00964EDF"/>
    <w:rsid w:val="00980EEB"/>
    <w:rsid w:val="009C63F4"/>
    <w:rsid w:val="009D2FF0"/>
    <w:rsid w:val="009F0C50"/>
    <w:rsid w:val="009F4952"/>
    <w:rsid w:val="00A308E3"/>
    <w:rsid w:val="00A4180B"/>
    <w:rsid w:val="00A46D2E"/>
    <w:rsid w:val="00A66D97"/>
    <w:rsid w:val="00A83074"/>
    <w:rsid w:val="00A9739A"/>
    <w:rsid w:val="00AA4B09"/>
    <w:rsid w:val="00AD12C5"/>
    <w:rsid w:val="00B156BA"/>
    <w:rsid w:val="00B2152E"/>
    <w:rsid w:val="00B30067"/>
    <w:rsid w:val="00B305DE"/>
    <w:rsid w:val="00B336F4"/>
    <w:rsid w:val="00B3462E"/>
    <w:rsid w:val="00B46D85"/>
    <w:rsid w:val="00B55A3B"/>
    <w:rsid w:val="00B637EC"/>
    <w:rsid w:val="00B6679A"/>
    <w:rsid w:val="00B66892"/>
    <w:rsid w:val="00B773F8"/>
    <w:rsid w:val="00B844B9"/>
    <w:rsid w:val="00BF0D00"/>
    <w:rsid w:val="00BF7103"/>
    <w:rsid w:val="00C122F9"/>
    <w:rsid w:val="00C13F2C"/>
    <w:rsid w:val="00C155E9"/>
    <w:rsid w:val="00C3323B"/>
    <w:rsid w:val="00C7759B"/>
    <w:rsid w:val="00C808B6"/>
    <w:rsid w:val="00C81725"/>
    <w:rsid w:val="00C91495"/>
    <w:rsid w:val="00C94434"/>
    <w:rsid w:val="00C9594D"/>
    <w:rsid w:val="00CC25BA"/>
    <w:rsid w:val="00CC2E80"/>
    <w:rsid w:val="00CE2767"/>
    <w:rsid w:val="00CE770C"/>
    <w:rsid w:val="00CF24AA"/>
    <w:rsid w:val="00D13CE7"/>
    <w:rsid w:val="00D310D5"/>
    <w:rsid w:val="00D41CD7"/>
    <w:rsid w:val="00D42416"/>
    <w:rsid w:val="00D44093"/>
    <w:rsid w:val="00D45AA7"/>
    <w:rsid w:val="00D84F73"/>
    <w:rsid w:val="00DA137D"/>
    <w:rsid w:val="00DA358C"/>
    <w:rsid w:val="00DB3D25"/>
    <w:rsid w:val="00DC3339"/>
    <w:rsid w:val="00DC4E11"/>
    <w:rsid w:val="00DE60DA"/>
    <w:rsid w:val="00E02B27"/>
    <w:rsid w:val="00E05809"/>
    <w:rsid w:val="00E22018"/>
    <w:rsid w:val="00E24F29"/>
    <w:rsid w:val="00E40417"/>
    <w:rsid w:val="00E51AA8"/>
    <w:rsid w:val="00E92A1C"/>
    <w:rsid w:val="00EC0AD0"/>
    <w:rsid w:val="00ED3661"/>
    <w:rsid w:val="00EE39E3"/>
    <w:rsid w:val="00F01646"/>
    <w:rsid w:val="00F017B1"/>
    <w:rsid w:val="00F03FCE"/>
    <w:rsid w:val="00F14A65"/>
    <w:rsid w:val="00F41B9D"/>
    <w:rsid w:val="00F52DE4"/>
    <w:rsid w:val="00F5711E"/>
    <w:rsid w:val="00F87558"/>
    <w:rsid w:val="00F95AF1"/>
    <w:rsid w:val="00FD5D02"/>
    <w:rsid w:val="00FF0F1C"/>
    <w:rsid w:val="012A7AF5"/>
    <w:rsid w:val="0374341C"/>
    <w:rsid w:val="0385612E"/>
    <w:rsid w:val="03943AE1"/>
    <w:rsid w:val="04425B32"/>
    <w:rsid w:val="048840BB"/>
    <w:rsid w:val="058F1865"/>
    <w:rsid w:val="05A41AC1"/>
    <w:rsid w:val="05AF20BA"/>
    <w:rsid w:val="05D110F3"/>
    <w:rsid w:val="06BC2999"/>
    <w:rsid w:val="08895708"/>
    <w:rsid w:val="09E76A2D"/>
    <w:rsid w:val="0C9C7E1B"/>
    <w:rsid w:val="0D8B55C6"/>
    <w:rsid w:val="105656D9"/>
    <w:rsid w:val="10EC4E50"/>
    <w:rsid w:val="12676B9C"/>
    <w:rsid w:val="12CC297D"/>
    <w:rsid w:val="142C4DA5"/>
    <w:rsid w:val="145E6F10"/>
    <w:rsid w:val="146E183F"/>
    <w:rsid w:val="14A420D0"/>
    <w:rsid w:val="16370102"/>
    <w:rsid w:val="16516CA8"/>
    <w:rsid w:val="1667013F"/>
    <w:rsid w:val="167E2B39"/>
    <w:rsid w:val="173877C1"/>
    <w:rsid w:val="17E3163D"/>
    <w:rsid w:val="18F71C70"/>
    <w:rsid w:val="18FD340F"/>
    <w:rsid w:val="19FE3C0D"/>
    <w:rsid w:val="1AA20191"/>
    <w:rsid w:val="1B410951"/>
    <w:rsid w:val="1BAD3DB2"/>
    <w:rsid w:val="1C2E2785"/>
    <w:rsid w:val="1C80583D"/>
    <w:rsid w:val="1D0C2DF2"/>
    <w:rsid w:val="1D6332C3"/>
    <w:rsid w:val="1DCF4E07"/>
    <w:rsid w:val="1DD164BE"/>
    <w:rsid w:val="1DE03233"/>
    <w:rsid w:val="1EAF54E3"/>
    <w:rsid w:val="1F4762C8"/>
    <w:rsid w:val="1F96206D"/>
    <w:rsid w:val="21535395"/>
    <w:rsid w:val="21B05276"/>
    <w:rsid w:val="22DC255A"/>
    <w:rsid w:val="22F0425E"/>
    <w:rsid w:val="23320388"/>
    <w:rsid w:val="24A415E4"/>
    <w:rsid w:val="24D032CA"/>
    <w:rsid w:val="267E18E7"/>
    <w:rsid w:val="26E91634"/>
    <w:rsid w:val="2728014B"/>
    <w:rsid w:val="27C24AC7"/>
    <w:rsid w:val="27DF2D58"/>
    <w:rsid w:val="282C5EEC"/>
    <w:rsid w:val="28750EB3"/>
    <w:rsid w:val="294209EA"/>
    <w:rsid w:val="29955CC7"/>
    <w:rsid w:val="2B4A0C35"/>
    <w:rsid w:val="2B9B57DD"/>
    <w:rsid w:val="2CBE5715"/>
    <w:rsid w:val="2D637F86"/>
    <w:rsid w:val="2D726F1C"/>
    <w:rsid w:val="2D8B7E46"/>
    <w:rsid w:val="2E4C7D2E"/>
    <w:rsid w:val="2E823029"/>
    <w:rsid w:val="2F572180"/>
    <w:rsid w:val="2F5D473D"/>
    <w:rsid w:val="2F631C4A"/>
    <w:rsid w:val="2F6915D5"/>
    <w:rsid w:val="2F776163"/>
    <w:rsid w:val="32A509BB"/>
    <w:rsid w:val="32BC53CF"/>
    <w:rsid w:val="32FB4AE4"/>
    <w:rsid w:val="33067842"/>
    <w:rsid w:val="33805C09"/>
    <w:rsid w:val="338B4316"/>
    <w:rsid w:val="34FF53FE"/>
    <w:rsid w:val="35B83AB2"/>
    <w:rsid w:val="362A60EF"/>
    <w:rsid w:val="372F589C"/>
    <w:rsid w:val="379F3D66"/>
    <w:rsid w:val="39CD2278"/>
    <w:rsid w:val="3A155DFB"/>
    <w:rsid w:val="3C89390F"/>
    <w:rsid w:val="3CFC4E99"/>
    <w:rsid w:val="3D554DCB"/>
    <w:rsid w:val="3EF07057"/>
    <w:rsid w:val="3F282C5B"/>
    <w:rsid w:val="3F3F210E"/>
    <w:rsid w:val="3F732798"/>
    <w:rsid w:val="412D456A"/>
    <w:rsid w:val="415D4149"/>
    <w:rsid w:val="420339DD"/>
    <w:rsid w:val="42F83EEA"/>
    <w:rsid w:val="43135B8A"/>
    <w:rsid w:val="432474C2"/>
    <w:rsid w:val="433107D0"/>
    <w:rsid w:val="435B171F"/>
    <w:rsid w:val="439D37F1"/>
    <w:rsid w:val="43EE6BB2"/>
    <w:rsid w:val="44D66CFF"/>
    <w:rsid w:val="463D65DA"/>
    <w:rsid w:val="469211D3"/>
    <w:rsid w:val="46A5638E"/>
    <w:rsid w:val="46C07B24"/>
    <w:rsid w:val="472967B9"/>
    <w:rsid w:val="47752ACA"/>
    <w:rsid w:val="47BF63C2"/>
    <w:rsid w:val="48B37805"/>
    <w:rsid w:val="48B517D5"/>
    <w:rsid w:val="494F2DE1"/>
    <w:rsid w:val="4A9A0B62"/>
    <w:rsid w:val="4BFA6297"/>
    <w:rsid w:val="4C397C29"/>
    <w:rsid w:val="4C582666"/>
    <w:rsid w:val="4C870899"/>
    <w:rsid w:val="4DAD62FB"/>
    <w:rsid w:val="4EAD7325"/>
    <w:rsid w:val="4EE35062"/>
    <w:rsid w:val="50CA7DE7"/>
    <w:rsid w:val="52FD64E8"/>
    <w:rsid w:val="54244A97"/>
    <w:rsid w:val="54283DE6"/>
    <w:rsid w:val="54E12E3E"/>
    <w:rsid w:val="55112513"/>
    <w:rsid w:val="571048BC"/>
    <w:rsid w:val="573708FF"/>
    <w:rsid w:val="57857684"/>
    <w:rsid w:val="57B439EF"/>
    <w:rsid w:val="58BE2FA8"/>
    <w:rsid w:val="58E01999"/>
    <w:rsid w:val="59574842"/>
    <w:rsid w:val="59903300"/>
    <w:rsid w:val="5A52629D"/>
    <w:rsid w:val="5B6B38F2"/>
    <w:rsid w:val="5DB52A06"/>
    <w:rsid w:val="5E4B06E8"/>
    <w:rsid w:val="5F63118D"/>
    <w:rsid w:val="5FEB5BEE"/>
    <w:rsid w:val="613D27E5"/>
    <w:rsid w:val="625B79CA"/>
    <w:rsid w:val="627310D2"/>
    <w:rsid w:val="629B07E5"/>
    <w:rsid w:val="62C60519"/>
    <w:rsid w:val="63619FF9"/>
    <w:rsid w:val="63F10497"/>
    <w:rsid w:val="64EE225D"/>
    <w:rsid w:val="64F62E35"/>
    <w:rsid w:val="653B07F9"/>
    <w:rsid w:val="654F6163"/>
    <w:rsid w:val="65B371B3"/>
    <w:rsid w:val="65D063F3"/>
    <w:rsid w:val="660934DF"/>
    <w:rsid w:val="6681218E"/>
    <w:rsid w:val="66B912B0"/>
    <w:rsid w:val="685057E1"/>
    <w:rsid w:val="6AA4271C"/>
    <w:rsid w:val="6C1F51FF"/>
    <w:rsid w:val="6C710F75"/>
    <w:rsid w:val="6CFB687C"/>
    <w:rsid w:val="6D101155"/>
    <w:rsid w:val="6E9B2B83"/>
    <w:rsid w:val="6F3D211B"/>
    <w:rsid w:val="71782351"/>
    <w:rsid w:val="72CF5F0F"/>
    <w:rsid w:val="739F4EC0"/>
    <w:rsid w:val="73B32C53"/>
    <w:rsid w:val="761D5360"/>
    <w:rsid w:val="778D3E30"/>
    <w:rsid w:val="78495073"/>
    <w:rsid w:val="79EA232B"/>
    <w:rsid w:val="79F33D84"/>
    <w:rsid w:val="7CC80845"/>
    <w:rsid w:val="7D041BF1"/>
    <w:rsid w:val="7E007962"/>
    <w:rsid w:val="7E6305E6"/>
    <w:rsid w:val="7EC5068B"/>
    <w:rsid w:val="7F461D3B"/>
    <w:rsid w:val="7F732B36"/>
    <w:rsid w:val="7F810E5F"/>
    <w:rsid w:val="7FB07517"/>
    <w:rsid w:val="7FF448C8"/>
    <w:rsid w:val="BFDE1661"/>
    <w:rsid w:val="D0F7BC3B"/>
    <w:rsid w:val="DEFF7C66"/>
    <w:rsid w:val="EF870811"/>
    <w:rsid w:val="F77E5CC2"/>
    <w:rsid w:val="FDA6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8"/>
    </w:pPr>
    <w:rPr>
      <w:rFonts w:ascii="Calibri" w:hAnsi="Calibri" w:eastAsia="宋体" w:cs="Times New Roman"/>
      <w:sz w:val="28"/>
    </w:rPr>
  </w:style>
  <w:style w:type="paragraph" w:styleId="5">
    <w:name w:val="annotation text"/>
    <w:basedOn w:val="1"/>
    <w:link w:val="17"/>
    <w:unhideWhenUsed/>
    <w:qFormat/>
    <w:uiPriority w:val="0"/>
    <w:pPr>
      <w:jc w:val="left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8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Char"/>
    <w:basedOn w:val="11"/>
    <w:link w:val="5"/>
    <w:semiHidden/>
    <w:qFormat/>
    <w:uiPriority w:val="99"/>
    <w:rPr>
      <w:kern w:val="2"/>
      <w:sz w:val="21"/>
      <w:szCs w:val="24"/>
    </w:rPr>
  </w:style>
  <w:style w:type="character" w:customStyle="1" w:styleId="18">
    <w:name w:val="批注主题 Char"/>
    <w:basedOn w:val="17"/>
    <w:link w:val="9"/>
    <w:semiHidden/>
    <w:qFormat/>
    <w:uiPriority w:val="99"/>
    <w:rPr>
      <w:b/>
      <w:bCs/>
      <w:kern w:val="2"/>
      <w:sz w:val="21"/>
      <w:szCs w:val="24"/>
    </w:rPr>
  </w:style>
  <w:style w:type="character" w:customStyle="1" w:styleId="19">
    <w:name w:val="批注文字 Char1"/>
    <w:qFormat/>
    <w:uiPriority w:val="0"/>
    <w:rPr>
      <w:rFonts w:ascii="Times New Roman" w:hAnsi="Times New Roman" w:eastAsia="仿宋" w:cs="Times New Roman"/>
      <w:sz w:val="24"/>
      <w:szCs w:val="22"/>
      <w:lang w:eastAsia="en-US" w:bidi="en-US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2589</Words>
  <Characters>2691</Characters>
  <Lines>23</Lines>
  <Paragraphs>6</Paragraphs>
  <TotalTime>1</TotalTime>
  <ScaleCrop>false</ScaleCrop>
  <LinksUpToDate>false</LinksUpToDate>
  <CharactersWithSpaces>2691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2022-04-21T12:14:00Z</dcterms:created>
  <dc:creator>xuwei</dc:creator>
  <cp:lastModifiedBy>whxu</cp:lastModifiedBy>
  <cp:lastPrinted>2024-10-23T01:02:00Z</cp:lastPrinted>
  <dcterms:modified xsi:type="dcterms:W3CDTF">2025-09-11T03:11:45Z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12EF751EEA71BB63EF7749676ABFBEAC_43</vt:lpwstr>
  </property>
  <property fmtid="{D5CDD505-2E9C-101B-9397-08002B2CF9AE}" pid="4" name="KSOTemplateDocerSaveRecord">
    <vt:lpwstr>eyJoZGlkIjoiODU1MjFmZWFjYWYyZmFkY2IwY2Q4ZjQwNWM1NjJkYzIiLCJ1c2VySWQiOiI0MTAwNTg2ODQifQ==</vt:lpwstr>
  </property>
</Properties>
</file>