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1E" w:rsidRPr="00361805" w:rsidRDefault="00FC051E" w:rsidP="00FC051E">
      <w:pPr>
        <w:widowControl/>
        <w:spacing w:line="540" w:lineRule="exact"/>
        <w:rPr>
          <w:rFonts w:ascii="仿宋_GB2312" w:eastAsia="仿宋_GB2312"/>
          <w:b/>
          <w:sz w:val="30"/>
          <w:szCs w:val="30"/>
        </w:rPr>
      </w:pPr>
      <w:r w:rsidRPr="00361805">
        <w:rPr>
          <w:rFonts w:ascii="仿宋_GB2312" w:eastAsia="仿宋_GB2312" w:hint="eastAsia"/>
          <w:b/>
          <w:sz w:val="30"/>
          <w:szCs w:val="30"/>
        </w:rPr>
        <w:t>附件1</w:t>
      </w:r>
    </w:p>
    <w:p w:rsidR="00FC051E" w:rsidRPr="00361805" w:rsidRDefault="00FC051E" w:rsidP="00FC051E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p w:rsidR="00FC051E" w:rsidRPr="00941E60" w:rsidRDefault="00FC051E" w:rsidP="00FC051E">
      <w:pPr>
        <w:widowControl/>
        <w:spacing w:line="540" w:lineRule="exact"/>
        <w:jc w:val="center"/>
        <w:rPr>
          <w:rFonts w:ascii="方正大标宋简体" w:eastAsia="方正大标宋简体" w:hAnsi="黑体" w:hint="eastAsia"/>
          <w:sz w:val="42"/>
          <w:szCs w:val="42"/>
        </w:rPr>
      </w:pPr>
      <w:proofErr w:type="gramStart"/>
      <w:r w:rsidRPr="00941E60">
        <w:rPr>
          <w:rFonts w:ascii="方正大标宋简体" w:eastAsia="方正大标宋简体" w:hAnsi="黑体" w:hint="eastAsia"/>
          <w:sz w:val="42"/>
          <w:szCs w:val="42"/>
        </w:rPr>
        <w:t>华夏科创</w:t>
      </w:r>
      <w:proofErr w:type="gramEnd"/>
      <w:r w:rsidRPr="00941E60">
        <w:rPr>
          <w:rFonts w:ascii="方正大标宋简体" w:eastAsia="方正大标宋简体" w:hAnsi="黑体" w:hint="eastAsia"/>
          <w:sz w:val="42"/>
          <w:szCs w:val="42"/>
        </w:rPr>
        <w:t>50ETF期权合约基本条款</w:t>
      </w:r>
    </w:p>
    <w:p w:rsidR="00FC051E" w:rsidRPr="00361805" w:rsidRDefault="00FC051E" w:rsidP="00FC051E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tbl>
      <w:tblPr>
        <w:tblW w:w="7366" w:type="dxa"/>
        <w:jc w:val="center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5592"/>
      </w:tblGrid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合约标的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华夏上证</w:t>
            </w:r>
            <w:proofErr w:type="gramStart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科创板</w:t>
            </w:r>
            <w:proofErr w:type="gramEnd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成份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交易型开放式指数证券投资基金（</w:t>
            </w:r>
            <w:proofErr w:type="gramStart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证券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扩位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简称</w:t>
            </w:r>
            <w:proofErr w:type="gramEnd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：</w:t>
            </w:r>
            <w:proofErr w:type="gramStart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科创</w:t>
            </w:r>
            <w:proofErr w:type="gramEnd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50ETF，证券代码：</w:t>
            </w:r>
            <w:r w:rsidRPr="00361805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588000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合约类型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认购期权和认沽期权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合约单位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10000份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合约到期月份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当月、下月及随后</w:t>
            </w:r>
            <w:proofErr w:type="gramStart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两个季月</w:t>
            </w:r>
            <w:proofErr w:type="gramEnd"/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行权价格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9个（1个平值合约、</w:t>
            </w:r>
            <w:proofErr w:type="gramStart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4个虚值合约</w:t>
            </w:r>
            <w:proofErr w:type="gramEnd"/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、4个实值合约）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行权价格间距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3元或以下为0.05元，3元至5元（含）为0.1元，5元至10元（含）为0.25元，10元至20元（含）为0.5元，20元至50元（含）为1元，50元至100元（含）为2.5元，100元以上为5元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行权方式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到期日行权（欧式）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交割方式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实物交割（业务规则另有规定的除外）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到期日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到期月份的第四个星期三（遇法定节假日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、本所休市日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顺延）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同合约到期日，行权指令提交时间为9:15-9:25，9:30-11:30，13:00-15:30 </w:t>
            </w:r>
          </w:p>
        </w:tc>
      </w:tr>
      <w:tr w:rsidR="00FC051E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51E" w:rsidRPr="00361805" w:rsidRDefault="00FC051E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proofErr w:type="gramStart"/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交收日</w:t>
            </w:r>
            <w:proofErr w:type="gramEnd"/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51E" w:rsidRPr="00361805" w:rsidRDefault="00FC051E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行权日次一交易日</w:t>
            </w:r>
          </w:p>
        </w:tc>
      </w:tr>
    </w:tbl>
    <w:p w:rsidR="00FC051E" w:rsidRPr="00361805" w:rsidRDefault="00FC051E" w:rsidP="00FC051E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sectPr w:rsidR="00FC051E" w:rsidRPr="00361805" w:rsidSect="0085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51E"/>
    <w:rsid w:val="008533AC"/>
    <w:rsid w:val="00FC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2023-06-02T10:51:00Z</dcterms:created>
  <dcterms:modified xsi:type="dcterms:W3CDTF">2023-06-02T10:51:00Z</dcterms:modified>
</cp:coreProperties>
</file>