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10B86">
      <w:pPr>
        <w:spacing w:line="560" w:lineRule="exac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附件</w:t>
      </w:r>
    </w:p>
    <w:p w14:paraId="62EC4F25">
      <w:pPr>
        <w:spacing w:line="560" w:lineRule="exact"/>
        <w:jc w:val="center"/>
        <w:rPr>
          <w:rFonts w:ascii="仿宋_GB2312" w:hAnsi="Times New Roman" w:eastAsia="仿宋_GB2312" w:cs="宋体"/>
          <w:b/>
          <w:kern w:val="0"/>
          <w:sz w:val="30"/>
          <w:szCs w:val="30"/>
        </w:rPr>
      </w:pPr>
    </w:p>
    <w:p w14:paraId="4D13F7BD">
      <w:pPr>
        <w:spacing w:line="560" w:lineRule="exac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上海证券交易所债券交易规则适用指引</w:t>
      </w:r>
    </w:p>
    <w:p w14:paraId="6BC8FFB9"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第2号——债券通用质押式回购交易</w:t>
      </w:r>
    </w:p>
    <w:p w14:paraId="16AC7360">
      <w:pPr>
        <w:spacing w:line="560" w:lineRule="exact"/>
        <w:jc w:val="center"/>
        <w:rPr>
          <w:rFonts w:ascii="仿宋_GB2312" w:eastAsia="仿宋_GB2312"/>
          <w:sz w:val="28"/>
        </w:rPr>
      </w:pPr>
    </w:p>
    <w:p w14:paraId="10549727">
      <w:pPr>
        <w:pStyle w:val="3"/>
        <w:widowControl w:val="0"/>
        <w:numPr>
          <w:ilvl w:val="1"/>
          <w:numId w:val="0"/>
        </w:numPr>
        <w:shd w:val="clear" w:color="auto" w:fill="FFFFFF"/>
        <w:spacing w:before="0" w:beforeAutospacing="0" w:after="0" w:afterAutospacing="0" w:line="560" w:lineRule="exact"/>
        <w:ind w:left="0" w:leftChars="0" w:firstLine="602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bookmarkStart w:id="0" w:name="_Toc1656946"/>
      <w:bookmarkEnd w:id="0"/>
      <w:bookmarkStart w:id="1" w:name="_Toc1655631"/>
      <w:bookmarkEnd w:id="1"/>
      <w:bookmarkStart w:id="2" w:name="_Toc1656947"/>
      <w:bookmarkEnd w:id="2"/>
      <w:bookmarkStart w:id="3" w:name="_Toc1655630"/>
      <w:bookmarkEnd w:id="3"/>
      <w:bookmarkStart w:id="4" w:name="_Toc401664243"/>
      <w:bookmarkStart w:id="5" w:name="_Toc398971136"/>
      <w:r>
        <w:rPr>
          <w:rFonts w:hint="default" w:ascii="Calibri" w:hAnsi="Calibri" w:eastAsia="仿宋_GB2312" w:cs="Times New Roman"/>
          <w:b/>
          <w:i w:val="0"/>
          <w:color w:val="auto"/>
          <w:kern w:val="0"/>
          <w:sz w:val="30"/>
          <w:szCs w:val="30"/>
          <w:lang w:val="en-US" w:eastAsia="zh-CN" w:bidi="ar-SA"/>
        </w:rPr>
        <w:t>第一条</w:t>
      </w:r>
      <w:r>
        <w:rPr>
          <w:rFonts w:hint="eastAsia" w:ascii="仿宋_GB2312" w:eastAsia="仿宋_GB2312"/>
          <w:color w:val="000000"/>
          <w:sz w:val="30"/>
          <w:szCs w:val="30"/>
        </w:rPr>
        <w:t>为规范上海证券交易所（以下简称本所）债券通用质押式回购（以下简称通用回购）交易行为，维护交易秩序，保护投资者合法权益，根据《上海证券交易所债券交易规则》（以下简称《债券交易规则》）等规定，制定本指引。</w:t>
      </w:r>
    </w:p>
    <w:p w14:paraId="186F153C">
      <w:pPr>
        <w:pStyle w:val="3"/>
        <w:widowControl w:val="0"/>
        <w:numPr>
          <w:ilvl w:val="1"/>
          <w:numId w:val="0"/>
        </w:numPr>
        <w:shd w:val="clear" w:color="auto" w:fill="FFFFFF"/>
        <w:spacing w:before="0" w:beforeAutospacing="0" w:after="0" w:afterAutospacing="0" w:line="560" w:lineRule="exact"/>
        <w:ind w:left="0" w:leftChars="0" w:firstLine="602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default" w:ascii="Calibri" w:hAnsi="Calibri" w:eastAsia="仿宋_GB2312" w:cs="Times New Roman"/>
          <w:b/>
          <w:i w:val="0"/>
          <w:color w:val="auto"/>
          <w:kern w:val="0"/>
          <w:sz w:val="30"/>
          <w:szCs w:val="30"/>
          <w:lang w:val="en-US" w:eastAsia="zh-CN" w:bidi="ar-SA"/>
        </w:rPr>
        <w:t>第二条</w:t>
      </w:r>
      <w:r>
        <w:rPr>
          <w:rFonts w:hint="eastAsia" w:ascii="仿宋_GB2312" w:eastAsia="仿宋_GB2312"/>
          <w:color w:val="000000"/>
          <w:sz w:val="30"/>
          <w:szCs w:val="30"/>
        </w:rPr>
        <w:t>在本所开展的通用回购交易适用本指引。本指引未作规定的，适用相关法律法规和其他</w:t>
      </w:r>
      <w:r>
        <w:rPr>
          <w:rFonts w:hint="eastAsia" w:ascii="仿宋_GB2312" w:eastAsia="仿宋_GB2312"/>
          <w:sz w:val="30"/>
          <w:szCs w:val="30"/>
        </w:rPr>
        <w:t>业务规则的规定。</w:t>
      </w:r>
    </w:p>
    <w:p w14:paraId="0777C225">
      <w:pPr>
        <w:pStyle w:val="3"/>
        <w:widowControl w:val="0"/>
        <w:numPr>
          <w:ilvl w:val="1"/>
          <w:numId w:val="0"/>
        </w:numPr>
        <w:shd w:val="clear" w:color="auto" w:fill="FFFFFF"/>
        <w:spacing w:before="0" w:beforeAutospacing="0" w:after="0" w:afterAutospacing="0" w:line="560" w:lineRule="exact"/>
        <w:ind w:left="0" w:leftChars="0" w:firstLine="602" w:firstLineChars="200"/>
        <w:jc w:val="both"/>
        <w:rPr>
          <w:rFonts w:ascii="仿宋_GB2312" w:eastAsia="仿宋_GB2312"/>
          <w:sz w:val="30"/>
          <w:szCs w:val="30"/>
        </w:rPr>
      </w:pPr>
      <w:r>
        <w:rPr>
          <w:rFonts w:hint="default" w:ascii="Calibri" w:hAnsi="Calibri" w:eastAsia="仿宋_GB2312" w:cs="Times New Roman"/>
          <w:b/>
          <w:i w:val="0"/>
          <w:color w:val="auto"/>
          <w:kern w:val="0"/>
          <w:sz w:val="30"/>
          <w:szCs w:val="30"/>
          <w:lang w:val="en-US" w:eastAsia="zh-CN" w:bidi="ar-SA"/>
        </w:rPr>
        <w:t>第三条</w:t>
      </w:r>
      <w:r>
        <w:rPr>
          <w:rFonts w:hint="eastAsia" w:ascii="仿宋_GB2312" w:eastAsia="仿宋_GB2312"/>
          <w:color w:val="000000"/>
          <w:sz w:val="30"/>
          <w:szCs w:val="30"/>
        </w:rPr>
        <w:t>通用回购交易指资金融入方将符合要求的债券申报质押，以相应折算率计算出的质押券价值为融资额度进行质押融资，交易双方约定在回购期满后返还资金同时解除债券质押的交易。</w:t>
      </w:r>
    </w:p>
    <w:p w14:paraId="606B1429">
      <w:pPr>
        <w:pStyle w:val="3"/>
        <w:widowControl w:val="0"/>
        <w:numPr>
          <w:ilvl w:val="255"/>
          <w:numId w:val="0"/>
        </w:numPr>
        <w:shd w:val="clear" w:color="auto" w:fill="FFFFFF"/>
        <w:spacing w:before="0" w:beforeAutospacing="0" w:after="0" w:afterAutospacing="0" w:line="560" w:lineRule="exact"/>
        <w:ind w:firstLine="600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出质债券并融入资金的交易方为正回购方，融出资金的交易方为逆回购方。</w:t>
      </w:r>
    </w:p>
    <w:p w14:paraId="0614298F">
      <w:pPr>
        <w:pStyle w:val="3"/>
        <w:widowControl w:val="0"/>
        <w:numPr>
          <w:ilvl w:val="1"/>
          <w:numId w:val="0"/>
        </w:numPr>
        <w:shd w:val="clear" w:color="auto" w:fill="FFFFFF"/>
        <w:spacing w:before="0" w:beforeAutospacing="0" w:after="0" w:afterAutospacing="0" w:line="560" w:lineRule="exact"/>
        <w:ind w:left="0" w:leftChars="0" w:firstLine="602" w:firstLineChars="200"/>
        <w:jc w:val="both"/>
        <w:rPr>
          <w:rFonts w:ascii="仿宋_GB2312" w:eastAsia="仿宋_GB2312"/>
          <w:color w:val="000000"/>
          <w:sz w:val="30"/>
        </w:rPr>
      </w:pPr>
      <w:r>
        <w:rPr>
          <w:rFonts w:hint="default" w:ascii="Calibri" w:hAnsi="Calibri" w:eastAsia="仿宋_GB2312" w:cs="Times New Roman"/>
          <w:b/>
          <w:i w:val="0"/>
          <w:color w:val="auto"/>
          <w:kern w:val="0"/>
          <w:sz w:val="30"/>
          <w:szCs w:val="24"/>
          <w:lang w:val="en-US" w:eastAsia="zh-CN" w:bidi="ar-SA"/>
        </w:rPr>
        <w:t>第四条</w:t>
      </w:r>
      <w:r>
        <w:rPr>
          <w:rFonts w:hint="eastAsia" w:ascii="仿宋_GB2312" w:eastAsia="仿宋_GB2312"/>
          <w:color w:val="000000"/>
          <w:sz w:val="30"/>
        </w:rPr>
        <w:t>通用回购交易正回购方按照《中国证券登记结算有限责任公司 上海证券交易所 深圳证券交易所债券质押式回购交易结算风险控制指引</w:t>
      </w:r>
      <w:r>
        <w:rPr>
          <w:rFonts w:hint="eastAsia" w:ascii="仿宋_GB2312" w:eastAsia="仿宋_GB2312"/>
          <w:color w:val="000000"/>
          <w:sz w:val="30"/>
          <w:szCs w:val="30"/>
        </w:rPr>
        <w:t>》</w:t>
      </w:r>
      <w:r>
        <w:rPr>
          <w:rFonts w:hint="eastAsia" w:ascii="仿宋_GB2312" w:eastAsia="仿宋_GB2312"/>
          <w:sz w:val="30"/>
          <w:szCs w:val="30"/>
        </w:rPr>
        <w:t>（以下简称《风控指引》）</w:t>
      </w:r>
      <w:r>
        <w:rPr>
          <w:rFonts w:hint="eastAsia" w:ascii="仿宋_GB2312" w:eastAsia="仿宋_GB2312"/>
          <w:color w:val="000000"/>
          <w:sz w:val="30"/>
          <w:szCs w:val="30"/>
        </w:rPr>
        <w:t>和《上海证券交易所债券市场投资者适当性管理办法》等</w:t>
      </w:r>
      <w:r>
        <w:rPr>
          <w:rFonts w:hint="eastAsia" w:ascii="仿宋_GB2312" w:eastAsia="仿宋_GB2312"/>
          <w:sz w:val="30"/>
          <w:szCs w:val="30"/>
        </w:rPr>
        <w:t>相关</w:t>
      </w:r>
      <w:r>
        <w:rPr>
          <w:rFonts w:hint="eastAsia" w:ascii="仿宋_GB2312" w:eastAsia="仿宋_GB2312"/>
          <w:color w:val="000000"/>
          <w:sz w:val="30"/>
          <w:szCs w:val="30"/>
        </w:rPr>
        <w:t>规定，实行投资者适当性管理。</w:t>
      </w:r>
    </w:p>
    <w:p w14:paraId="1402E054">
      <w:pPr>
        <w:pStyle w:val="3"/>
        <w:widowControl w:val="0"/>
        <w:numPr>
          <w:ilvl w:val="1"/>
          <w:numId w:val="0"/>
        </w:numPr>
        <w:shd w:val="clear" w:color="auto" w:fill="FFFFFF"/>
        <w:spacing w:before="0" w:beforeAutospacing="0" w:after="0" w:afterAutospacing="0" w:line="560" w:lineRule="exact"/>
        <w:ind w:left="0" w:leftChars="0" w:firstLine="602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default" w:ascii="Calibri" w:hAnsi="Calibri" w:eastAsia="仿宋_GB2312" w:cs="Times New Roman"/>
          <w:b/>
          <w:i w:val="0"/>
          <w:color w:val="auto"/>
          <w:kern w:val="0"/>
          <w:sz w:val="30"/>
          <w:szCs w:val="30"/>
          <w:lang w:val="en-US" w:eastAsia="zh-CN" w:bidi="ar-SA"/>
        </w:rPr>
        <w:t>第五条</w:t>
      </w:r>
      <w:r>
        <w:rPr>
          <w:rFonts w:hint="eastAsia" w:ascii="仿宋_GB2312" w:eastAsia="仿宋_GB2312"/>
          <w:sz w:val="30"/>
          <w:szCs w:val="30"/>
        </w:rPr>
        <w:t>通过经纪业务模式</w:t>
      </w:r>
      <w:r>
        <w:rPr>
          <w:rFonts w:hint="eastAsia" w:ascii="仿宋_GB2312" w:eastAsia="仿宋_GB2312"/>
          <w:color w:val="000000"/>
          <w:sz w:val="30"/>
          <w:szCs w:val="30"/>
        </w:rPr>
        <w:t>参与通用回购交易</w:t>
      </w:r>
      <w:r>
        <w:rPr>
          <w:rFonts w:hint="eastAsia" w:ascii="仿宋_GB2312" w:eastAsia="仿宋_GB2312"/>
          <w:sz w:val="30"/>
          <w:szCs w:val="30"/>
        </w:rPr>
        <w:t>的经纪客户</w:t>
      </w:r>
      <w:r>
        <w:rPr>
          <w:rFonts w:hint="eastAsia" w:ascii="仿宋_GB2312" w:eastAsia="仿宋_GB2312"/>
          <w:color w:val="000000"/>
          <w:sz w:val="30"/>
          <w:szCs w:val="30"/>
        </w:rPr>
        <w:t>，应当与其指定交易的会员签署回购委托协议。回购委托协议应当约定会员与其经纪客户之间的权利义务、交易结算流程、违约情形认定以及违约处置方案等内容，并符合相关市场自律组织的规定。</w:t>
      </w:r>
    </w:p>
    <w:p w14:paraId="5367BF7A">
      <w:pPr>
        <w:pStyle w:val="3"/>
        <w:widowControl w:val="0"/>
        <w:numPr>
          <w:ilvl w:val="1"/>
          <w:numId w:val="0"/>
        </w:numPr>
        <w:shd w:val="clear" w:color="auto" w:fill="FFFFFF"/>
        <w:spacing w:before="0" w:beforeAutospacing="0" w:after="0" w:afterAutospacing="0" w:line="560" w:lineRule="exact"/>
        <w:ind w:left="0" w:leftChars="0" w:firstLine="602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default" w:ascii="Calibri" w:hAnsi="Calibri" w:eastAsia="仿宋_GB2312" w:cs="Times New Roman"/>
          <w:b/>
          <w:i w:val="0"/>
          <w:color w:val="auto"/>
          <w:kern w:val="0"/>
          <w:sz w:val="30"/>
          <w:szCs w:val="30"/>
          <w:lang w:val="en-US" w:eastAsia="zh-CN" w:bidi="ar-SA"/>
        </w:rPr>
        <w:t>第六条</w:t>
      </w:r>
      <w:r>
        <w:rPr>
          <w:rFonts w:hint="eastAsia" w:ascii="仿宋_GB2312" w:eastAsia="仿宋_GB2312"/>
          <w:sz w:val="30"/>
          <w:szCs w:val="30"/>
        </w:rPr>
        <w:t>质押券的质押申报通过本所债券交易系统（以下简称交易系统）提交</w:t>
      </w:r>
      <w:r>
        <w:rPr>
          <w:rFonts w:hint="eastAsia" w:ascii="仿宋_GB2312" w:eastAsia="仿宋_GB2312"/>
          <w:color w:val="000000"/>
          <w:sz w:val="30"/>
          <w:szCs w:val="30"/>
        </w:rPr>
        <w:t>。质押申报要素包括证券代码、数量、证券账户号码等内容。</w:t>
      </w:r>
    </w:p>
    <w:p w14:paraId="6FAB13E7">
      <w:pPr>
        <w:pStyle w:val="3"/>
        <w:widowControl w:val="0"/>
        <w:numPr>
          <w:ilvl w:val="1"/>
          <w:numId w:val="0"/>
        </w:numPr>
        <w:shd w:val="clear" w:color="auto" w:fill="FFFFFF"/>
        <w:spacing w:before="0" w:beforeAutospacing="0" w:after="0" w:afterAutospacing="0" w:line="560" w:lineRule="exact"/>
        <w:ind w:left="0" w:leftChars="0" w:firstLine="602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default" w:ascii="Calibri" w:hAnsi="Calibri" w:eastAsia="仿宋_GB2312" w:cs="Times New Roman"/>
          <w:b/>
          <w:i w:val="0"/>
          <w:color w:val="auto"/>
          <w:kern w:val="0"/>
          <w:sz w:val="30"/>
          <w:szCs w:val="30"/>
          <w:lang w:val="en-US" w:eastAsia="zh-CN" w:bidi="ar-SA"/>
        </w:rPr>
        <w:t>第七条</w:t>
      </w:r>
      <w:r>
        <w:rPr>
          <w:rFonts w:hint="eastAsia" w:ascii="仿宋_GB2312" w:eastAsia="仿宋_GB2312"/>
          <w:sz w:val="30"/>
          <w:szCs w:val="30"/>
        </w:rPr>
        <w:t>正回购方申报的质押券品种应当符合</w:t>
      </w:r>
      <w:r>
        <w:rPr>
          <w:rFonts w:hint="eastAsia" w:ascii="仿宋_GB2312" w:eastAsia="仿宋_GB2312"/>
          <w:color w:val="000000"/>
          <w:sz w:val="30"/>
          <w:szCs w:val="30"/>
        </w:rPr>
        <w:t>登记结算机构关于质押券</w:t>
      </w:r>
      <w:r>
        <w:rPr>
          <w:rFonts w:hint="eastAsia" w:ascii="仿宋_GB2312" w:eastAsia="仿宋_GB2312"/>
          <w:sz w:val="30"/>
          <w:szCs w:val="30"/>
        </w:rPr>
        <w:t>准入</w:t>
      </w:r>
      <w:r>
        <w:rPr>
          <w:rFonts w:hint="eastAsia" w:ascii="仿宋_GB2312" w:eastAsia="仿宋_GB2312"/>
          <w:color w:val="000000"/>
          <w:sz w:val="30"/>
          <w:szCs w:val="30"/>
        </w:rPr>
        <w:t>标准的相关规定。本所可以根据市场和发行人情况的变化，</w:t>
      </w:r>
      <w:r>
        <w:rPr>
          <w:rFonts w:hint="eastAsia" w:ascii="仿宋_GB2312" w:eastAsia="仿宋_GB2312"/>
          <w:sz w:val="30"/>
          <w:szCs w:val="30"/>
        </w:rPr>
        <w:t>暂停有关债券用于通用回购交易</w:t>
      </w:r>
      <w:r>
        <w:rPr>
          <w:rFonts w:hint="eastAsia" w:ascii="仿宋_GB2312" w:eastAsia="仿宋_GB2312"/>
          <w:color w:val="000000"/>
          <w:sz w:val="30"/>
          <w:szCs w:val="30"/>
        </w:rPr>
        <w:t>。</w:t>
      </w:r>
    </w:p>
    <w:p w14:paraId="305AA981">
      <w:pPr>
        <w:pStyle w:val="3"/>
        <w:widowControl w:val="0"/>
        <w:shd w:val="clear" w:color="auto" w:fill="FFFFFF"/>
        <w:spacing w:before="0" w:beforeAutospacing="0" w:after="0" w:afterAutospacing="0" w:line="560" w:lineRule="exact"/>
        <w:ind w:firstLine="600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经纪业务模式下，</w:t>
      </w:r>
      <w:r>
        <w:rPr>
          <w:rFonts w:hint="eastAsia" w:ascii="仿宋_GB2312" w:eastAsia="仿宋_GB2312"/>
          <w:color w:val="000000"/>
          <w:sz w:val="30"/>
          <w:szCs w:val="30"/>
        </w:rPr>
        <w:t>会员应当在符合前述规定的前提下，根据其经</w:t>
      </w:r>
      <w:r>
        <w:rPr>
          <w:rFonts w:hint="eastAsia" w:ascii="仿宋_GB2312" w:eastAsia="仿宋_GB2312"/>
          <w:sz w:val="30"/>
          <w:szCs w:val="30"/>
        </w:rPr>
        <w:t>纪</w:t>
      </w:r>
      <w:r>
        <w:rPr>
          <w:rFonts w:hint="eastAsia" w:ascii="仿宋_GB2312" w:eastAsia="仿宋_GB2312"/>
          <w:color w:val="000000"/>
          <w:sz w:val="30"/>
          <w:szCs w:val="30"/>
        </w:rPr>
        <w:t>客户的信用状况与风险承受能力，明确经纪客户适用的</w:t>
      </w:r>
      <w:r>
        <w:rPr>
          <w:rFonts w:hint="eastAsia" w:ascii="仿宋_GB2312" w:eastAsia="仿宋_GB2312"/>
          <w:sz w:val="30"/>
          <w:szCs w:val="30"/>
        </w:rPr>
        <w:t>质押券准入</w:t>
      </w:r>
      <w:r>
        <w:rPr>
          <w:rFonts w:hint="eastAsia" w:ascii="仿宋_GB2312" w:eastAsia="仿宋_GB2312"/>
          <w:color w:val="000000"/>
          <w:sz w:val="30"/>
          <w:szCs w:val="30"/>
        </w:rPr>
        <w:t>标准，并对其证券账户内可用于通用回购交易的融资额度进行检查。</w:t>
      </w:r>
    </w:p>
    <w:p w14:paraId="670337E9">
      <w:pPr>
        <w:pStyle w:val="3"/>
        <w:widowControl w:val="0"/>
        <w:numPr>
          <w:ilvl w:val="1"/>
          <w:numId w:val="0"/>
        </w:numPr>
        <w:shd w:val="clear" w:color="auto" w:fill="FFFFFF"/>
        <w:spacing w:before="0" w:beforeAutospacing="0" w:after="0" w:afterAutospacing="0" w:line="560" w:lineRule="exact"/>
        <w:ind w:left="0" w:leftChars="0" w:firstLine="602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default" w:ascii="Calibri" w:hAnsi="Calibri" w:eastAsia="仿宋_GB2312" w:cs="Times New Roman"/>
          <w:b/>
          <w:i w:val="0"/>
          <w:color w:val="auto"/>
          <w:kern w:val="0"/>
          <w:sz w:val="30"/>
          <w:szCs w:val="30"/>
          <w:lang w:val="en-US" w:eastAsia="zh-CN" w:bidi="ar-SA"/>
        </w:rPr>
        <w:t>第八条</w:t>
      </w:r>
      <w:r>
        <w:rPr>
          <w:rFonts w:hint="eastAsia" w:ascii="仿宋_GB2312" w:eastAsia="仿宋_GB2312"/>
          <w:sz w:val="30"/>
          <w:szCs w:val="30"/>
        </w:rPr>
        <w:t>质押券应当</w:t>
      </w:r>
      <w:r>
        <w:rPr>
          <w:rFonts w:hint="eastAsia" w:ascii="仿宋_GB2312" w:eastAsia="仿宋_GB2312"/>
          <w:color w:val="000000"/>
          <w:sz w:val="30"/>
          <w:szCs w:val="30"/>
        </w:rPr>
        <w:t>依据登记结算机构的相关规定，转移至质押券保管库</w:t>
      </w:r>
      <w:r>
        <w:rPr>
          <w:rFonts w:hint="eastAsia" w:ascii="仿宋_GB2312" w:eastAsia="仿宋_GB2312"/>
          <w:sz w:val="30"/>
          <w:szCs w:val="30"/>
        </w:rPr>
        <w:t>（以下简称质押库）。</w:t>
      </w:r>
      <w:r>
        <w:rPr>
          <w:rFonts w:hint="eastAsia" w:ascii="仿宋_GB2312" w:eastAsia="仿宋_GB2312"/>
          <w:color w:val="000000"/>
          <w:sz w:val="30"/>
          <w:szCs w:val="30"/>
        </w:rPr>
        <w:t>质押券转移至质</w:t>
      </w:r>
      <w:r>
        <w:rPr>
          <w:rFonts w:hint="eastAsia" w:ascii="仿宋_GB2312" w:eastAsia="仿宋_GB2312"/>
          <w:sz w:val="30"/>
          <w:szCs w:val="30"/>
        </w:rPr>
        <w:t>押库（以下</w:t>
      </w:r>
      <w:r>
        <w:rPr>
          <w:rFonts w:hint="eastAsia" w:ascii="仿宋_GB2312" w:eastAsia="仿宋_GB2312"/>
          <w:color w:val="000000"/>
          <w:sz w:val="30"/>
          <w:szCs w:val="30"/>
        </w:rPr>
        <w:t>简称入库）后，正回购方的可用融资额度相应增加，增</w:t>
      </w:r>
      <w:r>
        <w:rPr>
          <w:rFonts w:hint="eastAsia" w:ascii="仿宋_GB2312" w:eastAsia="仿宋_GB2312"/>
          <w:sz w:val="30"/>
          <w:szCs w:val="30"/>
        </w:rPr>
        <w:t>加额度为入库债券按照相应质押券折算率计算出的质押券价值。</w:t>
      </w:r>
    </w:p>
    <w:p w14:paraId="239CC6FE">
      <w:pPr>
        <w:pStyle w:val="3"/>
        <w:widowControl w:val="0"/>
        <w:numPr>
          <w:ilvl w:val="1"/>
          <w:numId w:val="0"/>
        </w:numPr>
        <w:shd w:val="clear" w:color="auto" w:fill="FFFFFF"/>
        <w:spacing w:before="0" w:beforeAutospacing="0" w:after="0" w:afterAutospacing="0" w:line="560" w:lineRule="exact"/>
        <w:ind w:left="0" w:leftChars="0" w:firstLine="602" w:firstLineChars="200"/>
        <w:jc w:val="both"/>
        <w:rPr>
          <w:rFonts w:ascii="仿宋_GB2312" w:eastAsia="仿宋_GB2312"/>
          <w:sz w:val="30"/>
        </w:rPr>
      </w:pPr>
      <w:r>
        <w:rPr>
          <w:rFonts w:hint="default" w:ascii="Calibri" w:hAnsi="Calibri" w:eastAsia="仿宋_GB2312" w:cs="Times New Roman"/>
          <w:b/>
          <w:i w:val="0"/>
          <w:color w:val="auto"/>
          <w:kern w:val="0"/>
          <w:sz w:val="30"/>
          <w:szCs w:val="24"/>
          <w:lang w:val="en-US" w:eastAsia="zh-CN" w:bidi="ar-SA"/>
        </w:rPr>
        <w:t>第九条</w:t>
      </w:r>
      <w:r>
        <w:rPr>
          <w:rFonts w:hint="eastAsia" w:ascii="仿宋_GB2312" w:eastAsia="仿宋_GB2312"/>
          <w:sz w:val="30"/>
          <w:szCs w:val="30"/>
        </w:rPr>
        <w:t>质权自登记结算机构将质押券转入质押库、进行出质登记时设立。</w:t>
      </w:r>
      <w:r>
        <w:rPr>
          <w:rFonts w:hint="eastAsia" w:ascii="仿宋_GB2312" w:eastAsia="仿宋_GB2312"/>
          <w:color w:val="000000"/>
          <w:sz w:val="30"/>
          <w:szCs w:val="30"/>
        </w:rPr>
        <w:t>前述质</w:t>
      </w:r>
      <w:r>
        <w:rPr>
          <w:rFonts w:hint="eastAsia" w:ascii="仿宋_GB2312" w:eastAsia="仿宋_GB2312"/>
          <w:sz w:val="30"/>
          <w:szCs w:val="30"/>
        </w:rPr>
        <w:t>权的担</w:t>
      </w:r>
      <w:r>
        <w:rPr>
          <w:rFonts w:hint="eastAsia" w:ascii="仿宋_GB2312" w:eastAsia="仿宋_GB2312"/>
          <w:color w:val="000000"/>
          <w:sz w:val="30"/>
          <w:szCs w:val="30"/>
        </w:rPr>
        <w:t>保</w:t>
      </w:r>
      <w:r>
        <w:rPr>
          <w:rFonts w:hint="eastAsia" w:ascii="仿宋_GB2312" w:eastAsia="仿宋_GB2312"/>
          <w:sz w:val="30"/>
          <w:szCs w:val="30"/>
        </w:rPr>
        <w:t>范围包括质权人享有的债权、利息、违约金以及处置质押券产生的全部税费等</w:t>
      </w:r>
      <w:r>
        <w:rPr>
          <w:rFonts w:hint="eastAsia" w:ascii="仿宋_GB2312" w:eastAsia="仿宋_GB2312"/>
          <w:sz w:val="30"/>
        </w:rPr>
        <w:t>。</w:t>
      </w:r>
    </w:p>
    <w:p w14:paraId="2867EBBE">
      <w:pPr>
        <w:pStyle w:val="3"/>
        <w:widowControl w:val="0"/>
        <w:numPr>
          <w:ilvl w:val="1"/>
          <w:numId w:val="0"/>
        </w:numPr>
        <w:shd w:val="clear" w:color="auto" w:fill="FFFFFF"/>
        <w:spacing w:before="0" w:beforeAutospacing="0" w:after="0" w:afterAutospacing="0" w:line="560" w:lineRule="exact"/>
        <w:ind w:left="0" w:leftChars="0" w:firstLine="602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default" w:ascii="Calibri" w:hAnsi="Calibri" w:eastAsia="仿宋_GB2312" w:cs="Times New Roman"/>
          <w:b/>
          <w:i w:val="0"/>
          <w:color w:val="auto"/>
          <w:kern w:val="0"/>
          <w:sz w:val="30"/>
          <w:szCs w:val="30"/>
          <w:lang w:val="en-US" w:eastAsia="zh-CN" w:bidi="ar-SA"/>
        </w:rPr>
        <w:t>第十条</w:t>
      </w:r>
      <w:r>
        <w:rPr>
          <w:rFonts w:hint="eastAsia" w:ascii="仿宋_GB2312" w:eastAsia="仿宋_GB2312"/>
          <w:color w:val="000000"/>
          <w:sz w:val="30"/>
          <w:szCs w:val="30"/>
        </w:rPr>
        <w:t>质押券对应的融资额度有剩余的，正回购方可以通过交易系统申报解除相应质押券的质押，</w:t>
      </w:r>
      <w:r>
        <w:rPr>
          <w:rFonts w:hint="eastAsia" w:ascii="仿宋_GB2312" w:eastAsia="仿宋_GB2312"/>
          <w:sz w:val="30"/>
          <w:szCs w:val="30"/>
        </w:rPr>
        <w:t>质押券依据相</w:t>
      </w:r>
      <w:r>
        <w:rPr>
          <w:rFonts w:hint="eastAsia" w:ascii="仿宋_GB2312" w:eastAsia="仿宋_GB2312"/>
          <w:color w:val="000000"/>
          <w:sz w:val="30"/>
          <w:szCs w:val="30"/>
        </w:rPr>
        <w:t>关规定从质押库转回原证券账户</w:t>
      </w:r>
      <w:r>
        <w:rPr>
          <w:rFonts w:hint="eastAsia" w:ascii="仿宋_GB2312" w:eastAsia="仿宋_GB2312"/>
          <w:sz w:val="30"/>
          <w:szCs w:val="30"/>
        </w:rPr>
        <w:t>（以下简称出库）</w:t>
      </w:r>
      <w:r>
        <w:rPr>
          <w:rFonts w:hint="eastAsia" w:ascii="仿宋_GB2312" w:eastAsia="仿宋_GB2312"/>
          <w:sz w:val="30"/>
        </w:rPr>
        <w:t>。解除质押申报要素</w:t>
      </w:r>
      <w:r>
        <w:rPr>
          <w:rFonts w:hint="eastAsia" w:ascii="仿宋_GB2312" w:eastAsia="仿宋_GB2312"/>
          <w:color w:val="000000"/>
          <w:sz w:val="30"/>
          <w:szCs w:val="30"/>
        </w:rPr>
        <w:t>包括证券代码、数量、证券账户号码等内容。</w:t>
      </w:r>
    </w:p>
    <w:p w14:paraId="38F953FE">
      <w:pPr>
        <w:pStyle w:val="3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0" w:firstLineChars="200"/>
        <w:jc w:val="both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质押券出库后，正回购方的可用融资额度相应扣减</w:t>
      </w:r>
      <w:r>
        <w:rPr>
          <w:rFonts w:hint="eastAsia" w:ascii="仿宋_GB2312" w:eastAsia="仿宋_GB2312"/>
          <w:sz w:val="30"/>
        </w:rPr>
        <w:t>，扣减额度为转回债券依据质押券折算率计算出的质押券价值。</w:t>
      </w:r>
    </w:p>
    <w:p w14:paraId="138C1CC1">
      <w:pPr>
        <w:pStyle w:val="3"/>
        <w:widowControl w:val="0"/>
        <w:numPr>
          <w:ilvl w:val="1"/>
          <w:numId w:val="0"/>
        </w:numPr>
        <w:shd w:val="clear" w:color="auto" w:fill="FFFFFF"/>
        <w:spacing w:before="0" w:beforeAutospacing="0" w:after="0" w:afterAutospacing="0" w:line="560" w:lineRule="exact"/>
        <w:ind w:left="0" w:leftChars="0" w:firstLine="602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default" w:ascii="Calibri" w:hAnsi="Calibri" w:eastAsia="仿宋_GB2312" w:cs="Times New Roman"/>
          <w:b/>
          <w:i w:val="0"/>
          <w:color w:val="auto"/>
          <w:kern w:val="0"/>
          <w:sz w:val="30"/>
          <w:szCs w:val="30"/>
          <w:lang w:val="en-US" w:eastAsia="zh-CN" w:bidi="ar-SA"/>
        </w:rPr>
        <w:t>第十一条</w:t>
      </w:r>
      <w:r>
        <w:rPr>
          <w:rFonts w:hint="eastAsia" w:ascii="仿宋_GB2312" w:eastAsia="仿宋_GB2312"/>
          <w:color w:val="000000"/>
          <w:sz w:val="30"/>
          <w:szCs w:val="30"/>
        </w:rPr>
        <w:t>当日买入的债券，当日可申报作为质押券</w:t>
      </w:r>
      <w:r>
        <w:rPr>
          <w:rFonts w:hint="eastAsia" w:ascii="仿宋_GB2312" w:eastAsia="仿宋_GB2312"/>
          <w:sz w:val="30"/>
          <w:szCs w:val="30"/>
        </w:rPr>
        <w:t>，且当日即可用于回购融资交易。</w:t>
      </w:r>
      <w:r>
        <w:rPr>
          <w:rFonts w:hint="eastAsia" w:ascii="仿宋_GB2312" w:eastAsia="仿宋_GB2312"/>
          <w:color w:val="000000"/>
          <w:sz w:val="30"/>
          <w:szCs w:val="30"/>
        </w:rPr>
        <w:t>当日申报解除质押并转回的债券，当日可以卖出或者再次申报入库。出入库结果以登记结算机构日终处理结果为准</w:t>
      </w:r>
      <w:r>
        <w:rPr>
          <w:rFonts w:hint="eastAsia" w:ascii="仿宋_GB2312" w:eastAsia="仿宋_GB2312"/>
          <w:sz w:val="30"/>
          <w:szCs w:val="30"/>
        </w:rPr>
        <w:t>。</w:t>
      </w:r>
    </w:p>
    <w:p w14:paraId="191C70A5">
      <w:pPr>
        <w:pStyle w:val="3"/>
        <w:widowControl w:val="0"/>
        <w:numPr>
          <w:ilvl w:val="1"/>
          <w:numId w:val="0"/>
        </w:numPr>
        <w:shd w:val="clear" w:color="auto" w:fill="FFFFFF"/>
        <w:spacing w:before="0" w:beforeAutospacing="0" w:after="0" w:afterAutospacing="0" w:line="560" w:lineRule="exact"/>
        <w:ind w:left="0" w:leftChars="0" w:firstLine="602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default" w:ascii="Calibri" w:hAnsi="Calibri" w:eastAsia="仿宋_GB2312" w:cs="Times New Roman"/>
          <w:b/>
          <w:i w:val="0"/>
          <w:color w:val="auto"/>
          <w:kern w:val="0"/>
          <w:sz w:val="30"/>
          <w:szCs w:val="30"/>
          <w:lang w:val="en-US" w:eastAsia="zh-CN" w:bidi="ar-SA"/>
        </w:rPr>
        <w:t>第十二条</w:t>
      </w:r>
      <w:r>
        <w:rPr>
          <w:rFonts w:hint="eastAsia" w:ascii="仿宋_GB2312" w:eastAsia="仿宋_GB2312"/>
          <w:color w:val="000000"/>
          <w:sz w:val="30"/>
          <w:szCs w:val="30"/>
        </w:rPr>
        <w:t>质押库内的</w:t>
      </w:r>
      <w:r>
        <w:rPr>
          <w:rFonts w:hint="eastAsia" w:ascii="仿宋_GB2312" w:eastAsia="仿宋_GB2312"/>
          <w:sz w:val="30"/>
          <w:szCs w:val="30"/>
        </w:rPr>
        <w:t>质押券</w:t>
      </w:r>
      <w:r>
        <w:rPr>
          <w:rFonts w:hint="eastAsia" w:ascii="仿宋_GB2312" w:eastAsia="仿宋_GB2312"/>
          <w:color w:val="000000"/>
          <w:sz w:val="30"/>
          <w:szCs w:val="30"/>
        </w:rPr>
        <w:t>在质押期</w:t>
      </w:r>
      <w:r>
        <w:rPr>
          <w:rFonts w:hint="eastAsia" w:ascii="仿宋_GB2312" w:eastAsia="仿宋_GB2312"/>
          <w:sz w:val="30"/>
          <w:szCs w:val="30"/>
        </w:rPr>
        <w:t>间，正回购方</w:t>
      </w:r>
      <w:r>
        <w:rPr>
          <w:rFonts w:hint="eastAsia" w:ascii="仿宋_GB2312" w:eastAsia="仿宋_GB2312"/>
          <w:color w:val="000000"/>
          <w:sz w:val="30"/>
          <w:szCs w:val="30"/>
        </w:rPr>
        <w:t>不得卖出、转股、换股或回售。</w:t>
      </w:r>
    </w:p>
    <w:p w14:paraId="00DF7BB7">
      <w:pPr>
        <w:pStyle w:val="3"/>
        <w:widowControl w:val="0"/>
        <w:shd w:val="clear" w:color="auto" w:fill="FFFFFF"/>
        <w:spacing w:before="0" w:beforeAutospacing="0" w:after="0" w:afterAutospacing="0" w:line="560" w:lineRule="exact"/>
        <w:ind w:firstLine="600" w:firstLineChars="200"/>
        <w:jc w:val="both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质押期</w:t>
      </w:r>
      <w:r>
        <w:rPr>
          <w:rFonts w:hint="eastAsia" w:ascii="仿宋_GB2312" w:eastAsia="仿宋_GB2312"/>
          <w:sz w:val="30"/>
          <w:szCs w:val="30"/>
        </w:rPr>
        <w:t>间</w:t>
      </w:r>
      <w:r>
        <w:rPr>
          <w:rFonts w:hint="eastAsia" w:ascii="仿宋_GB2312" w:eastAsia="仿宋_GB2312"/>
          <w:color w:val="000000"/>
          <w:sz w:val="30"/>
          <w:szCs w:val="30"/>
        </w:rPr>
        <w:t>，质押券发生派息、兑付等情形的，按照登记结算机构相关规则处理。</w:t>
      </w:r>
    </w:p>
    <w:p w14:paraId="12BE4580">
      <w:pPr>
        <w:pStyle w:val="3"/>
        <w:widowControl w:val="0"/>
        <w:numPr>
          <w:ilvl w:val="1"/>
          <w:numId w:val="0"/>
        </w:numPr>
        <w:shd w:val="clear" w:color="auto" w:fill="FFFFFF"/>
        <w:spacing w:before="0" w:beforeAutospacing="0" w:after="0" w:afterAutospacing="0" w:line="560" w:lineRule="exact"/>
        <w:ind w:left="0" w:leftChars="0" w:firstLine="602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default" w:ascii="Calibri" w:hAnsi="Calibri" w:eastAsia="仿宋_GB2312" w:cs="Times New Roman"/>
          <w:b/>
          <w:i w:val="0"/>
          <w:color w:val="auto"/>
          <w:kern w:val="0"/>
          <w:sz w:val="30"/>
          <w:szCs w:val="30"/>
          <w:lang w:val="en-US" w:eastAsia="zh-CN" w:bidi="ar-SA"/>
        </w:rPr>
        <w:t>第十三条</w:t>
      </w:r>
      <w:r>
        <w:rPr>
          <w:rFonts w:hint="eastAsia" w:ascii="仿宋_GB2312" w:eastAsia="仿宋_GB2312"/>
          <w:color w:val="000000"/>
          <w:sz w:val="30"/>
          <w:szCs w:val="30"/>
        </w:rPr>
        <w:t>通用回购的期限分为</w:t>
      </w:r>
      <w:r>
        <w:rPr>
          <w:rFonts w:ascii="仿宋_GB2312" w:eastAsia="仿宋_GB2312"/>
          <w:color w:val="000000"/>
          <w:sz w:val="30"/>
          <w:szCs w:val="30"/>
        </w:rPr>
        <w:t>1天、2天、3天、4天、7天、14天、28天、91天和182天等。</w:t>
      </w:r>
    </w:p>
    <w:p w14:paraId="297B4F68">
      <w:pPr>
        <w:pStyle w:val="3"/>
        <w:widowControl w:val="0"/>
        <w:shd w:val="clear" w:color="auto" w:fill="FFFFFF"/>
        <w:spacing w:before="0" w:beforeAutospacing="0" w:after="0" w:afterAutospacing="0" w:line="560" w:lineRule="exact"/>
        <w:ind w:firstLine="600" w:firstLineChars="200"/>
        <w:jc w:val="both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本所可以根据市场情况调整通用回购的期限。</w:t>
      </w:r>
    </w:p>
    <w:p w14:paraId="2A31867F">
      <w:pPr>
        <w:pStyle w:val="3"/>
        <w:widowControl w:val="0"/>
        <w:numPr>
          <w:ilvl w:val="1"/>
          <w:numId w:val="0"/>
        </w:numPr>
        <w:shd w:val="clear" w:color="auto" w:fill="FFFFFF"/>
        <w:spacing w:before="0" w:beforeAutospacing="0" w:after="0" w:afterAutospacing="0" w:line="560" w:lineRule="exact"/>
        <w:ind w:left="0" w:leftChars="0" w:firstLine="602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default" w:ascii="Calibri" w:hAnsi="Calibri" w:eastAsia="仿宋_GB2312" w:cs="Times New Roman"/>
          <w:b/>
          <w:i w:val="0"/>
          <w:color w:val="auto"/>
          <w:kern w:val="0"/>
          <w:sz w:val="30"/>
          <w:szCs w:val="30"/>
          <w:lang w:val="en-US" w:eastAsia="zh-CN" w:bidi="ar-SA"/>
        </w:rPr>
        <w:t>第十四条</w:t>
      </w:r>
      <w:r>
        <w:rPr>
          <w:rFonts w:hint="eastAsia" w:ascii="仿宋_GB2312" w:eastAsia="仿宋_GB2312"/>
          <w:color w:val="000000"/>
          <w:sz w:val="30"/>
          <w:szCs w:val="30"/>
        </w:rPr>
        <w:t>通用回购的证券代码为“</w:t>
      </w:r>
      <w:r>
        <w:rPr>
          <w:rFonts w:ascii="仿宋_GB2312" w:eastAsia="仿宋_GB2312"/>
          <w:color w:val="000000"/>
          <w:sz w:val="30"/>
          <w:szCs w:val="30"/>
        </w:rPr>
        <w:t>204***”，简称为“GC***”，其中后三位是以天数表示的通用回购期限。</w:t>
      </w:r>
    </w:p>
    <w:p w14:paraId="55A8EB2B">
      <w:pPr>
        <w:pStyle w:val="3"/>
        <w:widowControl w:val="0"/>
        <w:numPr>
          <w:ilvl w:val="1"/>
          <w:numId w:val="0"/>
        </w:numPr>
        <w:shd w:val="clear" w:color="auto" w:fill="FFFFFF"/>
        <w:spacing w:before="0" w:beforeAutospacing="0" w:after="0" w:afterAutospacing="0" w:line="560" w:lineRule="exact"/>
        <w:ind w:left="0" w:leftChars="0" w:firstLine="602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default" w:ascii="Calibri" w:hAnsi="Calibri" w:eastAsia="仿宋_GB2312" w:cs="Times New Roman"/>
          <w:b/>
          <w:i w:val="0"/>
          <w:color w:val="auto"/>
          <w:kern w:val="0"/>
          <w:sz w:val="30"/>
          <w:szCs w:val="30"/>
          <w:lang w:val="en-US" w:eastAsia="zh-CN" w:bidi="ar-SA"/>
        </w:rPr>
        <w:t>第十五条</w:t>
      </w:r>
      <w:r>
        <w:rPr>
          <w:rFonts w:hint="eastAsia" w:ascii="仿宋_GB2312" w:eastAsia="仿宋_GB2312"/>
          <w:color w:val="000000"/>
          <w:sz w:val="30"/>
          <w:szCs w:val="30"/>
        </w:rPr>
        <w:t>通用回购交易可以采用匹配成交、点击成交、询价成交、竞买成交、协商成交以及本所认可的其他交易方式达成。</w:t>
      </w:r>
    </w:p>
    <w:p w14:paraId="675F4EDA">
      <w:pPr>
        <w:pStyle w:val="3"/>
        <w:widowControl w:val="0"/>
        <w:numPr>
          <w:ilvl w:val="1"/>
          <w:numId w:val="0"/>
        </w:numPr>
        <w:shd w:val="clear" w:color="auto" w:fill="FFFFFF"/>
        <w:spacing w:before="0" w:beforeAutospacing="0" w:after="0" w:afterAutospacing="0" w:line="560" w:lineRule="exact"/>
        <w:ind w:left="0" w:leftChars="0" w:firstLine="602" w:firstLineChars="200"/>
        <w:jc w:val="both"/>
        <w:rPr>
          <w:rFonts w:ascii="仿宋_GB2312" w:eastAsia="仿宋_GB2312"/>
          <w:sz w:val="30"/>
        </w:rPr>
      </w:pPr>
      <w:r>
        <w:rPr>
          <w:rFonts w:hint="default" w:ascii="Calibri" w:hAnsi="Calibri" w:eastAsia="仿宋_GB2312" w:cs="Times New Roman"/>
          <w:b/>
          <w:i w:val="0"/>
          <w:color w:val="auto"/>
          <w:kern w:val="0"/>
          <w:sz w:val="30"/>
          <w:szCs w:val="24"/>
          <w:lang w:val="en-US" w:eastAsia="zh-CN" w:bidi="ar-SA"/>
        </w:rPr>
        <w:t>第十六条</w:t>
      </w:r>
      <w:r>
        <w:rPr>
          <w:rFonts w:hint="eastAsia" w:ascii="仿宋_GB2312" w:eastAsia="仿宋_GB2312"/>
          <w:sz w:val="30"/>
        </w:rPr>
        <w:t>通用回购交易的申报要素包括交易品种、交易方向、价格、数量、</w:t>
      </w:r>
      <w:r>
        <w:rPr>
          <w:rFonts w:hint="eastAsia" w:ascii="仿宋_GB2312" w:eastAsia="仿宋_GB2312"/>
          <w:sz w:val="30"/>
          <w:szCs w:val="30"/>
        </w:rPr>
        <w:t>证券账户号码等</w:t>
      </w:r>
      <w:r>
        <w:rPr>
          <w:rFonts w:hint="eastAsia" w:ascii="仿宋_GB2312" w:eastAsia="仿宋_GB2312"/>
          <w:sz w:val="30"/>
        </w:rPr>
        <w:t>。</w:t>
      </w:r>
    </w:p>
    <w:p w14:paraId="36027F9F">
      <w:pPr>
        <w:pStyle w:val="3"/>
        <w:widowControl w:val="0"/>
        <w:numPr>
          <w:ilvl w:val="255"/>
          <w:numId w:val="0"/>
        </w:numPr>
        <w:shd w:val="clear" w:color="auto" w:fill="FFFFFF"/>
        <w:spacing w:before="0" w:beforeAutospacing="0" w:after="0" w:afterAutospacing="0" w:line="560" w:lineRule="exact"/>
        <w:ind w:firstLine="600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通用回购交易中，正回购方申报的</w:t>
      </w:r>
      <w:r>
        <w:rPr>
          <w:rFonts w:hint="eastAsia" w:ascii="仿宋_GB2312" w:eastAsia="仿宋_GB2312"/>
          <w:sz w:val="30"/>
          <w:szCs w:val="30"/>
        </w:rPr>
        <w:t>交易</w:t>
      </w:r>
      <w:r>
        <w:rPr>
          <w:rFonts w:hint="eastAsia" w:ascii="仿宋_GB2312" w:eastAsia="仿宋_GB2312"/>
          <w:color w:val="000000"/>
          <w:sz w:val="30"/>
          <w:szCs w:val="30"/>
        </w:rPr>
        <w:t>方向为买入，逆回购方申报的</w:t>
      </w:r>
      <w:r>
        <w:rPr>
          <w:rFonts w:hint="eastAsia" w:ascii="仿宋_GB2312" w:eastAsia="仿宋_GB2312"/>
          <w:sz w:val="30"/>
          <w:szCs w:val="30"/>
        </w:rPr>
        <w:t>交易</w:t>
      </w:r>
      <w:r>
        <w:rPr>
          <w:rFonts w:hint="eastAsia" w:ascii="仿宋_GB2312" w:eastAsia="仿宋_GB2312"/>
          <w:color w:val="000000"/>
          <w:sz w:val="30"/>
          <w:szCs w:val="30"/>
        </w:rPr>
        <w:t>方向为卖出。</w:t>
      </w:r>
    </w:p>
    <w:p w14:paraId="0A98A3E3">
      <w:pPr>
        <w:pStyle w:val="3"/>
        <w:widowControl w:val="0"/>
        <w:numPr>
          <w:ilvl w:val="1"/>
          <w:numId w:val="0"/>
        </w:numPr>
        <w:shd w:val="clear" w:color="auto" w:fill="FFFFFF"/>
        <w:spacing w:before="0" w:beforeAutospacing="0" w:after="0" w:afterAutospacing="0" w:line="560" w:lineRule="exact"/>
        <w:ind w:left="0" w:leftChars="0" w:firstLine="602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default" w:ascii="Calibri" w:hAnsi="Calibri" w:eastAsia="仿宋_GB2312" w:cs="Times New Roman"/>
          <w:b/>
          <w:i w:val="0"/>
          <w:color w:val="auto"/>
          <w:kern w:val="0"/>
          <w:sz w:val="30"/>
          <w:szCs w:val="30"/>
          <w:lang w:val="en-US" w:eastAsia="zh-CN" w:bidi="ar-SA"/>
        </w:rPr>
        <w:t>第十七条</w:t>
      </w:r>
      <w:r>
        <w:rPr>
          <w:rFonts w:hint="eastAsia" w:ascii="仿宋_GB2312" w:eastAsia="仿宋_GB2312"/>
          <w:color w:val="000000"/>
          <w:sz w:val="30"/>
          <w:szCs w:val="30"/>
        </w:rPr>
        <w:t>正回购方可以在</w:t>
      </w:r>
      <w:r>
        <w:rPr>
          <w:rFonts w:hint="eastAsia" w:ascii="仿宋_GB2312" w:eastAsia="仿宋_GB2312"/>
          <w:sz w:val="30"/>
          <w:szCs w:val="30"/>
        </w:rPr>
        <w:t>其</w:t>
      </w:r>
      <w:r>
        <w:rPr>
          <w:rFonts w:hint="eastAsia" w:ascii="仿宋_GB2312" w:eastAsia="仿宋_GB2312"/>
          <w:color w:val="000000"/>
          <w:sz w:val="30"/>
          <w:szCs w:val="30"/>
        </w:rPr>
        <w:t>质押券对应的融资额度内进行融资回购交易申报。</w:t>
      </w:r>
      <w:r>
        <w:rPr>
          <w:rFonts w:hint="eastAsia" w:ascii="仿宋_GB2312" w:eastAsia="仿宋_GB2312"/>
          <w:sz w:val="30"/>
          <w:szCs w:val="30"/>
        </w:rPr>
        <w:t>质押券余额不足的，通用回购融资交易的申报无效。</w:t>
      </w:r>
    </w:p>
    <w:p w14:paraId="0DC6E7E0">
      <w:pPr>
        <w:pStyle w:val="3"/>
        <w:widowControl w:val="0"/>
        <w:shd w:val="clear" w:color="auto" w:fill="FFFFFF"/>
        <w:spacing w:before="0" w:beforeAutospacing="0" w:after="0" w:afterAutospacing="0" w:line="560" w:lineRule="exact"/>
        <w:ind w:firstLine="600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通用回购交易达成后，正回购方</w:t>
      </w:r>
      <w:r>
        <w:rPr>
          <w:rFonts w:hint="eastAsia" w:ascii="仿宋_GB2312" w:eastAsia="仿宋_GB2312"/>
          <w:sz w:val="30"/>
          <w:szCs w:val="30"/>
        </w:rPr>
        <w:t>的</w:t>
      </w:r>
      <w:r>
        <w:rPr>
          <w:rFonts w:hint="eastAsia" w:ascii="仿宋_GB2312" w:eastAsia="仿宋_GB2312"/>
          <w:color w:val="000000"/>
          <w:sz w:val="30"/>
          <w:szCs w:val="30"/>
        </w:rPr>
        <w:t>可用融资额度相应扣减。</w:t>
      </w:r>
    </w:p>
    <w:p w14:paraId="386BE738">
      <w:pPr>
        <w:pStyle w:val="3"/>
        <w:widowControl w:val="0"/>
        <w:numPr>
          <w:ilvl w:val="1"/>
          <w:numId w:val="0"/>
        </w:numPr>
        <w:shd w:val="clear" w:color="auto" w:fill="FFFFFF"/>
        <w:spacing w:before="0" w:beforeAutospacing="0" w:after="0" w:afterAutospacing="0" w:line="560" w:lineRule="exact"/>
        <w:ind w:left="0" w:leftChars="0" w:firstLine="602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default" w:ascii="Calibri" w:hAnsi="Calibri" w:eastAsia="仿宋_GB2312" w:cs="Times New Roman"/>
          <w:b/>
          <w:i w:val="0"/>
          <w:color w:val="auto"/>
          <w:kern w:val="0"/>
          <w:sz w:val="30"/>
          <w:szCs w:val="30"/>
          <w:lang w:val="en-US" w:eastAsia="zh-CN" w:bidi="ar-SA"/>
        </w:rPr>
        <w:t>第十八条</w:t>
      </w:r>
      <w:r>
        <w:rPr>
          <w:rFonts w:hint="eastAsia" w:ascii="仿宋_GB2312" w:eastAsia="仿宋_GB2312"/>
          <w:color w:val="000000"/>
          <w:sz w:val="30"/>
          <w:szCs w:val="30"/>
        </w:rPr>
        <w:t>通用回购的价格单位为“每百元资金到期年收益”。采用匹配成交方式的，申报价格最小变动单位为</w:t>
      </w:r>
      <w:r>
        <w:rPr>
          <w:rFonts w:ascii="仿宋_GB2312" w:eastAsia="仿宋_GB2312"/>
          <w:color w:val="000000"/>
          <w:sz w:val="30"/>
          <w:szCs w:val="30"/>
        </w:rPr>
        <w:t>0.005元；采用其他成交方式的，申报价格最小变动单位为0.0001元。</w:t>
      </w:r>
    </w:p>
    <w:p w14:paraId="2C29E001">
      <w:pPr>
        <w:pStyle w:val="3"/>
        <w:shd w:val="clear" w:color="auto" w:fill="FFFFFF"/>
        <w:spacing w:before="0" w:beforeAutospacing="0" w:after="0" w:afterAutospacing="0" w:line="560" w:lineRule="exact"/>
        <w:ind w:firstLine="600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本所可以</w:t>
      </w:r>
      <w:r>
        <w:rPr>
          <w:rFonts w:hint="eastAsia" w:ascii="仿宋_GB2312" w:eastAsia="仿宋_GB2312"/>
          <w:sz w:val="30"/>
          <w:szCs w:val="30"/>
        </w:rPr>
        <w:t>根据市场情况</w:t>
      </w:r>
      <w:r>
        <w:rPr>
          <w:rFonts w:hint="eastAsia" w:ascii="仿宋_GB2312" w:eastAsia="仿宋_GB2312"/>
          <w:color w:val="000000"/>
          <w:sz w:val="30"/>
          <w:szCs w:val="30"/>
        </w:rPr>
        <w:t>调整通用回购的价格最小变动单位。</w:t>
      </w:r>
    </w:p>
    <w:p w14:paraId="4E22B545">
      <w:pPr>
        <w:pStyle w:val="3"/>
        <w:widowControl w:val="0"/>
        <w:numPr>
          <w:ilvl w:val="1"/>
          <w:numId w:val="0"/>
        </w:numPr>
        <w:shd w:val="clear" w:color="auto" w:fill="FFFFFF"/>
        <w:spacing w:before="0" w:beforeAutospacing="0" w:after="0" w:afterAutospacing="0" w:line="560" w:lineRule="exact"/>
        <w:ind w:left="0" w:leftChars="0" w:firstLine="602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default" w:ascii="Calibri" w:hAnsi="Calibri" w:eastAsia="仿宋_GB2312" w:cs="Times New Roman"/>
          <w:b/>
          <w:i w:val="0"/>
          <w:color w:val="auto"/>
          <w:kern w:val="0"/>
          <w:sz w:val="30"/>
          <w:szCs w:val="30"/>
          <w:lang w:val="en-US" w:eastAsia="zh-CN" w:bidi="ar-SA"/>
        </w:rPr>
        <w:t>第十九条</w:t>
      </w:r>
      <w:r>
        <w:rPr>
          <w:rFonts w:hint="eastAsia" w:ascii="仿宋_GB2312" w:eastAsia="仿宋_GB2312"/>
          <w:color w:val="000000"/>
          <w:sz w:val="30"/>
          <w:szCs w:val="30"/>
        </w:rPr>
        <w:t>通用回购采用匹配成交的，在集合匹配阶段，</w:t>
      </w:r>
      <w:r>
        <w:rPr>
          <w:rFonts w:hint="eastAsia" w:ascii="仿宋_GB2312" w:hAnsi="Times New Roman" w:eastAsia="仿宋_GB2312"/>
          <w:color w:val="000000"/>
          <w:sz w:val="30"/>
          <w:szCs w:val="30"/>
        </w:rPr>
        <w:t>有效申报价格范围为前收盘价的上</w:t>
      </w:r>
      <w:r>
        <w:rPr>
          <w:rFonts w:hint="eastAsia" w:ascii="仿宋_GB2312" w:eastAsia="仿宋_GB2312"/>
          <w:color w:val="000000"/>
          <w:sz w:val="30"/>
        </w:rPr>
        <w:t>下</w:t>
      </w:r>
      <w:r>
        <w:rPr>
          <w:rFonts w:ascii="仿宋_GB2312" w:eastAsia="仿宋_GB2312"/>
          <w:color w:val="000000"/>
          <w:sz w:val="30"/>
        </w:rPr>
        <w:t>100%</w:t>
      </w:r>
      <w:r>
        <w:rPr>
          <w:rFonts w:hint="eastAsia" w:ascii="仿宋_GB2312" w:hAnsi="Times New Roman" w:eastAsia="仿宋_GB2312"/>
          <w:sz w:val="30"/>
          <w:szCs w:val="30"/>
        </w:rPr>
        <w:t>；连续匹配阶段，</w:t>
      </w:r>
      <w:r>
        <w:rPr>
          <w:rFonts w:hint="eastAsia" w:ascii="仿宋_GB2312" w:eastAsia="仿宋_GB2312"/>
          <w:color w:val="000000"/>
          <w:sz w:val="30"/>
          <w:szCs w:val="30"/>
        </w:rPr>
        <w:t>有效申报价格不得高于匹配成交最新成交价格</w:t>
      </w:r>
      <w:r>
        <w:rPr>
          <w:rFonts w:ascii="仿宋_GB2312" w:eastAsia="仿宋_GB2312"/>
          <w:color w:val="000000"/>
          <w:sz w:val="30"/>
          <w:szCs w:val="30"/>
        </w:rPr>
        <w:t>100个基点。</w:t>
      </w:r>
    </w:p>
    <w:p w14:paraId="712C8322">
      <w:pPr>
        <w:pStyle w:val="3"/>
        <w:shd w:val="clear" w:color="auto" w:fill="FFFFFF"/>
        <w:spacing w:before="0" w:beforeAutospacing="0" w:after="0" w:afterAutospacing="0" w:line="560" w:lineRule="exact"/>
        <w:ind w:firstLine="600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在集合匹配阶段、连续匹配阶段没有达成交易的，连续匹配阶段按照下列方式调整有效申报价格范围：最高买入申报价格高于前收盘价的，以最高买入申报价格为基准调整有效申报价格范围；最低卖出申报价格低于前收盘价的，以最低卖出申报价格为基准调整有效申报价格范围。</w:t>
      </w:r>
    </w:p>
    <w:p w14:paraId="3CF3824B">
      <w:pPr>
        <w:pStyle w:val="3"/>
        <w:widowControl w:val="0"/>
        <w:numPr>
          <w:ilvl w:val="1"/>
          <w:numId w:val="0"/>
        </w:numPr>
        <w:shd w:val="clear" w:color="auto" w:fill="FFFFFF"/>
        <w:spacing w:before="0" w:beforeAutospacing="0" w:after="0" w:afterAutospacing="0" w:line="560" w:lineRule="exact"/>
        <w:ind w:left="0" w:leftChars="0" w:firstLine="602" w:firstLineChars="200"/>
        <w:jc w:val="both"/>
        <w:rPr>
          <w:rFonts w:ascii="仿宋_GB2312" w:eastAsia="仿宋_GB2312"/>
          <w:sz w:val="30"/>
          <w:szCs w:val="30"/>
        </w:rPr>
      </w:pPr>
      <w:r>
        <w:rPr>
          <w:rFonts w:hint="default" w:ascii="Calibri" w:hAnsi="Calibri" w:eastAsia="仿宋_GB2312" w:cs="Times New Roman"/>
          <w:b/>
          <w:i w:val="0"/>
          <w:color w:val="auto"/>
          <w:kern w:val="0"/>
          <w:sz w:val="30"/>
          <w:szCs w:val="30"/>
          <w:lang w:val="en-US" w:eastAsia="zh-CN" w:bidi="ar-SA"/>
        </w:rPr>
        <w:t>第二十条</w:t>
      </w:r>
      <w:r>
        <w:rPr>
          <w:rFonts w:hint="eastAsia" w:ascii="仿宋_GB2312" w:eastAsia="仿宋_GB2312"/>
          <w:color w:val="000000"/>
          <w:sz w:val="30"/>
          <w:szCs w:val="30"/>
        </w:rPr>
        <w:t>通用回购采用匹配成交和协商成交方式的，交易的单笔申报数量应当为</w:t>
      </w:r>
      <w:r>
        <w:rPr>
          <w:rFonts w:ascii="仿宋_GB2312" w:eastAsia="仿宋_GB2312"/>
          <w:color w:val="000000"/>
          <w:sz w:val="30"/>
          <w:szCs w:val="30"/>
        </w:rPr>
        <w:t>1000元</w:t>
      </w:r>
      <w:r>
        <w:rPr>
          <w:rFonts w:hint="eastAsia" w:ascii="仿宋_GB2312" w:eastAsia="仿宋_GB2312"/>
          <w:color w:val="000000"/>
          <w:sz w:val="30"/>
          <w:szCs w:val="30"/>
        </w:rPr>
        <w:t>面额</w:t>
      </w:r>
      <w:r>
        <w:rPr>
          <w:rFonts w:ascii="仿宋_GB2312" w:eastAsia="仿宋_GB2312"/>
          <w:color w:val="000000"/>
          <w:sz w:val="30"/>
          <w:szCs w:val="30"/>
        </w:rPr>
        <w:t>或</w:t>
      </w:r>
      <w:r>
        <w:rPr>
          <w:rFonts w:hint="eastAsia" w:ascii="仿宋_GB2312" w:eastAsia="仿宋_GB2312"/>
          <w:color w:val="000000"/>
          <w:sz w:val="30"/>
          <w:szCs w:val="30"/>
        </w:rPr>
        <w:t>者</w:t>
      </w:r>
      <w:r>
        <w:rPr>
          <w:rFonts w:ascii="仿宋_GB2312" w:eastAsia="仿宋_GB2312"/>
          <w:color w:val="000000"/>
          <w:sz w:val="30"/>
          <w:szCs w:val="30"/>
        </w:rPr>
        <w:t>其整数倍；采用点击成交方式的，</w:t>
      </w:r>
      <w:r>
        <w:rPr>
          <w:rFonts w:hint="eastAsia" w:ascii="仿宋_GB2312" w:eastAsia="仿宋_GB2312"/>
          <w:color w:val="000000"/>
          <w:sz w:val="30"/>
          <w:szCs w:val="30"/>
        </w:rPr>
        <w:t>申报数量应当为</w:t>
      </w:r>
      <w:r>
        <w:rPr>
          <w:rFonts w:ascii="仿宋_GB2312" w:eastAsia="仿宋_GB2312"/>
          <w:color w:val="000000"/>
          <w:sz w:val="30"/>
          <w:szCs w:val="30"/>
        </w:rPr>
        <w:t>10</w:t>
      </w:r>
      <w:r>
        <w:rPr>
          <w:rFonts w:hint="eastAsia" w:ascii="仿宋_GB2312" w:eastAsia="仿宋_GB2312"/>
          <w:color w:val="000000"/>
          <w:sz w:val="30"/>
          <w:szCs w:val="30"/>
        </w:rPr>
        <w:t>万元面额或者其整数倍；采用其他交易方式的，申报数量应当</w:t>
      </w:r>
      <w:r>
        <w:rPr>
          <w:rFonts w:ascii="仿宋_GB2312" w:eastAsia="仿宋_GB2312"/>
          <w:color w:val="000000"/>
          <w:sz w:val="30"/>
          <w:szCs w:val="30"/>
        </w:rPr>
        <w:t>不低于10</w:t>
      </w:r>
      <w:r>
        <w:rPr>
          <w:rFonts w:hint="eastAsia" w:ascii="仿宋_GB2312" w:eastAsia="仿宋_GB2312"/>
          <w:color w:val="000000"/>
          <w:sz w:val="30"/>
          <w:szCs w:val="30"/>
        </w:rPr>
        <w:t>万元面额，且为</w:t>
      </w:r>
      <w:r>
        <w:rPr>
          <w:rFonts w:ascii="仿宋_GB2312" w:eastAsia="仿宋_GB2312"/>
          <w:color w:val="000000"/>
          <w:sz w:val="30"/>
          <w:szCs w:val="30"/>
        </w:rPr>
        <w:t>1000</w:t>
      </w:r>
      <w:r>
        <w:rPr>
          <w:rFonts w:hint="eastAsia" w:ascii="仿宋_GB2312" w:eastAsia="仿宋_GB2312"/>
          <w:color w:val="000000"/>
          <w:sz w:val="30"/>
          <w:szCs w:val="30"/>
        </w:rPr>
        <w:t>元面额的整数倍</w:t>
      </w:r>
      <w:r>
        <w:rPr>
          <w:rFonts w:ascii="仿宋_GB2312" w:eastAsia="仿宋_GB2312"/>
          <w:color w:val="000000"/>
          <w:sz w:val="30"/>
          <w:szCs w:val="30"/>
        </w:rPr>
        <w:t>。</w:t>
      </w:r>
      <w:r>
        <w:rPr>
          <w:rFonts w:hint="eastAsia" w:ascii="仿宋_GB2312" w:eastAsia="仿宋_GB2312"/>
          <w:sz w:val="30"/>
          <w:szCs w:val="30"/>
        </w:rPr>
        <w:t>通用回购交易的单笔最大申报数量不得超过</w:t>
      </w:r>
      <w:r>
        <w:rPr>
          <w:rFonts w:ascii="仿宋_GB2312" w:eastAsia="仿宋_GB2312"/>
          <w:sz w:val="30"/>
          <w:szCs w:val="30"/>
        </w:rPr>
        <w:t>100</w:t>
      </w:r>
      <w:r>
        <w:rPr>
          <w:rFonts w:hint="eastAsia" w:ascii="仿宋_GB2312" w:eastAsia="仿宋_GB2312"/>
          <w:sz w:val="30"/>
          <w:szCs w:val="30"/>
        </w:rPr>
        <w:t>亿元面额</w:t>
      </w:r>
      <w:r>
        <w:rPr>
          <w:rFonts w:ascii="仿宋_GB2312" w:eastAsia="仿宋_GB2312"/>
          <w:sz w:val="30"/>
          <w:szCs w:val="30"/>
        </w:rPr>
        <w:t>。</w:t>
      </w:r>
    </w:p>
    <w:p w14:paraId="6EB9FF8D">
      <w:pPr>
        <w:pStyle w:val="3"/>
        <w:widowControl w:val="0"/>
        <w:shd w:val="clear" w:color="auto" w:fill="FFFFFF"/>
        <w:spacing w:before="0" w:beforeAutospacing="0" w:after="0" w:afterAutospacing="0" w:line="560" w:lineRule="exact"/>
        <w:ind w:firstLine="600" w:firstLineChars="200"/>
        <w:jc w:val="both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本所可以根据市场发展需要，调整通用回购交易申报数量。</w:t>
      </w:r>
    </w:p>
    <w:p w14:paraId="7205DAF2">
      <w:pPr>
        <w:pStyle w:val="3"/>
        <w:widowControl w:val="0"/>
        <w:numPr>
          <w:ilvl w:val="1"/>
          <w:numId w:val="0"/>
        </w:numPr>
        <w:shd w:val="clear" w:color="auto" w:fill="FFFFFF"/>
        <w:spacing w:before="0" w:beforeAutospacing="0" w:after="0" w:afterAutospacing="0" w:line="560" w:lineRule="exact"/>
        <w:ind w:left="0" w:leftChars="0" w:firstLine="602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default" w:ascii="Calibri" w:hAnsi="Calibri" w:eastAsia="仿宋_GB2312" w:cs="Times New Roman"/>
          <w:b/>
          <w:i w:val="0"/>
          <w:color w:val="auto"/>
          <w:kern w:val="0"/>
          <w:sz w:val="30"/>
          <w:szCs w:val="30"/>
          <w:lang w:val="en-US" w:eastAsia="zh-CN" w:bidi="ar-SA"/>
        </w:rPr>
        <w:t>第二十一条</w:t>
      </w:r>
      <w:r>
        <w:rPr>
          <w:rFonts w:hint="eastAsia" w:ascii="仿宋_GB2312" w:eastAsia="仿宋_GB2312"/>
          <w:color w:val="000000"/>
          <w:sz w:val="30"/>
          <w:szCs w:val="30"/>
        </w:rPr>
        <w:t>通用回购交易存续期内，正回购方应当保证</w:t>
      </w:r>
      <w:r>
        <w:rPr>
          <w:rFonts w:hint="eastAsia" w:ascii="仿宋_GB2312" w:eastAsia="仿宋_GB2312"/>
          <w:sz w:val="30"/>
          <w:szCs w:val="30"/>
        </w:rPr>
        <w:t>质押券</w:t>
      </w:r>
      <w:r>
        <w:rPr>
          <w:rFonts w:hint="eastAsia" w:ascii="仿宋_GB2312" w:eastAsia="仿宋_GB2312"/>
          <w:color w:val="000000"/>
          <w:sz w:val="30"/>
          <w:szCs w:val="30"/>
        </w:rPr>
        <w:t>价值足额。</w:t>
      </w:r>
    </w:p>
    <w:p w14:paraId="737884DD">
      <w:pPr>
        <w:pStyle w:val="3"/>
        <w:widowControl w:val="0"/>
        <w:shd w:val="clear" w:color="auto" w:fill="FFFFFF"/>
        <w:spacing w:before="0" w:beforeAutospacing="0" w:after="0" w:afterAutospacing="0" w:line="560" w:lineRule="exact"/>
        <w:ind w:firstLine="600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因质押券准入标准调整、折算率调整等原因导致</w:t>
      </w:r>
      <w:r>
        <w:rPr>
          <w:rFonts w:hint="eastAsia" w:ascii="仿宋_GB2312" w:eastAsia="仿宋_GB2312"/>
          <w:sz w:val="30"/>
          <w:szCs w:val="30"/>
        </w:rPr>
        <w:t>质押券</w:t>
      </w:r>
      <w:r>
        <w:rPr>
          <w:rFonts w:hint="eastAsia" w:ascii="仿宋_GB2312" w:eastAsia="仿宋_GB2312"/>
          <w:color w:val="000000"/>
          <w:sz w:val="30"/>
          <w:szCs w:val="30"/>
        </w:rPr>
        <w:t>价值不足时，正回购方应当按照登记结算机构的有关规定及时予以补足。</w:t>
      </w:r>
    </w:p>
    <w:p w14:paraId="73FEBE4C">
      <w:pPr>
        <w:pStyle w:val="3"/>
        <w:widowControl w:val="0"/>
        <w:numPr>
          <w:ilvl w:val="1"/>
          <w:numId w:val="0"/>
        </w:numPr>
        <w:shd w:val="clear" w:color="auto" w:fill="FFFFFF"/>
        <w:spacing w:before="0" w:beforeAutospacing="0" w:after="0" w:afterAutospacing="0" w:line="560" w:lineRule="exact"/>
        <w:ind w:left="0" w:leftChars="0" w:firstLine="602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default" w:ascii="Calibri" w:hAnsi="Calibri" w:eastAsia="仿宋_GB2312" w:cs="Times New Roman"/>
          <w:b/>
          <w:i w:val="0"/>
          <w:color w:val="auto"/>
          <w:kern w:val="0"/>
          <w:sz w:val="30"/>
          <w:szCs w:val="30"/>
          <w:lang w:val="en-US" w:eastAsia="zh-CN" w:bidi="ar-SA"/>
        </w:rPr>
        <w:t>第二十二条</w:t>
      </w:r>
      <w:r>
        <w:rPr>
          <w:rFonts w:hint="eastAsia" w:ascii="仿宋_GB2312" w:eastAsia="仿宋_GB2312"/>
          <w:color w:val="000000"/>
          <w:sz w:val="30"/>
          <w:szCs w:val="30"/>
        </w:rPr>
        <w:t>通用回购交易的期限按照自然日计算。如到期日为非交易日，顺延至下一个交易日结算。</w:t>
      </w:r>
    </w:p>
    <w:p w14:paraId="01F478B2">
      <w:pPr>
        <w:pStyle w:val="3"/>
        <w:widowControl w:val="0"/>
        <w:numPr>
          <w:ilvl w:val="1"/>
          <w:numId w:val="0"/>
        </w:numPr>
        <w:shd w:val="clear" w:color="auto" w:fill="FFFFFF"/>
        <w:spacing w:before="0" w:beforeAutospacing="0" w:after="0" w:afterAutospacing="0" w:line="560" w:lineRule="exact"/>
        <w:ind w:left="0" w:leftChars="0" w:firstLine="602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default" w:ascii="Calibri" w:hAnsi="Calibri" w:eastAsia="仿宋_GB2312" w:cs="Times New Roman"/>
          <w:b/>
          <w:i w:val="0"/>
          <w:color w:val="auto"/>
          <w:kern w:val="0"/>
          <w:sz w:val="30"/>
          <w:szCs w:val="30"/>
          <w:lang w:val="en-US" w:eastAsia="zh-CN" w:bidi="ar-SA"/>
        </w:rPr>
        <w:t>第二十三条</w:t>
      </w:r>
      <w:r>
        <w:rPr>
          <w:rFonts w:hint="eastAsia" w:ascii="仿宋_GB2312" w:eastAsia="仿宋_GB2312"/>
          <w:color w:val="000000"/>
          <w:sz w:val="30"/>
          <w:szCs w:val="30"/>
        </w:rPr>
        <w:t>通用回购交易到期当日，正回购方可以申报将质押券继续用于通用回购的融资交易，也可以申报解除相应质押券的质押，将其转回原证券账户并申报卖出。</w:t>
      </w:r>
    </w:p>
    <w:p w14:paraId="2F4A85C9">
      <w:pPr>
        <w:pStyle w:val="3"/>
        <w:widowControl w:val="0"/>
        <w:numPr>
          <w:ilvl w:val="1"/>
          <w:numId w:val="0"/>
        </w:numPr>
        <w:shd w:val="clear" w:color="auto" w:fill="FFFFFF"/>
        <w:spacing w:before="0" w:beforeAutospacing="0" w:after="0" w:afterAutospacing="0" w:line="560" w:lineRule="exact"/>
        <w:ind w:left="0" w:leftChars="0" w:firstLine="602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default" w:ascii="Calibri" w:hAnsi="Calibri" w:eastAsia="仿宋_GB2312" w:cs="Times New Roman"/>
          <w:b/>
          <w:i w:val="0"/>
          <w:color w:val="auto"/>
          <w:kern w:val="0"/>
          <w:sz w:val="30"/>
          <w:szCs w:val="30"/>
          <w:lang w:val="en-US" w:eastAsia="zh-CN" w:bidi="ar-SA"/>
        </w:rPr>
        <w:t>第二十四条</w:t>
      </w:r>
      <w:r>
        <w:rPr>
          <w:rFonts w:hint="eastAsia" w:ascii="仿宋_GB2312" w:eastAsia="仿宋_GB2312"/>
          <w:sz w:val="30"/>
          <w:szCs w:val="30"/>
        </w:rPr>
        <w:t>通用</w:t>
      </w:r>
      <w:r>
        <w:rPr>
          <w:rFonts w:hint="eastAsia" w:ascii="仿宋_GB2312" w:eastAsia="仿宋_GB2312"/>
          <w:color w:val="000000"/>
          <w:sz w:val="30"/>
          <w:szCs w:val="30"/>
        </w:rPr>
        <w:t>回购实行“一次成交、两次结算”，由登记结算机构作为中央对手方采取多边净额结算方式进行结算。</w:t>
      </w:r>
      <w:r>
        <w:rPr>
          <w:rFonts w:hint="eastAsia" w:ascii="仿宋_GB2312" w:eastAsia="仿宋_GB2312"/>
          <w:sz w:val="30"/>
          <w:szCs w:val="30"/>
        </w:rPr>
        <w:t>具体清算交收事宜，依据登记结算机构的相关规定办理。</w:t>
      </w:r>
    </w:p>
    <w:p w14:paraId="1EE1EA8B">
      <w:pPr>
        <w:pStyle w:val="3"/>
        <w:widowControl w:val="0"/>
        <w:numPr>
          <w:ilvl w:val="1"/>
          <w:numId w:val="0"/>
        </w:numPr>
        <w:shd w:val="clear" w:color="auto" w:fill="FFFFFF"/>
        <w:spacing w:before="0" w:beforeAutospacing="0" w:after="0" w:afterAutospacing="0" w:line="560" w:lineRule="exact"/>
        <w:ind w:left="0" w:leftChars="0" w:firstLine="602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default" w:ascii="Calibri" w:hAnsi="Calibri" w:eastAsia="仿宋_GB2312" w:cs="Times New Roman"/>
          <w:b/>
          <w:i w:val="0"/>
          <w:color w:val="auto"/>
          <w:kern w:val="0"/>
          <w:sz w:val="30"/>
          <w:szCs w:val="30"/>
          <w:lang w:val="en-US" w:eastAsia="zh-CN" w:bidi="ar-SA"/>
        </w:rPr>
        <w:t>第二十五条</w:t>
      </w:r>
      <w:r>
        <w:rPr>
          <w:rFonts w:hint="eastAsia" w:ascii="仿宋_GB2312" w:eastAsia="仿宋_GB2312"/>
          <w:color w:val="000000"/>
          <w:sz w:val="30"/>
          <w:szCs w:val="30"/>
        </w:rPr>
        <w:t>通用回购首次结算的结算价格为</w:t>
      </w:r>
      <w:r>
        <w:rPr>
          <w:rFonts w:ascii="仿宋_GB2312" w:eastAsia="仿宋_GB2312"/>
          <w:color w:val="000000"/>
          <w:sz w:val="30"/>
          <w:szCs w:val="30"/>
        </w:rPr>
        <w:t>100</w:t>
      </w:r>
      <w:r>
        <w:rPr>
          <w:rFonts w:hint="eastAsia" w:ascii="仿宋_GB2312" w:eastAsia="仿宋_GB2312"/>
          <w:color w:val="000000"/>
          <w:sz w:val="30"/>
          <w:szCs w:val="30"/>
        </w:rPr>
        <w:t>元，到期结算的结算价格为购回价。购回价等于每百元资金的本金和利息之和，其计算公式为：</w:t>
      </w:r>
    </w:p>
    <w:p w14:paraId="651E87E4">
      <w:pPr>
        <w:pStyle w:val="6"/>
        <w:widowControl/>
        <w:ind w:firstLine="600"/>
        <w:rPr>
          <w:rFonts w:hAnsi="Times New Roman"/>
          <w:sz w:val="30"/>
          <w:szCs w:val="30"/>
        </w:rPr>
      </w:pPr>
      <w:r>
        <w:rPr>
          <w:rFonts w:hint="eastAsia" w:hAnsi="Times New Roman"/>
          <w:sz w:val="30"/>
          <w:szCs w:val="30"/>
        </w:rPr>
        <w:t>购回价=100元＋每百元资金到期年收益×实际占款天数/365。</w:t>
      </w:r>
    </w:p>
    <w:p w14:paraId="5AEA39FF">
      <w:pPr>
        <w:pStyle w:val="6"/>
        <w:widowControl/>
        <w:ind w:firstLine="600"/>
        <w:rPr>
          <w:rFonts w:hAnsi="Times New Roman"/>
          <w:sz w:val="30"/>
          <w:szCs w:val="30"/>
        </w:rPr>
      </w:pPr>
      <w:r>
        <w:rPr>
          <w:rFonts w:hint="eastAsia" w:hAnsi="Times New Roman"/>
          <w:sz w:val="30"/>
          <w:szCs w:val="30"/>
        </w:rPr>
        <w:t>实际占款天数是指当次</w:t>
      </w:r>
      <w:r>
        <w:rPr>
          <w:rFonts w:hint="eastAsia"/>
          <w:color w:val="000000"/>
          <w:sz w:val="30"/>
          <w:szCs w:val="30"/>
        </w:rPr>
        <w:t>通用</w:t>
      </w:r>
      <w:r>
        <w:rPr>
          <w:rFonts w:hint="eastAsia" w:hAnsi="Times New Roman"/>
          <w:sz w:val="30"/>
          <w:szCs w:val="30"/>
        </w:rPr>
        <w:t>回购交易的首次交收日（含）至到期交收日（不含）的实际天数，按自然日计算。</w:t>
      </w:r>
    </w:p>
    <w:p w14:paraId="2E4B6D22">
      <w:pPr>
        <w:pStyle w:val="3"/>
        <w:widowControl w:val="0"/>
        <w:numPr>
          <w:ilvl w:val="1"/>
          <w:numId w:val="0"/>
        </w:numPr>
        <w:shd w:val="clear" w:color="auto" w:fill="FFFFFF"/>
        <w:spacing w:before="0" w:beforeAutospacing="0" w:after="0" w:afterAutospacing="0" w:line="560" w:lineRule="exact"/>
        <w:ind w:left="0" w:leftChars="0" w:firstLine="602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default" w:ascii="Calibri" w:hAnsi="Calibri" w:eastAsia="仿宋_GB2312" w:cs="Times New Roman"/>
          <w:b/>
          <w:i w:val="0"/>
          <w:color w:val="auto"/>
          <w:kern w:val="0"/>
          <w:sz w:val="30"/>
          <w:szCs w:val="30"/>
          <w:lang w:val="en-US" w:eastAsia="zh-CN" w:bidi="ar-SA"/>
        </w:rPr>
        <w:t>第二十六条</w:t>
      </w:r>
      <w:r>
        <w:rPr>
          <w:rFonts w:hint="eastAsia" w:ascii="仿宋_GB2312" w:eastAsia="仿宋_GB2312"/>
          <w:color w:val="000000"/>
          <w:sz w:val="30"/>
          <w:szCs w:val="30"/>
        </w:rPr>
        <w:t>本所逐日发布相关通用回购品种的定盘利率。</w:t>
      </w:r>
    </w:p>
    <w:p w14:paraId="31B3264D">
      <w:pPr>
        <w:pStyle w:val="6"/>
        <w:widowControl/>
        <w:ind w:firstLineChars="0"/>
        <w:rPr>
          <w:rFonts w:hAnsi="Times New Roman"/>
          <w:sz w:val="30"/>
          <w:szCs w:val="30"/>
        </w:rPr>
      </w:pPr>
      <w:r>
        <w:rPr>
          <w:rFonts w:hint="eastAsia" w:hAnsi="宋体"/>
          <w:sz w:val="30"/>
          <w:szCs w:val="30"/>
        </w:rPr>
        <w:t>通用回购定盘利率</w:t>
      </w:r>
      <w:r>
        <w:rPr>
          <w:rFonts w:hAnsi="宋体"/>
          <w:sz w:val="30"/>
          <w:szCs w:val="30"/>
        </w:rPr>
        <w:t>=∑(当日逐笔成交价×当日逐笔成交量）/当日总成交量</w:t>
      </w:r>
      <w:r>
        <w:rPr>
          <w:rFonts w:hint="eastAsia" w:hAnsi="Times New Roman"/>
          <w:sz w:val="30"/>
          <w:szCs w:val="30"/>
        </w:rPr>
        <w:t>。</w:t>
      </w:r>
    </w:p>
    <w:p w14:paraId="3C26BD13">
      <w:pPr>
        <w:pStyle w:val="3"/>
        <w:widowControl w:val="0"/>
        <w:numPr>
          <w:ilvl w:val="255"/>
          <w:numId w:val="0"/>
        </w:numPr>
        <w:shd w:val="clear" w:color="auto" w:fill="FFFFFF"/>
        <w:spacing w:before="0" w:beforeAutospacing="0" w:after="0" w:afterAutospacing="0" w:line="560" w:lineRule="exact"/>
        <w:ind w:firstLine="600" w:firstLineChars="200"/>
        <w:jc w:val="both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color w:val="000000"/>
          <w:sz w:val="30"/>
        </w:rPr>
        <w:t>若该通用回购品种当日无交易，则定盘利率取上一交易日的定盘利率。</w:t>
      </w:r>
    </w:p>
    <w:bookmarkEnd w:id="4"/>
    <w:bookmarkEnd w:id="5"/>
    <w:p w14:paraId="593D672A">
      <w:pPr>
        <w:pStyle w:val="3"/>
        <w:widowControl w:val="0"/>
        <w:numPr>
          <w:ilvl w:val="1"/>
          <w:numId w:val="0"/>
        </w:numPr>
        <w:shd w:val="clear" w:color="auto" w:fill="FFFFFF"/>
        <w:spacing w:before="0" w:beforeAutospacing="0" w:after="0" w:afterAutospacing="0" w:line="560" w:lineRule="exact"/>
        <w:ind w:left="0" w:leftChars="0" w:firstLine="602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default" w:ascii="Calibri" w:hAnsi="Calibri" w:eastAsia="仿宋_GB2312" w:cs="Times New Roman"/>
          <w:b/>
          <w:i w:val="0"/>
          <w:color w:val="auto"/>
          <w:kern w:val="0"/>
          <w:sz w:val="30"/>
          <w:szCs w:val="30"/>
          <w:lang w:val="en-US" w:eastAsia="zh-CN" w:bidi="ar-SA"/>
        </w:rPr>
        <w:t>第二十七条</w:t>
      </w:r>
      <w:r>
        <w:rPr>
          <w:rFonts w:hint="eastAsia" w:ascii="仿宋_GB2312" w:eastAsia="仿宋_GB2312"/>
          <w:sz w:val="30"/>
        </w:rPr>
        <w:t>通用回购参与主体应在回购存续期间进行动态监测和管理，合理控制回购杠杆水平，保障业务持续稳健运行。</w:t>
      </w:r>
      <w:r>
        <w:rPr>
          <w:rFonts w:hint="eastAsia" w:ascii="仿宋_GB2312" w:eastAsia="仿宋_GB2312"/>
          <w:color w:val="000000"/>
          <w:sz w:val="30"/>
          <w:szCs w:val="30"/>
        </w:rPr>
        <w:t>债券交易参与人应当按照本指引、本所和登记结算机构相关规则的要求，建立健全完备的回购业务管理制度及风险防范机制，加强对自身及客户回购交易风险管理，具体</w:t>
      </w:r>
      <w:r>
        <w:rPr>
          <w:rFonts w:hint="eastAsia" w:ascii="仿宋_GB2312" w:eastAsia="仿宋_GB2312"/>
          <w:sz w:val="30"/>
          <w:szCs w:val="30"/>
        </w:rPr>
        <w:t>依据</w:t>
      </w:r>
      <w:r>
        <w:rPr>
          <w:rFonts w:hint="eastAsia" w:ascii="仿宋_GB2312" w:eastAsia="仿宋_GB2312"/>
          <w:color w:val="000000"/>
          <w:sz w:val="30"/>
          <w:szCs w:val="30"/>
        </w:rPr>
        <w:t>《风控指引》</w:t>
      </w:r>
      <w:r>
        <w:rPr>
          <w:rFonts w:hint="eastAsia" w:ascii="仿宋_GB2312" w:eastAsia="仿宋_GB2312"/>
          <w:sz w:val="30"/>
          <w:szCs w:val="30"/>
        </w:rPr>
        <w:t>的相关规定</w:t>
      </w:r>
      <w:r>
        <w:rPr>
          <w:rFonts w:hint="eastAsia" w:ascii="仿宋_GB2312" w:eastAsia="仿宋_GB2312"/>
          <w:color w:val="000000"/>
          <w:sz w:val="30"/>
          <w:szCs w:val="30"/>
        </w:rPr>
        <w:t>执行。</w:t>
      </w:r>
    </w:p>
    <w:p w14:paraId="537B7A5B">
      <w:pPr>
        <w:pStyle w:val="3"/>
        <w:widowControl w:val="0"/>
        <w:numPr>
          <w:ilvl w:val="1"/>
          <w:numId w:val="0"/>
        </w:numPr>
        <w:shd w:val="clear" w:color="auto" w:fill="FFFFFF"/>
        <w:spacing w:before="0" w:beforeAutospacing="0" w:after="0" w:afterAutospacing="0" w:line="560" w:lineRule="exact"/>
        <w:ind w:left="0" w:leftChars="0" w:firstLine="602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default" w:ascii="Calibri" w:hAnsi="Calibri" w:eastAsia="仿宋_GB2312" w:cs="Times New Roman"/>
          <w:b/>
          <w:i w:val="0"/>
          <w:color w:val="auto"/>
          <w:kern w:val="0"/>
          <w:sz w:val="30"/>
          <w:szCs w:val="30"/>
          <w:lang w:val="en-US" w:eastAsia="zh-CN" w:bidi="ar-SA"/>
        </w:rPr>
        <w:t>第二十八条</w:t>
      </w:r>
      <w:r>
        <w:rPr>
          <w:rFonts w:hint="eastAsia" w:ascii="仿宋_GB2312" w:eastAsia="仿宋_GB2312"/>
          <w:color w:val="000000"/>
          <w:sz w:val="30"/>
          <w:szCs w:val="30"/>
        </w:rPr>
        <w:t>本所对通用回购参与主体的回购交易及相关活动进行自律管理。</w:t>
      </w:r>
    </w:p>
    <w:p w14:paraId="3C0F6846">
      <w:pPr>
        <w:pStyle w:val="3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00" w:firstLineChars="200"/>
        <w:jc w:val="both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通用回购参与主体违反本指引的，本所可以按照《债券交易规则》以及本所其他相关规则的规定采取日常工作措施、监管措施以及纪律处分。</w:t>
      </w:r>
    </w:p>
    <w:p w14:paraId="25A21660">
      <w:pPr>
        <w:pStyle w:val="3"/>
        <w:widowControl w:val="0"/>
        <w:numPr>
          <w:ilvl w:val="1"/>
          <w:numId w:val="0"/>
        </w:numPr>
        <w:shd w:val="clear" w:color="auto" w:fill="FFFFFF"/>
        <w:spacing w:before="0" w:beforeAutospacing="0" w:after="0" w:afterAutospacing="0" w:line="560" w:lineRule="exact"/>
        <w:ind w:left="0" w:leftChars="0" w:firstLine="602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default" w:ascii="Calibri" w:hAnsi="Calibri" w:eastAsia="仿宋_GB2312" w:cs="Times New Roman"/>
          <w:b/>
          <w:i w:val="0"/>
          <w:color w:val="auto"/>
          <w:kern w:val="0"/>
          <w:sz w:val="30"/>
          <w:szCs w:val="30"/>
          <w:lang w:val="en-US" w:eastAsia="zh-CN" w:bidi="ar-SA"/>
        </w:rPr>
        <w:t>第二十</w:t>
      </w:r>
      <w:bookmarkStart w:id="6" w:name="_GoBack"/>
      <w:bookmarkEnd w:id="6"/>
      <w:r>
        <w:rPr>
          <w:rFonts w:hint="default" w:ascii="Calibri" w:hAnsi="Calibri" w:eastAsia="仿宋_GB2312" w:cs="Times New Roman"/>
          <w:b/>
          <w:i w:val="0"/>
          <w:color w:val="auto"/>
          <w:kern w:val="0"/>
          <w:sz w:val="30"/>
          <w:szCs w:val="30"/>
          <w:lang w:val="en-US" w:eastAsia="zh-CN" w:bidi="ar-SA"/>
        </w:rPr>
        <w:t>九条</w:t>
      </w:r>
      <w:r>
        <w:rPr>
          <w:rFonts w:hint="eastAsia" w:ascii="仿宋_GB2312" w:eastAsia="仿宋_GB2312"/>
          <w:color w:val="000000"/>
          <w:sz w:val="30"/>
          <w:szCs w:val="30"/>
        </w:rPr>
        <w:t>在本所上市并符合相关标准的债券基金，其通用回购交易参照适用本指引相关规定。</w:t>
      </w:r>
    </w:p>
    <w:p w14:paraId="6987D0A7">
      <w:pPr>
        <w:pStyle w:val="3"/>
        <w:widowControl w:val="0"/>
        <w:numPr>
          <w:ilvl w:val="1"/>
          <w:numId w:val="0"/>
        </w:numPr>
        <w:shd w:val="clear" w:color="auto" w:fill="FFFFFF"/>
        <w:spacing w:before="0" w:beforeAutospacing="0" w:after="0" w:afterAutospacing="0" w:line="560" w:lineRule="exact"/>
        <w:ind w:left="0" w:leftChars="0" w:firstLine="602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default" w:ascii="Calibri" w:hAnsi="Calibri" w:eastAsia="仿宋_GB2312" w:cs="Times New Roman"/>
          <w:b/>
          <w:i w:val="0"/>
          <w:color w:val="auto"/>
          <w:kern w:val="0"/>
          <w:sz w:val="30"/>
          <w:szCs w:val="30"/>
          <w:lang w:val="en-US" w:eastAsia="zh-CN" w:bidi="ar-SA"/>
        </w:rPr>
        <w:t>第三十条</w:t>
      </w:r>
      <w:r>
        <w:rPr>
          <w:rFonts w:hint="eastAsia" w:ascii="仿宋_GB2312" w:eastAsia="仿宋_GB2312"/>
          <w:color w:val="000000"/>
          <w:sz w:val="30"/>
          <w:szCs w:val="30"/>
        </w:rPr>
        <w:t>本指引相关术语的含义：</w:t>
      </w:r>
    </w:p>
    <w:p w14:paraId="47C96BD1">
      <w:pPr>
        <w:pStyle w:val="6"/>
        <w:ind w:firstLine="60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（一）质押券：指作为通用回购交易担保品的债券。</w:t>
      </w:r>
    </w:p>
    <w:p w14:paraId="2AF1DE76">
      <w:pPr>
        <w:pStyle w:val="6"/>
        <w:ind w:firstLine="60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（二）质押券折算率：指质押券所能折算成的融资额度与债券面额之比。质押券折算率由登记结算机构发布。</w:t>
      </w:r>
    </w:p>
    <w:p w14:paraId="4E66E611">
      <w:pPr>
        <w:pStyle w:val="6"/>
        <w:ind w:firstLine="60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（三）融资额度：指质押券按照相应质押券折算率折算形成的，可以通过通用回购进行融资的额度。</w:t>
      </w:r>
    </w:p>
    <w:p w14:paraId="34406637">
      <w:pPr>
        <w:pStyle w:val="3"/>
        <w:widowControl w:val="0"/>
        <w:numPr>
          <w:ilvl w:val="1"/>
          <w:numId w:val="0"/>
        </w:numPr>
        <w:shd w:val="clear" w:color="auto" w:fill="FFFFFF"/>
        <w:spacing w:before="0" w:beforeAutospacing="0" w:after="0" w:afterAutospacing="0" w:line="560" w:lineRule="exact"/>
        <w:ind w:left="0" w:leftChars="0" w:firstLine="602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default" w:ascii="Calibri" w:hAnsi="Calibri" w:eastAsia="仿宋_GB2312" w:cs="Times New Roman"/>
          <w:b/>
          <w:i w:val="0"/>
          <w:color w:val="auto"/>
          <w:kern w:val="0"/>
          <w:sz w:val="30"/>
          <w:szCs w:val="30"/>
          <w:lang w:val="en-US" w:eastAsia="zh-CN" w:bidi="ar-SA"/>
        </w:rPr>
        <w:t>第三十一条</w:t>
      </w:r>
      <w:r>
        <w:rPr>
          <w:rFonts w:hint="eastAsia" w:ascii="仿宋_GB2312" w:eastAsia="仿宋_GB2312"/>
          <w:color w:val="000000"/>
          <w:sz w:val="30"/>
          <w:szCs w:val="30"/>
        </w:rPr>
        <w:t>本指引由本所负责解释和修订。</w:t>
      </w:r>
    </w:p>
    <w:p w14:paraId="50E818C8">
      <w:pPr>
        <w:pStyle w:val="3"/>
        <w:widowControl w:val="0"/>
        <w:numPr>
          <w:ilvl w:val="1"/>
          <w:numId w:val="0"/>
        </w:numPr>
        <w:shd w:val="clear" w:color="auto" w:fill="FFFFFF"/>
        <w:spacing w:before="0" w:beforeAutospacing="0" w:after="0" w:afterAutospacing="0" w:line="560" w:lineRule="exact"/>
        <w:ind w:left="0" w:leftChars="0" w:firstLine="602" w:firstLineChars="200"/>
        <w:jc w:val="both"/>
      </w:pPr>
      <w:r>
        <w:rPr>
          <w:rFonts w:hint="default" w:ascii="Calibri" w:hAnsi="Calibri" w:eastAsia="仿宋_GB2312" w:cs="Times New Roman"/>
          <w:b/>
          <w:i w:val="0"/>
          <w:color w:val="auto"/>
          <w:kern w:val="0"/>
          <w:sz w:val="30"/>
          <w:szCs w:val="24"/>
          <w:lang w:val="en-US" w:eastAsia="zh-CN" w:bidi="ar-SA"/>
        </w:rPr>
        <w:t>第三十二条</w:t>
      </w:r>
      <w:r>
        <w:rPr>
          <w:rFonts w:hint="eastAsia" w:ascii="仿宋_GB2312" w:eastAsia="仿宋_GB2312"/>
          <w:color w:val="000000"/>
          <w:sz w:val="30"/>
          <w:szCs w:val="30"/>
        </w:rPr>
        <w:t>本指引自</w:t>
      </w:r>
      <w:r>
        <w:rPr>
          <w:rFonts w:ascii="仿宋_GB2312" w:eastAsia="仿宋_GB2312"/>
          <w:color w:val="000000"/>
          <w:sz w:val="30"/>
          <w:szCs w:val="30"/>
        </w:rPr>
        <w:t>2022</w:t>
      </w:r>
      <w:r>
        <w:rPr>
          <w:rFonts w:hint="eastAsia" w:ascii="仿宋_GB2312" w:eastAsia="仿宋_GB2312"/>
          <w:color w:val="000000"/>
          <w:sz w:val="30"/>
          <w:szCs w:val="30"/>
        </w:rPr>
        <w:t>年</w:t>
      </w:r>
      <w:r>
        <w:rPr>
          <w:rFonts w:ascii="仿宋_GB2312" w:eastAsia="仿宋_GB2312"/>
          <w:color w:val="000000"/>
          <w:sz w:val="30"/>
          <w:szCs w:val="30"/>
        </w:rPr>
        <w:t>4</w:t>
      </w:r>
      <w:r>
        <w:rPr>
          <w:rFonts w:hint="eastAsia" w:ascii="仿宋_GB2312" w:eastAsia="仿宋_GB2312"/>
          <w:color w:val="000000"/>
          <w:sz w:val="30"/>
          <w:szCs w:val="30"/>
        </w:rPr>
        <w:t>月</w:t>
      </w:r>
      <w:r>
        <w:rPr>
          <w:rFonts w:ascii="仿宋_GB2312" w:eastAsia="仿宋_GB2312"/>
          <w:color w:val="000000"/>
          <w:sz w:val="30"/>
          <w:szCs w:val="30"/>
        </w:rPr>
        <w:t>25</w:t>
      </w:r>
      <w:r>
        <w:rPr>
          <w:rFonts w:hint="eastAsia" w:ascii="仿宋_GB2312" w:eastAsia="仿宋_GB2312"/>
          <w:color w:val="000000"/>
          <w:sz w:val="30"/>
          <w:szCs w:val="30"/>
        </w:rPr>
        <w:t>日起施行。</w:t>
      </w:r>
    </w:p>
    <w:p w14:paraId="4C65AF26"/>
    <w:p w14:paraId="6864AF1D"/>
    <w:p w14:paraId="66359276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3908204"/>
      <w:docPartObj>
        <w:docPartGallery w:val="AutoText"/>
      </w:docPartObj>
    </w:sdtPr>
    <w:sdtContent>
      <w:p w14:paraId="3CF55909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C6FB7D8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1BBE"/>
    <w:rsid w:val="000A7D57"/>
    <w:rsid w:val="001A4C99"/>
    <w:rsid w:val="00711BBE"/>
    <w:rsid w:val="0072464D"/>
    <w:rsid w:val="007F1119"/>
    <w:rsid w:val="008D0D6E"/>
    <w:rsid w:val="12E5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link w:val="8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">
    <w:name w:val="条"/>
    <w:basedOn w:val="1"/>
    <w:link w:val="7"/>
    <w:qFormat/>
    <w:uiPriority w:val="0"/>
    <w:pPr>
      <w:spacing w:line="560" w:lineRule="exact"/>
      <w:ind w:firstLine="640" w:firstLineChars="200"/>
    </w:pPr>
    <w:rPr>
      <w:rFonts w:ascii="仿宋_GB2312" w:hAnsi="仿宋" w:eastAsia="仿宋_GB2312"/>
      <w:sz w:val="32"/>
      <w:szCs w:val="32"/>
    </w:rPr>
  </w:style>
  <w:style w:type="character" w:customStyle="1" w:styleId="7">
    <w:name w:val="条 Char"/>
    <w:link w:val="6"/>
    <w:qFormat/>
    <w:uiPriority w:val="0"/>
    <w:rPr>
      <w:rFonts w:ascii="仿宋_GB2312" w:hAnsi="仿宋" w:eastAsia="仿宋_GB2312" w:cs="Times New Roman"/>
      <w:sz w:val="32"/>
      <w:szCs w:val="32"/>
    </w:rPr>
  </w:style>
  <w:style w:type="character" w:customStyle="1" w:styleId="8">
    <w:name w:val="普通(网站) Char"/>
    <w:link w:val="3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2846</Words>
  <Characters>2896</Characters>
  <Lines>20</Lines>
  <Paragraphs>5</Paragraphs>
  <TotalTime>2</TotalTime>
  <ScaleCrop>false</ScaleCrop>
  <LinksUpToDate>false</LinksUpToDate>
  <CharactersWithSpaces>2898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2022-01-26T08:07:00Z</dcterms:created>
  <dc:creator>user</dc:creator>
  <cp:lastModifiedBy>妮妮橙  จุ๊บ</cp:lastModifiedBy>
  <dcterms:modified xsi:type="dcterms:W3CDTF">2025-07-09T05:24:53Z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eyJoZGlkIjoiMTU4ZWRiMTZhMjAzZTczZTMwYjAxYTVhNTEzNDEwOWMiLCJ1c2VySWQiOiIxMDQyNTAzNzc4In0=</vt:lpwstr>
  </property>
  <property fmtid="{D5CDD505-2E9C-101B-9397-08002B2CF9AE}" pid="3" name="KSOProductBuildVer">
    <vt:lpwstr>2052-12.1.0.21915</vt:lpwstr>
  </property>
  <property fmtid="{D5CDD505-2E9C-101B-9397-08002B2CF9AE}" pid="4" name="ICV">
    <vt:lpwstr>BCC42D1175524F0BBADA2DBD9D41D2C1_12</vt:lpwstr>
  </property>
</Properties>
</file>