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D136B">
      <w:pPr>
        <w:spacing w:line="560" w:lineRule="exact"/>
        <w:jc w:val="left"/>
        <w:rPr>
          <w:rFonts w:ascii="仿宋_GB2312" w:eastAsia="仿宋_GB2312" w:hAnsi="微软雅黑" w:hint="eastAsia"/>
          <w:b/>
          <w:color w:val="000000"/>
          <w:sz w:val="30"/>
          <w:szCs w:val="30"/>
        </w:rPr>
      </w:pPr>
    </w:p>
    <w:p w:rsidR="00000000" w:rsidRDefault="005D136B">
      <w:pPr>
        <w:spacing w:line="560" w:lineRule="exact"/>
        <w:rPr>
          <w:rFonts w:eastAsia="仿宋_GB2312"/>
          <w:sz w:val="30"/>
          <w:szCs w:val="30"/>
        </w:rPr>
      </w:pPr>
    </w:p>
    <w:p w:rsidR="00000000" w:rsidRPr="0049741E" w:rsidRDefault="005D136B">
      <w:pPr>
        <w:spacing w:line="560" w:lineRule="exact"/>
        <w:ind w:leftChars="-135" w:left="-283" w:rightChars="-227" w:right="-477"/>
        <w:jc w:val="center"/>
        <w:rPr>
          <w:rFonts w:eastAsia="黑体"/>
          <w:b/>
          <w:sz w:val="44"/>
          <w:szCs w:val="44"/>
        </w:rPr>
      </w:pPr>
      <w:r w:rsidRPr="0049741E">
        <w:rPr>
          <w:rFonts w:eastAsia="黑体"/>
          <w:b/>
          <w:sz w:val="44"/>
          <w:szCs w:val="44"/>
        </w:rPr>
        <w:t>上海证券交易所可转换公司债券交易实施细则</w:t>
      </w:r>
    </w:p>
    <w:p w:rsidR="00000000" w:rsidRPr="0049741E" w:rsidRDefault="005D136B">
      <w:pPr>
        <w:spacing w:line="560" w:lineRule="exact"/>
        <w:ind w:leftChars="-135" w:left="-283" w:rightChars="-227" w:right="-477"/>
        <w:jc w:val="center"/>
        <w:rPr>
          <w:rFonts w:eastAsia="黑体"/>
          <w:b/>
          <w:sz w:val="44"/>
          <w:szCs w:val="44"/>
        </w:rPr>
      </w:pPr>
      <w:r w:rsidRPr="0049741E">
        <w:rPr>
          <w:rFonts w:eastAsia="黑体" w:hint="eastAsia"/>
          <w:b/>
          <w:sz w:val="44"/>
          <w:szCs w:val="44"/>
        </w:rPr>
        <w:t>（</w:t>
      </w:r>
      <w:r w:rsidRPr="0049741E">
        <w:rPr>
          <w:rFonts w:eastAsia="黑体" w:hint="eastAsia"/>
          <w:b/>
          <w:sz w:val="44"/>
          <w:szCs w:val="44"/>
        </w:rPr>
        <w:t>202</w:t>
      </w:r>
      <w:r w:rsidR="00132FF0">
        <w:rPr>
          <w:rFonts w:eastAsia="黑体" w:hint="eastAsia"/>
          <w:b/>
          <w:sz w:val="44"/>
          <w:szCs w:val="44"/>
        </w:rPr>
        <w:t>5</w:t>
      </w:r>
      <w:r w:rsidRPr="0049741E">
        <w:rPr>
          <w:rFonts w:eastAsia="黑体" w:hint="eastAsia"/>
          <w:b/>
          <w:sz w:val="44"/>
          <w:szCs w:val="44"/>
        </w:rPr>
        <w:t>年</w:t>
      </w:r>
      <w:r w:rsidR="00132FF0">
        <w:rPr>
          <w:rFonts w:eastAsia="黑体" w:hint="eastAsia"/>
          <w:b/>
          <w:sz w:val="44"/>
          <w:szCs w:val="44"/>
        </w:rPr>
        <w:t>3</w:t>
      </w:r>
      <w:r w:rsidRPr="0049741E">
        <w:rPr>
          <w:rFonts w:eastAsia="黑体" w:hint="eastAsia"/>
          <w:b/>
          <w:sz w:val="44"/>
          <w:szCs w:val="44"/>
        </w:rPr>
        <w:t>月修订）</w:t>
      </w:r>
    </w:p>
    <w:p w:rsidR="00000000" w:rsidRDefault="005D136B">
      <w:pPr>
        <w:spacing w:line="560" w:lineRule="exact"/>
        <w:rPr>
          <w:rFonts w:eastAsia="仿宋_GB2312"/>
          <w:sz w:val="30"/>
          <w:szCs w:val="30"/>
        </w:rPr>
      </w:pPr>
    </w:p>
    <w:p w:rsidR="00000000" w:rsidRDefault="005D136B">
      <w:pPr>
        <w:spacing w:line="560" w:lineRule="exact"/>
        <w:jc w:val="center"/>
        <w:rPr>
          <w:rFonts w:ascii="黑体" w:eastAsia="黑体" w:hAnsi="黑体"/>
          <w:b/>
          <w:sz w:val="30"/>
          <w:szCs w:val="30"/>
        </w:rPr>
      </w:pPr>
      <w:r>
        <w:rPr>
          <w:rFonts w:ascii="黑体" w:eastAsia="黑体" w:hAnsi="黑体"/>
          <w:b/>
          <w:sz w:val="30"/>
          <w:szCs w:val="30"/>
        </w:rPr>
        <w:t>第一章</w:t>
      </w:r>
      <w:r>
        <w:rPr>
          <w:rFonts w:ascii="黑体" w:eastAsia="黑体" w:hAnsi="黑体"/>
          <w:b/>
          <w:sz w:val="30"/>
          <w:szCs w:val="30"/>
        </w:rPr>
        <w:t xml:space="preserve">  </w:t>
      </w:r>
      <w:r>
        <w:rPr>
          <w:rFonts w:ascii="黑体" w:eastAsia="黑体" w:hAnsi="黑体"/>
          <w:b/>
          <w:sz w:val="30"/>
          <w:szCs w:val="30"/>
        </w:rPr>
        <w:t>总则</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第一条</w:t>
      </w:r>
      <w:r>
        <w:rPr>
          <w:rFonts w:ascii="仿宋_GB2312" w:eastAsia="仿宋_GB2312" w:hint="eastAsia"/>
          <w:b/>
          <w:bCs/>
          <w:sz w:val="30"/>
          <w:szCs w:val="30"/>
        </w:rPr>
        <w:t xml:space="preserve">  </w:t>
      </w:r>
      <w:r>
        <w:rPr>
          <w:rFonts w:ascii="仿宋_GB2312" w:eastAsia="仿宋_GB2312" w:hint="eastAsia"/>
          <w:sz w:val="30"/>
          <w:szCs w:val="30"/>
        </w:rPr>
        <w:t>为了规范上市公司可转换公司债券（以下简称可转债）交易行为，保护投资者合法权益，维护市场秩序和社会公共利益，根据《中华人民共和国公司法》《中华人民共和国证券法》（以下简称《证券法》）、《可转换公司债券管理办法》等相关法律、行政法规、部门规章、规范性文件和《上海证券交易所债券交易规则》等业务规则的规定，制定本细则。</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第二条</w:t>
      </w:r>
      <w:r>
        <w:rPr>
          <w:rFonts w:ascii="仿宋_GB2312" w:eastAsia="仿宋_GB2312" w:hint="eastAsia"/>
          <w:b/>
          <w:bCs/>
          <w:sz w:val="30"/>
          <w:szCs w:val="30"/>
        </w:rPr>
        <w:t xml:space="preserve">  </w:t>
      </w:r>
      <w:r>
        <w:rPr>
          <w:rFonts w:ascii="仿宋_GB2312" w:eastAsia="仿宋_GB2312" w:hint="eastAsia"/>
          <w:sz w:val="30"/>
          <w:szCs w:val="30"/>
        </w:rPr>
        <w:t>本细则所称可转债，是指上市公司依法发行、在一定期间内依据约定的条件可以转换成本公司股票的公</w:t>
      </w:r>
      <w:r>
        <w:rPr>
          <w:rFonts w:ascii="仿宋_GB2312" w:eastAsia="仿宋_GB2312" w:hint="eastAsia"/>
          <w:sz w:val="30"/>
          <w:szCs w:val="30"/>
        </w:rPr>
        <w:t>司债券，属于《证券法》规定的具有股权性质的证券，包括向不特定对象发行的可转债和向特定对象发</w:t>
      </w:r>
      <w:r>
        <w:rPr>
          <w:rFonts w:ascii="仿宋_GB2312" w:eastAsia="仿宋_GB2312" w:hint="eastAsia"/>
          <w:sz w:val="30"/>
          <w:szCs w:val="30"/>
        </w:rPr>
        <w:t>行的可转债。向特定对象发行的可转债包括根据中国证券监督管理委员会（以下简称中国证监会）相关规定向特定对象发行可转债募集资金、购买资产及募集配套资金。</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第三条</w:t>
      </w:r>
      <w:r>
        <w:rPr>
          <w:rFonts w:ascii="仿宋_GB2312" w:eastAsia="仿宋_GB2312" w:hint="eastAsia"/>
          <w:b/>
          <w:bCs/>
          <w:sz w:val="30"/>
          <w:szCs w:val="30"/>
        </w:rPr>
        <w:t xml:space="preserve">  </w:t>
      </w:r>
      <w:r>
        <w:rPr>
          <w:rFonts w:ascii="仿宋_GB2312" w:eastAsia="仿宋_GB2312" w:hint="eastAsia"/>
          <w:sz w:val="30"/>
          <w:szCs w:val="30"/>
        </w:rPr>
        <w:t>上海证券交易所（以下简称本所）上市公司可转债的交易与转让等相关事项，适用本细则。本细则未作规定的，适用本所其他有关规定。</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第四条</w:t>
      </w:r>
      <w:r>
        <w:rPr>
          <w:rFonts w:ascii="仿宋_GB2312" w:eastAsia="仿宋_GB2312" w:hint="eastAsia"/>
          <w:b/>
          <w:bCs/>
          <w:sz w:val="30"/>
          <w:szCs w:val="30"/>
        </w:rPr>
        <w:t xml:space="preserve">  </w:t>
      </w:r>
      <w:r>
        <w:rPr>
          <w:rFonts w:ascii="仿宋_GB2312" w:eastAsia="仿宋_GB2312" w:hint="eastAsia"/>
          <w:sz w:val="30"/>
          <w:szCs w:val="30"/>
        </w:rPr>
        <w:t>投资者参与本所可转债市场交易或者相关业务的，应当充分知悉和了解可转债相关业务的风险事项、法律法规和本</w:t>
      </w:r>
      <w:r>
        <w:rPr>
          <w:rFonts w:ascii="仿宋_GB2312" w:eastAsia="仿宋_GB2312" w:hint="eastAsia"/>
          <w:sz w:val="30"/>
          <w:szCs w:val="30"/>
        </w:rPr>
        <w:lastRenderedPageBreak/>
        <w:t>所业务规则，遵守投资者适当性管</w:t>
      </w:r>
      <w:r>
        <w:rPr>
          <w:rFonts w:ascii="仿宋_GB2312" w:eastAsia="仿宋_GB2312" w:hint="eastAsia"/>
          <w:sz w:val="30"/>
          <w:szCs w:val="30"/>
        </w:rPr>
        <w:t>理相关要求，结合自身风险认知程度和承受能力，审慎判断是否参与可转债交易</w:t>
      </w:r>
      <w:r>
        <w:rPr>
          <w:rFonts w:ascii="仿宋_GB2312" w:eastAsia="仿宋_GB2312" w:hint="eastAsia"/>
          <w:sz w:val="30"/>
          <w:szCs w:val="30"/>
        </w:rPr>
        <w:t>或相关业务。</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本所会员应当切实履行投资者适当性管理义务，引导客户理性、规范地参与可转债市场交易或相关业务。</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第五条</w:t>
      </w:r>
      <w:r>
        <w:rPr>
          <w:rFonts w:ascii="仿宋_GB2312" w:eastAsia="仿宋_GB2312" w:hint="eastAsia"/>
          <w:b/>
          <w:bCs/>
          <w:sz w:val="30"/>
          <w:szCs w:val="30"/>
        </w:rPr>
        <w:t xml:space="preserve">  </w:t>
      </w:r>
      <w:r>
        <w:rPr>
          <w:rFonts w:ascii="仿宋_GB2312" w:eastAsia="仿宋_GB2312" w:hint="eastAsia"/>
          <w:sz w:val="30"/>
          <w:szCs w:val="30"/>
        </w:rPr>
        <w:t>可转债交易或转让采用全价价格进行申报，实行当日回转交易或转让。</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第六条</w:t>
      </w:r>
      <w:r>
        <w:rPr>
          <w:rFonts w:ascii="仿宋_GB2312" w:eastAsia="仿宋_GB2312" w:hint="eastAsia"/>
          <w:b/>
          <w:bCs/>
          <w:sz w:val="30"/>
          <w:szCs w:val="30"/>
        </w:rPr>
        <w:t xml:space="preserve">  </w:t>
      </w:r>
      <w:r>
        <w:rPr>
          <w:rFonts w:ascii="仿宋_GB2312" w:eastAsia="仿宋_GB2312" w:hint="eastAsia"/>
          <w:sz w:val="30"/>
          <w:szCs w:val="30"/>
        </w:rPr>
        <w:t>可转债交易的计价单位为“每百元面额的价格”，</w:t>
      </w:r>
      <w:r>
        <w:rPr>
          <w:rFonts w:ascii="仿宋_GB2312" w:eastAsia="仿宋_GB2312" w:hint="eastAsia"/>
          <w:sz w:val="30"/>
          <w:szCs w:val="30"/>
        </w:rPr>
        <w:t>100</w:t>
      </w:r>
      <w:r>
        <w:rPr>
          <w:rFonts w:ascii="仿宋_GB2312" w:eastAsia="仿宋_GB2312" w:hint="eastAsia"/>
          <w:sz w:val="30"/>
          <w:szCs w:val="30"/>
        </w:rPr>
        <w:t>元面额为</w:t>
      </w:r>
      <w:r>
        <w:rPr>
          <w:rFonts w:ascii="仿宋_GB2312" w:eastAsia="仿宋_GB2312" w:hint="eastAsia"/>
          <w:sz w:val="30"/>
          <w:szCs w:val="30"/>
        </w:rPr>
        <w:t>1</w:t>
      </w:r>
      <w:r>
        <w:rPr>
          <w:rFonts w:ascii="仿宋_GB2312" w:eastAsia="仿宋_GB2312" w:hint="eastAsia"/>
          <w:sz w:val="30"/>
          <w:szCs w:val="30"/>
        </w:rPr>
        <w:t>张。申报价格最小变动单位为</w:t>
      </w:r>
      <w:r>
        <w:rPr>
          <w:rFonts w:ascii="仿宋_GB2312" w:eastAsia="仿宋_GB2312" w:hint="eastAsia"/>
          <w:sz w:val="30"/>
          <w:szCs w:val="30"/>
        </w:rPr>
        <w:t>0.001</w:t>
      </w:r>
      <w:r>
        <w:rPr>
          <w:rFonts w:ascii="仿宋_GB2312" w:eastAsia="仿宋_GB2312" w:hint="eastAsia"/>
          <w:sz w:val="30"/>
          <w:szCs w:val="30"/>
        </w:rPr>
        <w:t>元。</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本所可以根据市场需要，调整前款规定的可转债申报价格最小变动单位。</w:t>
      </w:r>
    </w:p>
    <w:p w:rsidR="00000000" w:rsidRDefault="005D136B">
      <w:pPr>
        <w:spacing w:line="560" w:lineRule="exact"/>
        <w:jc w:val="center"/>
        <w:rPr>
          <w:rFonts w:ascii="黑体" w:eastAsia="黑体" w:hAnsi="黑体"/>
          <w:b/>
          <w:sz w:val="30"/>
          <w:szCs w:val="30"/>
        </w:rPr>
      </w:pPr>
      <w:r>
        <w:rPr>
          <w:rFonts w:ascii="黑体" w:eastAsia="黑体" w:hAnsi="黑体"/>
          <w:b/>
          <w:sz w:val="30"/>
          <w:szCs w:val="30"/>
        </w:rPr>
        <w:t>第二章</w:t>
      </w:r>
      <w:r>
        <w:rPr>
          <w:rFonts w:ascii="黑体" w:eastAsia="黑体" w:hAnsi="黑体"/>
          <w:b/>
          <w:sz w:val="30"/>
          <w:szCs w:val="30"/>
        </w:rPr>
        <w:t xml:space="preserve">  </w:t>
      </w:r>
      <w:r>
        <w:rPr>
          <w:rFonts w:ascii="黑体" w:eastAsia="黑体" w:hAnsi="黑体"/>
          <w:b/>
          <w:sz w:val="30"/>
          <w:szCs w:val="30"/>
        </w:rPr>
        <w:t>向不特定对象发行的可转债交易</w:t>
      </w:r>
    </w:p>
    <w:p w:rsidR="00000000" w:rsidRDefault="005D136B">
      <w:pPr>
        <w:spacing w:line="560" w:lineRule="exact"/>
        <w:jc w:val="center"/>
        <w:rPr>
          <w:rFonts w:ascii="仿宋_GB2312" w:eastAsia="仿宋_GB2312"/>
          <w:b/>
          <w:sz w:val="30"/>
          <w:szCs w:val="30"/>
        </w:rPr>
      </w:pPr>
      <w:r>
        <w:rPr>
          <w:rFonts w:ascii="仿宋_GB2312" w:eastAsia="仿宋_GB2312"/>
          <w:b/>
          <w:sz w:val="30"/>
          <w:szCs w:val="30"/>
        </w:rPr>
        <w:t>第一节</w:t>
      </w:r>
      <w:r>
        <w:rPr>
          <w:rFonts w:ascii="仿宋_GB2312" w:eastAsia="仿宋_GB2312"/>
          <w:b/>
          <w:sz w:val="30"/>
          <w:szCs w:val="30"/>
        </w:rPr>
        <w:t xml:space="preserve"> </w:t>
      </w:r>
      <w:r>
        <w:rPr>
          <w:rFonts w:ascii="仿宋_GB2312" w:eastAsia="仿宋_GB2312"/>
          <w:b/>
          <w:sz w:val="30"/>
          <w:szCs w:val="30"/>
        </w:rPr>
        <w:t>一般规定</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第七条</w:t>
      </w:r>
      <w:r>
        <w:rPr>
          <w:rFonts w:ascii="仿宋_GB2312" w:eastAsia="仿宋_GB2312" w:hint="eastAsia"/>
          <w:b/>
          <w:bCs/>
          <w:sz w:val="30"/>
          <w:szCs w:val="30"/>
        </w:rPr>
        <w:t xml:space="preserve"> </w:t>
      </w:r>
      <w:r>
        <w:rPr>
          <w:rFonts w:ascii="仿宋_GB2312" w:eastAsia="仿宋_GB2312" w:hint="eastAsia"/>
          <w:sz w:val="30"/>
          <w:szCs w:val="30"/>
        </w:rPr>
        <w:t>向不特定对象发行</w:t>
      </w:r>
      <w:r>
        <w:rPr>
          <w:rFonts w:ascii="仿宋_GB2312" w:eastAsia="仿宋_GB2312" w:hint="eastAsia"/>
          <w:sz w:val="30"/>
          <w:szCs w:val="30"/>
        </w:rPr>
        <w:t>的可转债采用匹配</w:t>
      </w:r>
      <w:r>
        <w:rPr>
          <w:rFonts w:ascii="仿宋_GB2312" w:eastAsia="仿宋_GB2312" w:hint="eastAsia"/>
          <w:sz w:val="30"/>
          <w:szCs w:val="30"/>
        </w:rPr>
        <w:t>成交、协商成交等交易方式。</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匹配成交是指交易系统按价格优先、时间优先的原则，对向不特定对象发行的可转债交易申报自动匹配成交的交易方式。</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协商成交是指可转债投资者之间通过协商等方式达成可转债交易意向，并向交易系统申报，经交易系统确认成交的交易方式。</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第八条</w:t>
      </w:r>
      <w:r>
        <w:rPr>
          <w:rFonts w:ascii="仿宋_GB2312" w:eastAsia="仿宋_GB2312" w:hint="eastAsia"/>
          <w:b/>
          <w:bCs/>
          <w:sz w:val="30"/>
          <w:szCs w:val="30"/>
        </w:rPr>
        <w:t xml:space="preserve">  </w:t>
      </w:r>
      <w:r>
        <w:rPr>
          <w:rFonts w:ascii="仿宋_GB2312" w:eastAsia="仿宋_GB2312" w:hint="eastAsia"/>
          <w:sz w:val="30"/>
          <w:szCs w:val="30"/>
        </w:rPr>
        <w:t>会员应当保证参与向不特定对象发行的可转债交易的经纪客户实际拥有与其申报相对应的证券或者资金。</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债券交易参与人参与向不特定对象发行的可转债交易的，应当确保拥有与申报相对应的证券或者资金。</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第九条</w:t>
      </w:r>
      <w:r>
        <w:rPr>
          <w:rFonts w:ascii="仿宋_GB2312" w:eastAsia="仿宋_GB2312" w:hint="eastAsia"/>
          <w:b/>
          <w:bCs/>
          <w:sz w:val="30"/>
          <w:szCs w:val="30"/>
        </w:rPr>
        <w:t xml:space="preserve">  </w:t>
      </w:r>
      <w:r>
        <w:rPr>
          <w:rFonts w:ascii="仿宋_GB2312" w:eastAsia="仿宋_GB2312" w:hint="eastAsia"/>
          <w:sz w:val="30"/>
          <w:szCs w:val="30"/>
        </w:rPr>
        <w:t>向不特定对象发行的可转债交易纳入当日的多边</w:t>
      </w:r>
      <w:r>
        <w:rPr>
          <w:rFonts w:ascii="仿宋_GB2312" w:eastAsia="仿宋_GB2312" w:hint="eastAsia"/>
          <w:sz w:val="30"/>
          <w:szCs w:val="30"/>
        </w:rPr>
        <w:lastRenderedPageBreak/>
        <w:t>净额结算。</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第十条</w:t>
      </w:r>
      <w:r>
        <w:rPr>
          <w:rFonts w:ascii="仿宋_GB2312" w:eastAsia="仿宋_GB2312" w:hint="eastAsia"/>
          <w:b/>
          <w:bCs/>
          <w:sz w:val="30"/>
          <w:szCs w:val="30"/>
        </w:rPr>
        <w:t xml:space="preserve">  </w:t>
      </w:r>
      <w:r>
        <w:rPr>
          <w:rFonts w:ascii="仿宋_GB2312" w:eastAsia="仿宋_GB2312" w:hint="eastAsia"/>
          <w:sz w:val="30"/>
          <w:szCs w:val="30"/>
        </w:rPr>
        <w:t>向不特定对象发行的可转债发生付息的，本所在权益登</w:t>
      </w:r>
      <w:r>
        <w:rPr>
          <w:rFonts w:ascii="仿宋_GB2312" w:eastAsia="仿宋_GB2312" w:hint="eastAsia"/>
          <w:sz w:val="30"/>
          <w:szCs w:val="30"/>
        </w:rPr>
        <w:t>记日次一交易日对该转债作除息处理。</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除息日即时行情中显示的该转债的前收盘价为除息参考价。除息参考价</w:t>
      </w:r>
      <w:r>
        <w:rPr>
          <w:rFonts w:ascii="仿宋_GB2312" w:eastAsia="仿宋_GB2312" w:hint="eastAsia"/>
          <w:sz w:val="30"/>
          <w:szCs w:val="30"/>
        </w:rPr>
        <w:t>=</w:t>
      </w:r>
      <w:r>
        <w:rPr>
          <w:rFonts w:ascii="仿宋_GB2312" w:eastAsia="仿宋_GB2312" w:hint="eastAsia"/>
          <w:sz w:val="30"/>
          <w:szCs w:val="30"/>
        </w:rPr>
        <w:t>前收盘价</w:t>
      </w:r>
      <w:r>
        <w:rPr>
          <w:rFonts w:ascii="仿宋_GB2312" w:eastAsia="仿宋_GB2312" w:hint="eastAsia"/>
          <w:sz w:val="30"/>
          <w:szCs w:val="30"/>
        </w:rPr>
        <w:t>-</w:t>
      </w:r>
      <w:r>
        <w:rPr>
          <w:rFonts w:ascii="仿宋_GB2312" w:eastAsia="仿宋_GB2312" w:hint="eastAsia"/>
          <w:sz w:val="30"/>
          <w:szCs w:val="30"/>
        </w:rPr>
        <w:t>本次支付的利息。</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向不特定对象发行的可转债在除息日的交易，以其除息参考价作为计算涨跌幅的基准。</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第十一条</w:t>
      </w:r>
      <w:r>
        <w:rPr>
          <w:rFonts w:ascii="仿宋_GB2312" w:eastAsia="仿宋_GB2312" w:hint="eastAsia"/>
          <w:b/>
          <w:bCs/>
          <w:sz w:val="30"/>
          <w:szCs w:val="30"/>
        </w:rPr>
        <w:t xml:space="preserve">  </w:t>
      </w:r>
      <w:r>
        <w:rPr>
          <w:rFonts w:ascii="仿宋_GB2312" w:eastAsia="仿宋_GB2312" w:hint="eastAsia"/>
          <w:sz w:val="30"/>
          <w:szCs w:val="30"/>
        </w:rPr>
        <w:t>向不特定对象发行的可转债最后一个交易日证券简称首位字母为“</w:t>
      </w:r>
      <w:r>
        <w:rPr>
          <w:rFonts w:ascii="仿宋_GB2312" w:eastAsia="仿宋_GB2312" w:hint="eastAsia"/>
          <w:sz w:val="30"/>
          <w:szCs w:val="30"/>
        </w:rPr>
        <w:t>Z</w:t>
      </w:r>
      <w:r>
        <w:rPr>
          <w:rFonts w:ascii="仿宋_GB2312" w:eastAsia="仿宋_GB2312" w:hint="eastAsia"/>
          <w:sz w:val="30"/>
          <w:szCs w:val="30"/>
        </w:rPr>
        <w:t>”。上市公司股票因交易类强制退市被终止上市，其向不特定对象发行的可转债被终止上市的情形除外。</w:t>
      </w:r>
    </w:p>
    <w:p w:rsidR="00000000" w:rsidRDefault="005D136B">
      <w:pPr>
        <w:spacing w:line="560" w:lineRule="exact"/>
        <w:jc w:val="center"/>
        <w:rPr>
          <w:rFonts w:ascii="仿宋_GB2312" w:eastAsia="仿宋_GB2312"/>
          <w:b/>
          <w:sz w:val="30"/>
          <w:szCs w:val="30"/>
        </w:rPr>
      </w:pPr>
      <w:r>
        <w:rPr>
          <w:rFonts w:ascii="仿宋_GB2312" w:eastAsia="仿宋_GB2312"/>
          <w:b/>
          <w:sz w:val="30"/>
          <w:szCs w:val="30"/>
        </w:rPr>
        <w:t>第二节</w:t>
      </w:r>
      <w:r>
        <w:rPr>
          <w:rFonts w:ascii="仿宋_GB2312" w:eastAsia="仿宋_GB2312"/>
          <w:b/>
          <w:sz w:val="30"/>
          <w:szCs w:val="30"/>
        </w:rPr>
        <w:t xml:space="preserve"> </w:t>
      </w:r>
      <w:r>
        <w:rPr>
          <w:rFonts w:ascii="仿宋_GB2312" w:eastAsia="仿宋_GB2312"/>
          <w:b/>
          <w:sz w:val="30"/>
          <w:szCs w:val="30"/>
        </w:rPr>
        <w:t>匹配成交</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第十二条</w:t>
      </w:r>
      <w:r>
        <w:rPr>
          <w:rFonts w:ascii="仿宋_GB2312" w:eastAsia="仿宋_GB2312" w:hint="eastAsia"/>
          <w:b/>
          <w:bCs/>
          <w:sz w:val="30"/>
          <w:szCs w:val="30"/>
        </w:rPr>
        <w:t xml:space="preserve">  </w:t>
      </w:r>
      <w:r>
        <w:rPr>
          <w:rFonts w:ascii="仿宋_GB2312" w:eastAsia="仿宋_GB2312" w:hint="eastAsia"/>
          <w:sz w:val="30"/>
          <w:szCs w:val="30"/>
        </w:rPr>
        <w:t>向不特定对象发行的可转债采用匹配成交方式</w:t>
      </w:r>
      <w:r>
        <w:rPr>
          <w:rFonts w:ascii="仿宋_GB2312" w:eastAsia="仿宋_GB2312" w:hint="eastAsia"/>
          <w:sz w:val="30"/>
          <w:szCs w:val="30"/>
        </w:rPr>
        <w:t>的，每个交易日的</w:t>
      </w:r>
      <w:r>
        <w:rPr>
          <w:rFonts w:ascii="仿宋_GB2312" w:eastAsia="仿宋_GB2312" w:hint="eastAsia"/>
          <w:sz w:val="30"/>
          <w:szCs w:val="30"/>
        </w:rPr>
        <w:t>9:15</w:t>
      </w:r>
      <w:r>
        <w:rPr>
          <w:rFonts w:ascii="仿宋_GB2312" w:eastAsia="仿宋_GB2312" w:hint="eastAsia"/>
          <w:sz w:val="30"/>
          <w:szCs w:val="30"/>
        </w:rPr>
        <w:t>至</w:t>
      </w:r>
      <w:r>
        <w:rPr>
          <w:rFonts w:ascii="仿宋_GB2312" w:eastAsia="仿宋_GB2312" w:hint="eastAsia"/>
          <w:sz w:val="30"/>
          <w:szCs w:val="30"/>
        </w:rPr>
        <w:t>9:25</w:t>
      </w:r>
      <w:r>
        <w:rPr>
          <w:rFonts w:ascii="仿宋_GB2312" w:eastAsia="仿宋_GB2312" w:hint="eastAsia"/>
          <w:sz w:val="30"/>
          <w:szCs w:val="30"/>
        </w:rPr>
        <w:t>为集合</w:t>
      </w:r>
      <w:r>
        <w:rPr>
          <w:rFonts w:ascii="仿宋_GB2312" w:eastAsia="仿宋_GB2312" w:hint="eastAsia"/>
          <w:sz w:val="30"/>
          <w:szCs w:val="30"/>
        </w:rPr>
        <w:t>匹配时间，</w:t>
      </w:r>
      <w:r>
        <w:rPr>
          <w:rFonts w:ascii="仿宋_GB2312" w:eastAsia="仿宋_GB2312" w:hint="eastAsia"/>
          <w:sz w:val="30"/>
          <w:szCs w:val="30"/>
        </w:rPr>
        <w:t>9:30</w:t>
      </w:r>
      <w:r>
        <w:rPr>
          <w:rFonts w:ascii="仿宋_GB2312" w:eastAsia="仿宋_GB2312" w:hint="eastAsia"/>
          <w:sz w:val="30"/>
          <w:szCs w:val="30"/>
        </w:rPr>
        <w:t>至</w:t>
      </w:r>
      <w:r>
        <w:rPr>
          <w:rFonts w:ascii="仿宋_GB2312" w:eastAsia="仿宋_GB2312" w:hint="eastAsia"/>
          <w:sz w:val="30"/>
          <w:szCs w:val="30"/>
        </w:rPr>
        <w:t>11:30</w:t>
      </w:r>
      <w:r>
        <w:rPr>
          <w:rFonts w:ascii="仿宋_GB2312" w:eastAsia="仿宋_GB2312" w:hint="eastAsia"/>
          <w:sz w:val="30"/>
          <w:szCs w:val="30"/>
        </w:rPr>
        <w:t>、</w:t>
      </w:r>
      <w:r>
        <w:rPr>
          <w:rFonts w:ascii="仿宋_GB2312" w:eastAsia="仿宋_GB2312" w:hint="eastAsia"/>
          <w:sz w:val="30"/>
          <w:szCs w:val="30"/>
        </w:rPr>
        <w:t>13:00</w:t>
      </w:r>
      <w:r>
        <w:rPr>
          <w:rFonts w:ascii="仿宋_GB2312" w:eastAsia="仿宋_GB2312" w:hint="eastAsia"/>
          <w:sz w:val="30"/>
          <w:szCs w:val="30"/>
        </w:rPr>
        <w:t>至</w:t>
      </w:r>
      <w:r>
        <w:rPr>
          <w:rFonts w:ascii="仿宋_GB2312" w:eastAsia="仿宋_GB2312" w:hint="eastAsia"/>
          <w:sz w:val="30"/>
          <w:szCs w:val="30"/>
        </w:rPr>
        <w:t>15:00</w:t>
      </w:r>
      <w:r>
        <w:rPr>
          <w:rFonts w:ascii="仿宋_GB2312" w:eastAsia="仿宋_GB2312" w:hint="eastAsia"/>
          <w:sz w:val="30"/>
          <w:szCs w:val="30"/>
        </w:rPr>
        <w:t>为连续匹配时间。</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第十三条</w:t>
      </w:r>
      <w:r>
        <w:rPr>
          <w:rFonts w:ascii="仿宋_GB2312" w:eastAsia="仿宋_GB2312" w:hint="eastAsia"/>
          <w:b/>
          <w:bCs/>
          <w:sz w:val="30"/>
          <w:szCs w:val="30"/>
        </w:rPr>
        <w:t xml:space="preserve">  </w:t>
      </w:r>
      <w:r>
        <w:rPr>
          <w:rFonts w:ascii="仿宋_GB2312" w:eastAsia="仿宋_GB2312" w:hint="eastAsia"/>
          <w:sz w:val="30"/>
          <w:szCs w:val="30"/>
        </w:rPr>
        <w:t>向不特定对象发行的可转债采用匹配成交方式的，申报数量应当为</w:t>
      </w:r>
      <w:r>
        <w:rPr>
          <w:rFonts w:ascii="仿宋_GB2312" w:eastAsia="仿宋_GB2312" w:hint="eastAsia"/>
          <w:sz w:val="30"/>
          <w:szCs w:val="30"/>
        </w:rPr>
        <w:t>1000</w:t>
      </w:r>
      <w:r>
        <w:rPr>
          <w:rFonts w:ascii="仿宋_GB2312" w:eastAsia="仿宋_GB2312" w:hint="eastAsia"/>
          <w:sz w:val="30"/>
          <w:szCs w:val="30"/>
        </w:rPr>
        <w:t>元面额或其整数倍。向不特定对象发行的可转债交易的单笔最大申报数量不得超过</w:t>
      </w:r>
      <w:r>
        <w:rPr>
          <w:rFonts w:ascii="仿宋_GB2312" w:eastAsia="仿宋_GB2312" w:hint="eastAsia"/>
          <w:sz w:val="30"/>
          <w:szCs w:val="30"/>
        </w:rPr>
        <w:t>1</w:t>
      </w:r>
      <w:r>
        <w:rPr>
          <w:rFonts w:ascii="仿宋_GB2312" w:eastAsia="仿宋_GB2312" w:hint="eastAsia"/>
          <w:sz w:val="30"/>
          <w:szCs w:val="30"/>
        </w:rPr>
        <w:t>亿元面额。</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本所可以根据市场发展需要，调整向不特定对象发行的可转债单笔交易申报数量要求。</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第十四条</w:t>
      </w:r>
      <w:r>
        <w:rPr>
          <w:rFonts w:ascii="仿宋_GB2312" w:eastAsia="仿宋_GB2312" w:hint="eastAsia"/>
          <w:b/>
          <w:bCs/>
          <w:sz w:val="30"/>
          <w:szCs w:val="30"/>
        </w:rPr>
        <w:t xml:space="preserve">  </w:t>
      </w:r>
      <w:r>
        <w:rPr>
          <w:rFonts w:ascii="仿宋_GB2312" w:eastAsia="仿宋_GB2312" w:hint="eastAsia"/>
          <w:sz w:val="30"/>
          <w:szCs w:val="30"/>
        </w:rPr>
        <w:t>向不特定对象发行的可转债的开盘价通过集合匹配产生，开盘价为集合匹配成交价格。集合匹配阶段未能产生开盘价的，开盘价通过连续匹配产生，开盘价为当日连续</w:t>
      </w:r>
      <w:r>
        <w:rPr>
          <w:rFonts w:ascii="仿宋_GB2312" w:eastAsia="仿宋_GB2312" w:hint="eastAsia"/>
          <w:sz w:val="30"/>
          <w:szCs w:val="30"/>
        </w:rPr>
        <w:t>匹配第一笔成交价格。</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向不特定对象发行的可转债的收盘价为匹配成交方式下</w:t>
      </w:r>
      <w:r>
        <w:rPr>
          <w:rFonts w:ascii="仿宋_GB2312" w:eastAsia="仿宋_GB2312" w:hint="eastAsia"/>
          <w:sz w:val="30"/>
          <w:szCs w:val="30"/>
        </w:rPr>
        <w:t>当</w:t>
      </w:r>
      <w:r>
        <w:rPr>
          <w:rFonts w:ascii="仿宋_GB2312" w:eastAsia="仿宋_GB2312" w:hint="eastAsia"/>
          <w:sz w:val="30"/>
          <w:szCs w:val="30"/>
        </w:rPr>
        <w:lastRenderedPageBreak/>
        <w:t>日该债券最后一笔交易（含）前一分钟所有交易的成交量加权平均价。当日匹配成交方式无成交的，以前收盘价为当日收盘价。</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以匹配成交外的其他交易方式达成的交易，不纳入开盘价和收盘价的计算。</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第十五条</w:t>
      </w:r>
      <w:r>
        <w:rPr>
          <w:rFonts w:ascii="仿宋_GB2312" w:eastAsia="仿宋_GB2312" w:hint="eastAsia"/>
          <w:b/>
          <w:bCs/>
          <w:sz w:val="30"/>
          <w:szCs w:val="30"/>
        </w:rPr>
        <w:t xml:space="preserve">  </w:t>
      </w:r>
      <w:r>
        <w:rPr>
          <w:rFonts w:ascii="仿宋_GB2312" w:eastAsia="仿宋_GB2312" w:hint="eastAsia"/>
          <w:sz w:val="30"/>
          <w:szCs w:val="30"/>
        </w:rPr>
        <w:t>向不特定对象发行的可转债交易采用匹配成交方式的，实行价格涨跌幅限制。</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向不特定对象发行的可转债上市后的首个交易日涨幅比例为</w:t>
      </w:r>
      <w:r>
        <w:rPr>
          <w:rFonts w:ascii="仿宋_GB2312" w:eastAsia="仿宋_GB2312" w:hint="eastAsia"/>
          <w:sz w:val="30"/>
          <w:szCs w:val="30"/>
        </w:rPr>
        <w:t>57.3%</w:t>
      </w:r>
      <w:r>
        <w:rPr>
          <w:rFonts w:ascii="仿宋_GB2312" w:eastAsia="仿宋_GB2312" w:hint="eastAsia"/>
          <w:sz w:val="30"/>
          <w:szCs w:val="30"/>
        </w:rPr>
        <w:t>、跌幅比例为</w:t>
      </w:r>
      <w:r>
        <w:rPr>
          <w:rFonts w:ascii="仿宋_GB2312" w:eastAsia="仿宋_GB2312" w:hint="eastAsia"/>
          <w:sz w:val="30"/>
          <w:szCs w:val="30"/>
        </w:rPr>
        <w:t>43.3%</w:t>
      </w:r>
      <w:r>
        <w:rPr>
          <w:rFonts w:ascii="仿宋_GB2312" w:eastAsia="仿宋_GB2312" w:hint="eastAsia"/>
          <w:sz w:val="30"/>
          <w:szCs w:val="30"/>
        </w:rPr>
        <w:t>。上市首个交易日后，涨跌幅比例为</w:t>
      </w:r>
      <w:r>
        <w:rPr>
          <w:rFonts w:ascii="仿宋_GB2312" w:eastAsia="仿宋_GB2312" w:hint="eastAsia"/>
          <w:sz w:val="30"/>
          <w:szCs w:val="30"/>
        </w:rPr>
        <w:t>20%</w:t>
      </w:r>
      <w:r>
        <w:rPr>
          <w:rFonts w:ascii="仿宋_GB2312" w:eastAsia="仿宋_GB2312" w:hint="eastAsia"/>
          <w:sz w:val="30"/>
          <w:szCs w:val="30"/>
        </w:rPr>
        <w:t>。涨跌幅价格的计算公式为：涨跌幅价格</w:t>
      </w:r>
      <w:r>
        <w:rPr>
          <w:rFonts w:ascii="仿宋_GB2312" w:eastAsia="仿宋_GB2312" w:hint="eastAsia"/>
          <w:sz w:val="30"/>
          <w:szCs w:val="30"/>
        </w:rPr>
        <w:t>=</w:t>
      </w:r>
      <w:r>
        <w:rPr>
          <w:rFonts w:ascii="仿宋_GB2312" w:eastAsia="仿宋_GB2312" w:hint="eastAsia"/>
          <w:sz w:val="30"/>
          <w:szCs w:val="30"/>
        </w:rPr>
        <w:t>前收盘价×（</w:t>
      </w:r>
      <w:r>
        <w:rPr>
          <w:rFonts w:ascii="仿宋_GB2312" w:eastAsia="仿宋_GB2312" w:hint="eastAsia"/>
          <w:sz w:val="30"/>
          <w:szCs w:val="30"/>
        </w:rPr>
        <w:t>1</w:t>
      </w:r>
      <w:r>
        <w:rPr>
          <w:rFonts w:ascii="仿宋_GB2312" w:eastAsia="仿宋_GB2312" w:hint="eastAsia"/>
          <w:sz w:val="30"/>
          <w:szCs w:val="30"/>
        </w:rPr>
        <w:t>±</w:t>
      </w:r>
      <w:r>
        <w:rPr>
          <w:rFonts w:ascii="仿宋_GB2312" w:eastAsia="仿宋_GB2312" w:hint="eastAsia"/>
          <w:sz w:val="30"/>
          <w:szCs w:val="30"/>
        </w:rPr>
        <w:t>涨跌幅比例）。计算结果按照四舍五入原则取至价格最小变动单位。向不特定对象发行的可转债上市首日，以该债券的发行价格作为前收盘价。</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涨跌幅限制价格与前收盘价之差的绝对值低于申报价格最小变动单位的，以前收盘价增减一个申报价格最小变动单位计算相应价格。涨跌幅限制价格上限或者下限低于申报价格最小变动单位的，以申报价格最小变动单位作为相应价格。</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第十六条</w:t>
      </w:r>
      <w:r>
        <w:rPr>
          <w:rFonts w:ascii="仿宋_GB2312" w:eastAsia="仿宋_GB2312" w:hint="eastAsia"/>
          <w:b/>
          <w:bCs/>
          <w:sz w:val="30"/>
          <w:szCs w:val="30"/>
        </w:rPr>
        <w:t xml:space="preserve">  </w:t>
      </w:r>
      <w:r>
        <w:rPr>
          <w:rFonts w:ascii="仿宋_GB2312" w:eastAsia="仿宋_GB2312" w:hint="eastAsia"/>
          <w:sz w:val="30"/>
          <w:szCs w:val="30"/>
        </w:rPr>
        <w:t>向不特定对象发行的可转债上市后的首个交易日内，匹配成交出现下列情形的，本所可以对其实施盘中临时停牌：</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（一）盘中成交价格较发行价首次上涨或下跌达到或者超过</w:t>
      </w:r>
      <w:r>
        <w:rPr>
          <w:rFonts w:ascii="仿宋_GB2312" w:eastAsia="仿宋_GB2312" w:hint="eastAsia"/>
          <w:sz w:val="30"/>
          <w:szCs w:val="30"/>
        </w:rPr>
        <w:t>20%</w:t>
      </w:r>
      <w:r>
        <w:rPr>
          <w:rFonts w:ascii="仿宋_GB2312" w:eastAsia="仿宋_GB2312" w:hint="eastAsia"/>
          <w:sz w:val="30"/>
          <w:szCs w:val="30"/>
        </w:rPr>
        <w:t>的，</w:t>
      </w:r>
      <w:r>
        <w:rPr>
          <w:rFonts w:ascii="仿宋_GB2312" w:eastAsia="仿宋_GB2312" w:hint="eastAsia"/>
          <w:sz w:val="30"/>
          <w:szCs w:val="30"/>
        </w:rPr>
        <w:t>临时停牌持续时间为</w:t>
      </w:r>
      <w:r>
        <w:rPr>
          <w:rFonts w:ascii="仿宋_GB2312" w:eastAsia="仿宋_GB2312" w:hint="eastAsia"/>
          <w:sz w:val="30"/>
          <w:szCs w:val="30"/>
        </w:rPr>
        <w:t>30</w:t>
      </w:r>
      <w:r>
        <w:rPr>
          <w:rFonts w:ascii="仿宋_GB2312" w:eastAsia="仿宋_GB2312" w:hint="eastAsia"/>
          <w:sz w:val="30"/>
          <w:szCs w:val="30"/>
        </w:rPr>
        <w:t>分钟；</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（二）盘中成交价格较发行价首次上涨或下跌</w:t>
      </w:r>
      <w:r>
        <w:rPr>
          <w:rFonts w:ascii="仿宋_GB2312" w:eastAsia="仿宋_GB2312" w:hint="eastAsia"/>
          <w:sz w:val="30"/>
          <w:szCs w:val="30"/>
        </w:rPr>
        <w:t>达到或者超过</w:t>
      </w:r>
      <w:r>
        <w:rPr>
          <w:rFonts w:ascii="仿宋_GB2312" w:eastAsia="仿宋_GB2312" w:hint="eastAsia"/>
          <w:sz w:val="30"/>
          <w:szCs w:val="30"/>
        </w:rPr>
        <w:t>30%</w:t>
      </w:r>
      <w:r>
        <w:rPr>
          <w:rFonts w:ascii="仿宋_GB2312" w:eastAsia="仿宋_GB2312" w:hint="eastAsia"/>
          <w:sz w:val="30"/>
          <w:szCs w:val="30"/>
        </w:rPr>
        <w:t>的，临时停牌时间持续至当日</w:t>
      </w:r>
      <w:r>
        <w:rPr>
          <w:rFonts w:ascii="仿宋_GB2312" w:eastAsia="仿宋_GB2312" w:hint="eastAsia"/>
          <w:sz w:val="30"/>
          <w:szCs w:val="30"/>
        </w:rPr>
        <w:t>14:57</w:t>
      </w:r>
      <w:r>
        <w:rPr>
          <w:rFonts w:ascii="仿宋_GB2312" w:eastAsia="仿宋_GB2312" w:hint="eastAsia"/>
          <w:sz w:val="30"/>
          <w:szCs w:val="30"/>
        </w:rPr>
        <w:t>；</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盘中临时停牌具体时间以本所公告为准，临时停牌时间跨越</w:t>
      </w:r>
      <w:r>
        <w:rPr>
          <w:rFonts w:ascii="仿宋_GB2312" w:eastAsia="仿宋_GB2312" w:hint="eastAsia"/>
          <w:sz w:val="30"/>
          <w:szCs w:val="30"/>
        </w:rPr>
        <w:lastRenderedPageBreak/>
        <w:t>14:57</w:t>
      </w:r>
      <w:r>
        <w:rPr>
          <w:rFonts w:ascii="仿宋_GB2312" w:eastAsia="仿宋_GB2312" w:hint="eastAsia"/>
          <w:sz w:val="30"/>
          <w:szCs w:val="30"/>
        </w:rPr>
        <w:t>的，于当日</w:t>
      </w:r>
      <w:r>
        <w:rPr>
          <w:rFonts w:ascii="仿宋_GB2312" w:eastAsia="仿宋_GB2312" w:hint="eastAsia"/>
          <w:sz w:val="30"/>
          <w:szCs w:val="30"/>
        </w:rPr>
        <w:t>14:57</w:t>
      </w:r>
      <w:r>
        <w:rPr>
          <w:rFonts w:ascii="仿宋_GB2312" w:eastAsia="仿宋_GB2312" w:hint="eastAsia"/>
          <w:sz w:val="30"/>
          <w:szCs w:val="30"/>
        </w:rPr>
        <w:t>复牌。</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本所可以视可转债交易情况调整相关指标阈值，或者采取进一步的盘中风险控制措施。</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第十七条</w:t>
      </w:r>
      <w:r>
        <w:rPr>
          <w:rFonts w:ascii="仿宋_GB2312" w:eastAsia="仿宋_GB2312" w:hint="eastAsia"/>
          <w:b/>
          <w:bCs/>
          <w:sz w:val="30"/>
          <w:szCs w:val="30"/>
        </w:rPr>
        <w:t xml:space="preserve">  </w:t>
      </w:r>
      <w:r>
        <w:rPr>
          <w:rFonts w:ascii="仿宋_GB2312" w:eastAsia="仿宋_GB2312" w:hint="eastAsia"/>
          <w:sz w:val="30"/>
          <w:szCs w:val="30"/>
        </w:rPr>
        <w:t>向不特定对象发行的可转债采用匹配成交方式的，其上市后的首个交易日，集合匹配阶段的有效申报价格范围为发行价的上下</w:t>
      </w:r>
      <w:r>
        <w:rPr>
          <w:rFonts w:ascii="仿宋_GB2312" w:eastAsia="仿宋_GB2312" w:hint="eastAsia"/>
          <w:sz w:val="30"/>
          <w:szCs w:val="30"/>
        </w:rPr>
        <w:t>30%</w:t>
      </w:r>
      <w:r>
        <w:rPr>
          <w:rFonts w:ascii="仿宋_GB2312" w:eastAsia="仿宋_GB2312" w:hint="eastAsia"/>
          <w:sz w:val="30"/>
          <w:szCs w:val="30"/>
        </w:rPr>
        <w:t>。连续匹配阶段的交易申报价格不高于即时揭示的最低卖出价格的</w:t>
      </w:r>
      <w:r>
        <w:rPr>
          <w:rFonts w:ascii="仿宋_GB2312" w:eastAsia="仿宋_GB2312" w:hint="eastAsia"/>
          <w:sz w:val="30"/>
          <w:szCs w:val="30"/>
        </w:rPr>
        <w:t>110%</w:t>
      </w:r>
      <w:r>
        <w:rPr>
          <w:rFonts w:ascii="仿宋_GB2312" w:eastAsia="仿宋_GB2312" w:hint="eastAsia"/>
          <w:sz w:val="30"/>
          <w:szCs w:val="30"/>
        </w:rPr>
        <w:t>且不低于即时揭示的最高</w:t>
      </w:r>
      <w:r>
        <w:rPr>
          <w:rFonts w:ascii="仿宋_GB2312" w:eastAsia="仿宋_GB2312" w:hint="eastAsia"/>
          <w:sz w:val="30"/>
          <w:szCs w:val="30"/>
        </w:rPr>
        <w:t>买入价格的</w:t>
      </w:r>
      <w:r>
        <w:rPr>
          <w:rFonts w:ascii="仿宋_GB2312" w:eastAsia="仿宋_GB2312" w:hint="eastAsia"/>
          <w:sz w:val="30"/>
          <w:szCs w:val="30"/>
        </w:rPr>
        <w:t>90%</w:t>
      </w:r>
      <w:r>
        <w:rPr>
          <w:rFonts w:ascii="仿宋_GB2312" w:eastAsia="仿宋_GB2312" w:hint="eastAsia"/>
          <w:sz w:val="30"/>
          <w:szCs w:val="30"/>
        </w:rPr>
        <w:t>；同时不高于上述最高申报价与最低申报价平均数的</w:t>
      </w:r>
      <w:r>
        <w:rPr>
          <w:rFonts w:ascii="仿宋_GB2312" w:eastAsia="仿宋_GB2312" w:hint="eastAsia"/>
          <w:sz w:val="30"/>
          <w:szCs w:val="30"/>
        </w:rPr>
        <w:t>130%</w:t>
      </w:r>
      <w:r>
        <w:rPr>
          <w:rFonts w:ascii="仿宋_GB2312" w:eastAsia="仿宋_GB2312" w:hint="eastAsia"/>
          <w:sz w:val="30"/>
          <w:szCs w:val="30"/>
        </w:rPr>
        <w:t>且不低于该平均数的</w:t>
      </w:r>
      <w:r>
        <w:rPr>
          <w:rFonts w:ascii="仿宋_GB2312" w:eastAsia="仿宋_GB2312" w:hint="eastAsia"/>
          <w:sz w:val="30"/>
          <w:szCs w:val="30"/>
        </w:rPr>
        <w:t>70%</w:t>
      </w:r>
      <w:r>
        <w:rPr>
          <w:rFonts w:ascii="仿宋_GB2312" w:eastAsia="仿宋_GB2312" w:hint="eastAsia"/>
          <w:sz w:val="30"/>
          <w:szCs w:val="30"/>
        </w:rPr>
        <w:t>；即时揭示中无买入申报价格的，即时揭示的最低卖出价格、最新成交价格中较低者视为前项最高买入价格；即时揭示中无卖</w:t>
      </w:r>
      <w:r>
        <w:rPr>
          <w:rFonts w:ascii="仿宋_GB2312" w:eastAsia="仿宋_GB2312" w:hint="eastAsia"/>
          <w:sz w:val="30"/>
          <w:szCs w:val="30"/>
        </w:rPr>
        <w:t>出申报价格的，即时揭示的最高买入价格、最新成交价格中较高者视为前项最低卖出价格。当日无交易的，前收盘价格视为最新成交价格。</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除上市首日外，有效申报价格范围与涨跌幅限制范围一致。</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第十八条</w:t>
      </w:r>
      <w:r>
        <w:rPr>
          <w:rFonts w:ascii="仿宋_GB2312" w:eastAsia="仿宋_GB2312" w:hint="eastAsia"/>
          <w:b/>
          <w:bCs/>
          <w:sz w:val="30"/>
          <w:szCs w:val="30"/>
        </w:rPr>
        <w:t xml:space="preserve">  </w:t>
      </w:r>
      <w:r>
        <w:rPr>
          <w:rFonts w:ascii="仿宋_GB2312" w:eastAsia="仿宋_GB2312" w:hint="eastAsia"/>
          <w:sz w:val="30"/>
          <w:szCs w:val="30"/>
        </w:rPr>
        <w:t>买卖可转债申报价格应当符合价格涨跌幅限制及有效申报价格范围要求，否则为无效申报。</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经中国证监会批准，本所可以调整涨跌幅</w:t>
      </w:r>
      <w:r>
        <w:rPr>
          <w:rFonts w:ascii="仿宋_GB2312" w:eastAsia="仿宋_GB2312" w:hint="eastAsia"/>
          <w:sz w:val="30"/>
          <w:szCs w:val="30"/>
        </w:rPr>
        <w:t>限制比例和有效申报价格范围。</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第十九条</w:t>
      </w:r>
      <w:r>
        <w:rPr>
          <w:rFonts w:ascii="仿宋_GB2312" w:eastAsia="仿宋_GB2312" w:hint="eastAsia"/>
          <w:b/>
          <w:bCs/>
          <w:sz w:val="30"/>
          <w:szCs w:val="30"/>
        </w:rPr>
        <w:t xml:space="preserve">  </w:t>
      </w:r>
      <w:r>
        <w:rPr>
          <w:rFonts w:ascii="仿宋_GB2312" w:eastAsia="仿宋_GB2312" w:hint="eastAsia"/>
          <w:sz w:val="30"/>
          <w:szCs w:val="30"/>
        </w:rPr>
        <w:t>本所在集合匹配阶段发布向不特</w:t>
      </w:r>
      <w:r>
        <w:rPr>
          <w:rFonts w:ascii="仿宋_GB2312" w:eastAsia="仿宋_GB2312" w:hint="eastAsia"/>
          <w:sz w:val="30"/>
          <w:szCs w:val="30"/>
        </w:rPr>
        <w:t>定对象发行的可转债参考价格、虚拟匹配量、虚拟未匹配量等信息，在连续匹配阶段发布最优五档买卖申报时间、价格、数量等信息。</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本所实时发布向不特定对象发行的可转债的即时成交行情。其中，即时成交行情包括前收盘价、开盘价、当日最新成交价格、当日最高成交价格、当日最低成交价格、当日累计成交数量、当</w:t>
      </w:r>
      <w:r>
        <w:rPr>
          <w:rFonts w:ascii="仿宋_GB2312" w:eastAsia="仿宋_GB2312" w:hint="eastAsia"/>
          <w:sz w:val="30"/>
          <w:szCs w:val="30"/>
        </w:rPr>
        <w:lastRenderedPageBreak/>
        <w:t>日累计成交金额等。</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第二十条</w:t>
      </w:r>
      <w:r>
        <w:rPr>
          <w:rFonts w:ascii="仿宋_GB2312" w:eastAsia="仿宋_GB2312" w:hint="eastAsia"/>
          <w:b/>
          <w:bCs/>
          <w:sz w:val="30"/>
          <w:szCs w:val="30"/>
        </w:rPr>
        <w:t xml:space="preserve">  </w:t>
      </w:r>
      <w:r>
        <w:rPr>
          <w:rFonts w:ascii="仿宋_GB2312" w:eastAsia="仿宋_GB2312" w:hint="eastAsia"/>
          <w:sz w:val="30"/>
          <w:szCs w:val="30"/>
        </w:rPr>
        <w:t>向不特定对象发行的可转债上市首日，本所公布其匹配成交当日买入、卖出金额最大的</w:t>
      </w:r>
      <w:r>
        <w:rPr>
          <w:rFonts w:ascii="仿宋_GB2312" w:eastAsia="仿宋_GB2312" w:hint="eastAsia"/>
          <w:sz w:val="30"/>
          <w:szCs w:val="30"/>
        </w:rPr>
        <w:t>5</w:t>
      </w:r>
      <w:r>
        <w:rPr>
          <w:rFonts w:ascii="仿宋_GB2312" w:eastAsia="仿宋_GB2312" w:hint="eastAsia"/>
          <w:sz w:val="30"/>
          <w:szCs w:val="30"/>
        </w:rPr>
        <w:t>家会员证券营业部的名称及其各自的买入、卖出金额</w:t>
      </w:r>
      <w:r>
        <w:rPr>
          <w:rFonts w:ascii="仿宋_GB2312" w:eastAsia="仿宋_GB2312" w:hint="eastAsia"/>
          <w:sz w:val="30"/>
          <w:szCs w:val="30"/>
        </w:rPr>
        <w:t>。</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上市首日后，出现下列情形之一的，本所公布其当日买入、卖出金额最大的</w:t>
      </w:r>
      <w:r>
        <w:rPr>
          <w:rFonts w:ascii="仿宋_GB2312" w:eastAsia="仿宋_GB2312" w:hint="eastAsia"/>
          <w:sz w:val="30"/>
          <w:szCs w:val="30"/>
        </w:rPr>
        <w:t>5</w:t>
      </w:r>
      <w:r>
        <w:rPr>
          <w:rFonts w:ascii="仿宋_GB2312" w:eastAsia="仿宋_GB2312" w:hint="eastAsia"/>
          <w:sz w:val="30"/>
          <w:szCs w:val="30"/>
        </w:rPr>
        <w:t>家会员证券营业部的名称及其各自的买入、卖出金额：</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（一）当日收盘价涨跌幅达到±</w:t>
      </w:r>
      <w:r>
        <w:rPr>
          <w:rFonts w:ascii="仿宋_GB2312" w:eastAsia="仿宋_GB2312" w:hint="eastAsia"/>
          <w:sz w:val="30"/>
          <w:szCs w:val="30"/>
        </w:rPr>
        <w:t>15%</w:t>
      </w:r>
      <w:r>
        <w:rPr>
          <w:rFonts w:ascii="仿宋_GB2312" w:eastAsia="仿宋_GB2312" w:hint="eastAsia"/>
          <w:sz w:val="30"/>
          <w:szCs w:val="30"/>
        </w:rPr>
        <w:t>的前</w:t>
      </w:r>
      <w:r>
        <w:rPr>
          <w:rFonts w:ascii="仿宋_GB2312" w:eastAsia="仿宋_GB2312" w:hint="eastAsia"/>
          <w:sz w:val="30"/>
          <w:szCs w:val="30"/>
        </w:rPr>
        <w:t>5</w:t>
      </w:r>
      <w:r>
        <w:rPr>
          <w:rFonts w:ascii="仿宋_GB2312" w:eastAsia="仿宋_GB2312" w:hint="eastAsia"/>
          <w:sz w:val="30"/>
          <w:szCs w:val="30"/>
        </w:rPr>
        <w:t>只可转债；</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（二）当日价格振幅达到</w:t>
      </w:r>
      <w:r>
        <w:rPr>
          <w:rFonts w:ascii="仿宋_GB2312" w:eastAsia="仿宋_GB2312" w:hint="eastAsia"/>
          <w:sz w:val="30"/>
          <w:szCs w:val="30"/>
        </w:rPr>
        <w:t>30%</w:t>
      </w:r>
      <w:r>
        <w:rPr>
          <w:rFonts w:ascii="仿宋_GB2312" w:eastAsia="仿宋_GB2312" w:hint="eastAsia"/>
          <w:sz w:val="30"/>
          <w:szCs w:val="30"/>
        </w:rPr>
        <w:t>的前</w:t>
      </w:r>
      <w:r>
        <w:rPr>
          <w:rFonts w:ascii="仿宋_GB2312" w:eastAsia="仿宋_GB2312" w:hint="eastAsia"/>
          <w:sz w:val="30"/>
          <w:szCs w:val="30"/>
        </w:rPr>
        <w:t>5</w:t>
      </w:r>
      <w:r>
        <w:rPr>
          <w:rFonts w:ascii="仿宋_GB2312" w:eastAsia="仿宋_GB2312" w:hint="eastAsia"/>
          <w:sz w:val="30"/>
          <w:szCs w:val="30"/>
        </w:rPr>
        <w:t>只可转债；</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价格振幅的计算公式为：</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价格振幅</w:t>
      </w:r>
      <w:r>
        <w:rPr>
          <w:rFonts w:ascii="仿宋_GB2312" w:eastAsia="仿宋_GB2312" w:hint="eastAsia"/>
          <w:sz w:val="30"/>
          <w:szCs w:val="30"/>
        </w:rPr>
        <w:t>=</w:t>
      </w:r>
      <w:r>
        <w:rPr>
          <w:rFonts w:ascii="仿宋_GB2312" w:eastAsia="仿宋_GB2312" w:hint="eastAsia"/>
          <w:sz w:val="30"/>
          <w:szCs w:val="30"/>
        </w:rPr>
        <w:t>（当日最高价</w:t>
      </w:r>
      <w:r>
        <w:rPr>
          <w:rFonts w:ascii="仿宋_GB2312" w:eastAsia="仿宋_GB2312" w:hint="eastAsia"/>
          <w:sz w:val="30"/>
          <w:szCs w:val="30"/>
        </w:rPr>
        <w:t>-</w:t>
      </w:r>
      <w:r>
        <w:rPr>
          <w:rFonts w:ascii="仿宋_GB2312" w:eastAsia="仿宋_GB2312" w:hint="eastAsia"/>
          <w:sz w:val="30"/>
          <w:szCs w:val="30"/>
        </w:rPr>
        <w:t>当日最低价）</w:t>
      </w:r>
      <w:r>
        <w:rPr>
          <w:rFonts w:ascii="仿宋_GB2312" w:eastAsia="仿宋_GB2312" w:hint="eastAsia"/>
          <w:sz w:val="30"/>
          <w:szCs w:val="30"/>
        </w:rPr>
        <w:t>/</w:t>
      </w:r>
      <w:r>
        <w:rPr>
          <w:rFonts w:ascii="仿宋_GB2312" w:eastAsia="仿宋_GB2312" w:hint="eastAsia"/>
          <w:sz w:val="30"/>
          <w:szCs w:val="30"/>
        </w:rPr>
        <w:t>当日最低价×</w:t>
      </w:r>
      <w:r>
        <w:rPr>
          <w:rFonts w:ascii="仿宋_GB2312" w:eastAsia="仿宋_GB2312" w:hint="eastAsia"/>
          <w:sz w:val="30"/>
          <w:szCs w:val="30"/>
        </w:rPr>
        <w:t>100%</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收盘价涨跌幅或者价格振幅相同的，依次按成交金额和成交量选取。</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第二十一条</w:t>
      </w:r>
      <w:r>
        <w:rPr>
          <w:rFonts w:ascii="仿宋_GB2312" w:eastAsia="仿宋_GB2312" w:hint="eastAsia"/>
          <w:b/>
          <w:bCs/>
          <w:sz w:val="30"/>
          <w:szCs w:val="30"/>
        </w:rPr>
        <w:t xml:space="preserve">  </w:t>
      </w:r>
      <w:r>
        <w:rPr>
          <w:rFonts w:ascii="仿宋_GB2312" w:eastAsia="仿宋_GB2312" w:hint="eastAsia"/>
          <w:sz w:val="30"/>
          <w:szCs w:val="30"/>
        </w:rPr>
        <w:t>向不特定对象发行的可转债匹配交易出现下列情形之一的，属于交易异常波动，本所分别公布其在交易异常波动期间累计买入、卖出金额最大的</w:t>
      </w:r>
      <w:r>
        <w:rPr>
          <w:rFonts w:ascii="仿宋_GB2312" w:eastAsia="仿宋_GB2312" w:hint="eastAsia"/>
          <w:sz w:val="30"/>
          <w:szCs w:val="30"/>
        </w:rPr>
        <w:t>5</w:t>
      </w:r>
      <w:r>
        <w:rPr>
          <w:rFonts w:ascii="仿宋_GB2312" w:eastAsia="仿宋_GB2312" w:hint="eastAsia"/>
          <w:sz w:val="30"/>
          <w:szCs w:val="30"/>
        </w:rPr>
        <w:t>家会</w:t>
      </w:r>
      <w:r>
        <w:rPr>
          <w:rFonts w:ascii="仿宋_GB2312" w:eastAsia="仿宋_GB2312" w:hint="eastAsia"/>
          <w:sz w:val="30"/>
          <w:szCs w:val="30"/>
        </w:rPr>
        <w:t>员证券营业部的名称及其买入、卖出金额：</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（一）连续</w:t>
      </w:r>
      <w:r>
        <w:rPr>
          <w:rFonts w:ascii="仿宋_GB2312" w:eastAsia="仿宋_GB2312" w:hint="eastAsia"/>
          <w:sz w:val="30"/>
          <w:szCs w:val="30"/>
        </w:rPr>
        <w:t>3</w:t>
      </w:r>
      <w:r>
        <w:rPr>
          <w:rFonts w:ascii="仿宋_GB2312" w:eastAsia="仿宋_GB2312" w:hint="eastAsia"/>
          <w:sz w:val="30"/>
          <w:szCs w:val="30"/>
        </w:rPr>
        <w:t>个交易日内日收盘价</w:t>
      </w:r>
      <w:r>
        <w:rPr>
          <w:rFonts w:ascii="仿宋_GB2312" w:eastAsia="仿宋_GB2312" w:hint="eastAsia"/>
          <w:sz w:val="30"/>
          <w:szCs w:val="30"/>
        </w:rPr>
        <w:t>格涨跌幅偏离值累计达到±</w:t>
      </w:r>
      <w:r>
        <w:rPr>
          <w:rFonts w:ascii="仿宋_GB2312" w:eastAsia="仿宋_GB2312" w:hint="eastAsia"/>
          <w:sz w:val="30"/>
          <w:szCs w:val="30"/>
        </w:rPr>
        <w:t>30%</w:t>
      </w:r>
      <w:r>
        <w:rPr>
          <w:rFonts w:ascii="仿宋_GB2312" w:eastAsia="仿宋_GB2312" w:hint="eastAsia"/>
          <w:sz w:val="30"/>
          <w:szCs w:val="30"/>
        </w:rPr>
        <w:t>；</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（二）中国证监会或者本所认定属于异常波动的其他情形。</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第二十二条</w:t>
      </w:r>
      <w:r>
        <w:rPr>
          <w:rFonts w:ascii="仿宋_GB2312" w:eastAsia="仿宋_GB2312" w:hint="eastAsia"/>
          <w:b/>
          <w:bCs/>
          <w:sz w:val="30"/>
          <w:szCs w:val="30"/>
        </w:rPr>
        <w:t xml:space="preserve">  </w:t>
      </w:r>
      <w:r>
        <w:rPr>
          <w:rFonts w:ascii="仿宋_GB2312" w:eastAsia="仿宋_GB2312" w:hint="eastAsia"/>
          <w:sz w:val="30"/>
          <w:szCs w:val="30"/>
        </w:rPr>
        <w:t>向不特定对象发行的可转债匹配交易出现下列情形之一的，属于严重异常波动，本所公布严重异常波动期间的投资者分类交易统计等信息：</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（一）连续</w:t>
      </w:r>
      <w:r>
        <w:rPr>
          <w:rFonts w:ascii="仿宋_GB2312" w:eastAsia="仿宋_GB2312" w:hint="eastAsia"/>
          <w:sz w:val="30"/>
          <w:szCs w:val="30"/>
        </w:rPr>
        <w:t>10</w:t>
      </w:r>
      <w:r>
        <w:rPr>
          <w:rFonts w:ascii="仿宋_GB2312" w:eastAsia="仿宋_GB2312" w:hint="eastAsia"/>
          <w:sz w:val="30"/>
          <w:szCs w:val="30"/>
        </w:rPr>
        <w:t>个交易日内</w:t>
      </w:r>
      <w:r>
        <w:rPr>
          <w:rFonts w:ascii="仿宋_GB2312" w:eastAsia="仿宋_GB2312" w:hint="eastAsia"/>
          <w:sz w:val="30"/>
          <w:szCs w:val="30"/>
        </w:rPr>
        <w:t>3</w:t>
      </w:r>
      <w:r>
        <w:rPr>
          <w:rFonts w:ascii="仿宋_GB2312" w:eastAsia="仿宋_GB2312" w:hint="eastAsia"/>
          <w:sz w:val="30"/>
          <w:szCs w:val="30"/>
        </w:rPr>
        <w:t>次出现第二十一条规定的同向</w:t>
      </w:r>
      <w:r>
        <w:rPr>
          <w:rFonts w:ascii="仿宋_GB2312" w:eastAsia="仿宋_GB2312" w:hint="eastAsia"/>
          <w:sz w:val="30"/>
          <w:szCs w:val="30"/>
        </w:rPr>
        <w:lastRenderedPageBreak/>
        <w:t>异常波动情形；</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（二）连续</w:t>
      </w:r>
      <w:r>
        <w:rPr>
          <w:rFonts w:ascii="仿宋_GB2312" w:eastAsia="仿宋_GB2312" w:hint="eastAsia"/>
          <w:sz w:val="30"/>
          <w:szCs w:val="30"/>
        </w:rPr>
        <w:t>10</w:t>
      </w:r>
      <w:r>
        <w:rPr>
          <w:rFonts w:ascii="仿宋_GB2312" w:eastAsia="仿宋_GB2312" w:hint="eastAsia"/>
          <w:sz w:val="30"/>
          <w:szCs w:val="30"/>
        </w:rPr>
        <w:t>个交易日内日收盘价格涨跌幅偏离值累计达到</w:t>
      </w:r>
      <w:r>
        <w:rPr>
          <w:rFonts w:ascii="仿宋_GB2312" w:eastAsia="仿宋_GB2312" w:hint="eastAsia"/>
          <w:sz w:val="30"/>
          <w:szCs w:val="30"/>
        </w:rPr>
        <w:t>+100%</w:t>
      </w:r>
      <w:r>
        <w:rPr>
          <w:rFonts w:ascii="仿宋_GB2312" w:eastAsia="仿宋_GB2312" w:hint="eastAsia"/>
          <w:sz w:val="30"/>
          <w:szCs w:val="30"/>
        </w:rPr>
        <w:t>（</w:t>
      </w:r>
      <w:r>
        <w:rPr>
          <w:rFonts w:ascii="仿宋_GB2312" w:eastAsia="仿宋_GB2312" w:hint="eastAsia"/>
          <w:sz w:val="30"/>
          <w:szCs w:val="30"/>
        </w:rPr>
        <w:t>-50%</w:t>
      </w:r>
      <w:r>
        <w:rPr>
          <w:rFonts w:ascii="仿宋_GB2312" w:eastAsia="仿宋_GB2312" w:hint="eastAsia"/>
          <w:sz w:val="30"/>
          <w:szCs w:val="30"/>
        </w:rPr>
        <w:t>）；</w:t>
      </w:r>
      <w:r>
        <w:rPr>
          <w:rFonts w:ascii="仿宋_GB2312" w:eastAsia="仿宋_GB2312" w:hint="eastAsia"/>
          <w:sz w:val="30"/>
          <w:szCs w:val="30"/>
        </w:rPr>
        <w:t xml:space="preserve"> </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（三）连续</w:t>
      </w:r>
      <w:r>
        <w:rPr>
          <w:rFonts w:ascii="仿宋_GB2312" w:eastAsia="仿宋_GB2312" w:hint="eastAsia"/>
          <w:sz w:val="30"/>
          <w:szCs w:val="30"/>
        </w:rPr>
        <w:t>30</w:t>
      </w:r>
      <w:r>
        <w:rPr>
          <w:rFonts w:ascii="仿宋_GB2312" w:eastAsia="仿宋_GB2312" w:hint="eastAsia"/>
          <w:sz w:val="30"/>
          <w:szCs w:val="30"/>
        </w:rPr>
        <w:t>个交易日内日收盘价格涨跌幅偏离值累计达到</w:t>
      </w:r>
      <w:r>
        <w:rPr>
          <w:rFonts w:ascii="仿宋_GB2312" w:eastAsia="仿宋_GB2312" w:hint="eastAsia"/>
          <w:sz w:val="30"/>
          <w:szCs w:val="30"/>
        </w:rPr>
        <w:t>+200%</w:t>
      </w:r>
      <w:r>
        <w:rPr>
          <w:rFonts w:ascii="仿宋_GB2312" w:eastAsia="仿宋_GB2312" w:hint="eastAsia"/>
          <w:sz w:val="30"/>
          <w:szCs w:val="30"/>
        </w:rPr>
        <w:t>（</w:t>
      </w:r>
      <w:r>
        <w:rPr>
          <w:rFonts w:ascii="仿宋_GB2312" w:eastAsia="仿宋_GB2312" w:hint="eastAsia"/>
          <w:sz w:val="30"/>
          <w:szCs w:val="30"/>
        </w:rPr>
        <w:t>-70%</w:t>
      </w:r>
      <w:r>
        <w:rPr>
          <w:rFonts w:ascii="仿宋_GB2312" w:eastAsia="仿宋_GB2312" w:hint="eastAsia"/>
          <w:sz w:val="30"/>
          <w:szCs w:val="30"/>
        </w:rPr>
        <w:t>）；</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（四）中国证监会或者本所认定属于严重异常波动的其他情形。</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前述收盘价格涨跌幅偏离值为单只可转债涨跌幅与上证转债指数涨跌幅之差。</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向不特定对象发行的可转债交易出现严重异常波动的多种情形的，本所一并予以公布。</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第二十三条</w:t>
      </w:r>
      <w:r>
        <w:rPr>
          <w:rFonts w:ascii="仿宋_GB2312" w:eastAsia="仿宋_GB2312" w:hint="eastAsia"/>
          <w:b/>
          <w:bCs/>
          <w:sz w:val="30"/>
          <w:szCs w:val="30"/>
        </w:rPr>
        <w:t xml:space="preserve">  </w:t>
      </w:r>
      <w:r>
        <w:rPr>
          <w:rFonts w:ascii="仿宋_GB2312" w:eastAsia="仿宋_GB2312" w:hint="eastAsia"/>
          <w:sz w:val="30"/>
          <w:szCs w:val="30"/>
        </w:rPr>
        <w:t>向不特定对象发行的可转债交易出现严重异常波动情形的，本所可根据市场情况，加强异常交易监控，并要求会员采取有效措施向客户提示风险。本所可以根据市场情况，调整异常波动和严重异常波动的认定标准。</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异常波动指标和严重异常</w:t>
      </w:r>
      <w:r>
        <w:rPr>
          <w:rFonts w:ascii="仿宋_GB2312" w:eastAsia="仿宋_GB2312" w:hint="eastAsia"/>
          <w:sz w:val="30"/>
          <w:szCs w:val="30"/>
        </w:rPr>
        <w:t>波动指标自本所公布的次一交易日或者复牌之日起重新计算。</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向不特定对象发行的可转债上市首日不纳入异常波动指标和严重异常波动指标的计算。</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向不特定对象发行的可转债不适用债券交易价格偏离报告制度。</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第二十四条</w:t>
      </w:r>
      <w:r>
        <w:rPr>
          <w:rFonts w:ascii="仿宋_GB2312" w:eastAsia="仿宋_GB2312" w:hint="eastAsia"/>
          <w:b/>
          <w:bCs/>
          <w:sz w:val="30"/>
          <w:szCs w:val="30"/>
        </w:rPr>
        <w:t xml:space="preserve">  </w:t>
      </w:r>
      <w:r>
        <w:rPr>
          <w:rFonts w:ascii="仿宋_GB2312" w:eastAsia="仿宋_GB2312" w:hint="eastAsia"/>
          <w:sz w:val="30"/>
          <w:szCs w:val="30"/>
        </w:rPr>
        <w:t>本所可以根据异常波动程度和监管需要，采取下列措施：</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（一）要求上市公司披露可转债异常波动公告；</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lastRenderedPageBreak/>
        <w:t>（二）要求上市公司停牌核查并披露核查公告；</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（三）向市场提示异常波动可转债投资风险；</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（四）对可转债实施盘中强制停牌；</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（五）本所认为必要的其他措施。</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第二十五条</w:t>
      </w:r>
      <w:r>
        <w:rPr>
          <w:rFonts w:ascii="仿宋_GB2312" w:eastAsia="仿宋_GB2312" w:hint="eastAsia"/>
          <w:b/>
          <w:bCs/>
          <w:sz w:val="30"/>
          <w:szCs w:val="30"/>
        </w:rPr>
        <w:t xml:space="preserve">  </w:t>
      </w:r>
      <w:r>
        <w:rPr>
          <w:rFonts w:ascii="仿宋_GB2312" w:eastAsia="仿宋_GB2312" w:hint="eastAsia"/>
          <w:sz w:val="30"/>
          <w:szCs w:val="30"/>
        </w:rPr>
        <w:t>向不特定对象发行的可转债交易出现异常波动时，</w:t>
      </w:r>
      <w:r>
        <w:rPr>
          <w:rFonts w:ascii="仿宋_GB2312" w:eastAsia="仿宋_GB2312" w:hint="eastAsia"/>
          <w:sz w:val="30"/>
          <w:szCs w:val="30"/>
        </w:rPr>
        <w:t>上市公司或者相关信息披露义务人应当及时核查下列事项：</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（一）是否存在导致可转债价格异常波动的未披露事项；</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（二）可转债价格偏离可转债价值的程度；</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（三）上市公司董事、</w:t>
      </w:r>
      <w:r>
        <w:rPr>
          <w:rFonts w:ascii="仿宋_GB2312" w:eastAsia="仿宋_GB2312" w:hint="eastAsia"/>
          <w:sz w:val="30"/>
          <w:szCs w:val="30"/>
        </w:rPr>
        <w:t>高级管理人员、实际控制人、控股股东及其一致行动人买卖公司可转债的情况；</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（四）是否存在导致可转债价格异常波动的重大信息或者重大风险事项。</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上市公司应当于可转债发生异常波动次一交易日披露可转债交易异常波动公告，明确异常波动的具体情况与相关核查结果，向市场充分提示风险。</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可转债交易出现严重异常波动情形时，应当按照前两款规定披露核查公告；无法披露的，</w:t>
      </w:r>
      <w:r>
        <w:rPr>
          <w:rFonts w:ascii="仿宋_GB2312" w:eastAsia="仿宋_GB2312" w:hint="eastAsia"/>
          <w:sz w:val="30"/>
          <w:szCs w:val="30"/>
        </w:rPr>
        <w:t>应当申请其可转债自次一交易日起停牌核查，直至披露核查公告后复牌。</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可转债交易涨跌幅、交易换手率、转股溢价率等指标出现异常时，本所可以视情况要求上市公司进行核查。上市公司应当在核查公告中充分提示可转债交易风险。</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第二十六条</w:t>
      </w:r>
      <w:r>
        <w:rPr>
          <w:rFonts w:ascii="仿宋_GB2312" w:eastAsia="仿宋_GB2312" w:hint="eastAsia"/>
          <w:b/>
          <w:bCs/>
          <w:sz w:val="30"/>
          <w:szCs w:val="30"/>
        </w:rPr>
        <w:t xml:space="preserve">  </w:t>
      </w:r>
      <w:r>
        <w:rPr>
          <w:rFonts w:ascii="仿宋_GB2312" w:eastAsia="仿宋_GB2312" w:hint="eastAsia"/>
          <w:sz w:val="30"/>
          <w:szCs w:val="30"/>
        </w:rPr>
        <w:t>本所对可能影响向不特定对象发行可转债交易价格或者交易量的异常交易行为予以重点监控。</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lastRenderedPageBreak/>
        <w:t>前款所称异常交易行为除《上海证券交易所债券交易规则》第一百二十五条规定外，还包括：</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（一）</w:t>
      </w:r>
      <w:r>
        <w:rPr>
          <w:rFonts w:eastAsia="仿宋_GB2312" w:hint="eastAsia"/>
          <w:sz w:val="30"/>
          <w:szCs w:val="30"/>
        </w:rPr>
        <w:t> </w:t>
      </w:r>
      <w:r>
        <w:rPr>
          <w:rFonts w:ascii="仿宋_GB2312" w:eastAsia="仿宋_GB2312" w:hint="eastAsia"/>
          <w:sz w:val="30"/>
          <w:szCs w:val="30"/>
        </w:rPr>
        <w:t>通过大笔申报、连续申报、密集申报，以维持可转债交易价格或者交易量处于特定状态；</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（二）</w:t>
      </w:r>
      <w:r>
        <w:rPr>
          <w:rFonts w:eastAsia="仿宋_GB2312" w:hint="eastAsia"/>
          <w:sz w:val="30"/>
          <w:szCs w:val="30"/>
        </w:rPr>
        <w:t> </w:t>
      </w:r>
      <w:r>
        <w:rPr>
          <w:rFonts w:ascii="仿宋_GB2312" w:eastAsia="仿宋_GB2312" w:hint="eastAsia"/>
          <w:sz w:val="30"/>
          <w:szCs w:val="30"/>
        </w:rPr>
        <w:t>通过大笔申报、连续申报、</w:t>
      </w:r>
      <w:r>
        <w:rPr>
          <w:rFonts w:ascii="仿宋_GB2312" w:eastAsia="仿宋_GB2312" w:hint="eastAsia"/>
          <w:sz w:val="30"/>
          <w:szCs w:val="30"/>
        </w:rPr>
        <w:t>密集申报或者以明显偏离合理价值的价格申报，意图加剧可转债价格异常波动或者影响本所正常交易秩序；</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（三）大量或者频繁进行日内回转交易，影响本所正常交易秩序；</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（四）中国</w:t>
      </w:r>
      <w:r>
        <w:rPr>
          <w:rFonts w:ascii="仿宋_GB2312" w:eastAsia="仿宋_GB2312" w:hint="eastAsia"/>
          <w:sz w:val="30"/>
          <w:szCs w:val="30"/>
        </w:rPr>
        <w:t>证监会或者本所认为需要重点监控的其他异常交易行为。</w:t>
      </w:r>
    </w:p>
    <w:p w:rsidR="00000000" w:rsidRDefault="005D136B">
      <w:pPr>
        <w:spacing w:line="560" w:lineRule="exact"/>
        <w:jc w:val="center"/>
        <w:rPr>
          <w:rFonts w:ascii="仿宋_GB2312" w:eastAsia="仿宋_GB2312" w:hint="eastAsia"/>
          <w:b/>
          <w:sz w:val="30"/>
          <w:szCs w:val="30"/>
        </w:rPr>
      </w:pPr>
      <w:r>
        <w:rPr>
          <w:rFonts w:ascii="仿宋_GB2312" w:eastAsia="仿宋_GB2312" w:hint="eastAsia"/>
          <w:b/>
          <w:sz w:val="30"/>
          <w:szCs w:val="30"/>
        </w:rPr>
        <w:t>第三节</w:t>
      </w:r>
      <w:r>
        <w:rPr>
          <w:rFonts w:ascii="仿宋_GB2312" w:eastAsia="仿宋_GB2312" w:hint="eastAsia"/>
          <w:b/>
          <w:sz w:val="30"/>
          <w:szCs w:val="30"/>
        </w:rPr>
        <w:t xml:space="preserve"> </w:t>
      </w:r>
      <w:r>
        <w:rPr>
          <w:rFonts w:ascii="仿宋_GB2312" w:eastAsia="仿宋_GB2312" w:hint="eastAsia"/>
          <w:b/>
          <w:sz w:val="30"/>
          <w:szCs w:val="30"/>
        </w:rPr>
        <w:t>协商成交</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第二十七条</w:t>
      </w:r>
      <w:r>
        <w:rPr>
          <w:rFonts w:ascii="仿宋_GB2312" w:eastAsia="仿宋_GB2312" w:hint="eastAsia"/>
          <w:b/>
          <w:bCs/>
          <w:sz w:val="30"/>
          <w:szCs w:val="30"/>
        </w:rPr>
        <w:t xml:space="preserve">  </w:t>
      </w:r>
      <w:r>
        <w:rPr>
          <w:rFonts w:ascii="仿宋_GB2312" w:eastAsia="仿宋_GB2312" w:hint="eastAsia"/>
          <w:sz w:val="30"/>
          <w:szCs w:val="30"/>
        </w:rPr>
        <w:t>向不特定对象发行的可转债采用协商成交方式的，交易时间为每个交易日的</w:t>
      </w:r>
      <w:r>
        <w:rPr>
          <w:rFonts w:ascii="仿宋_GB2312" w:eastAsia="仿宋_GB2312" w:hint="eastAsia"/>
          <w:sz w:val="30"/>
          <w:szCs w:val="30"/>
        </w:rPr>
        <w:t>15:00</w:t>
      </w:r>
      <w:r>
        <w:rPr>
          <w:rFonts w:ascii="仿宋_GB2312" w:eastAsia="仿宋_GB2312" w:hint="eastAsia"/>
          <w:sz w:val="30"/>
          <w:szCs w:val="30"/>
        </w:rPr>
        <w:t>至</w:t>
      </w:r>
      <w:r>
        <w:rPr>
          <w:rFonts w:ascii="仿宋_GB2312" w:eastAsia="仿宋_GB2312" w:hint="eastAsia"/>
          <w:sz w:val="30"/>
          <w:szCs w:val="30"/>
        </w:rPr>
        <w:t>15:30</w:t>
      </w:r>
      <w:r>
        <w:rPr>
          <w:rFonts w:ascii="仿宋_GB2312" w:eastAsia="仿宋_GB2312" w:hint="eastAsia"/>
          <w:sz w:val="30"/>
          <w:szCs w:val="30"/>
        </w:rPr>
        <w:t>。当天全天停牌、处于临时停牌期间或者停牌至收市的可转债，本所不接受其协商成交交易申报。</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第二十八条</w:t>
      </w:r>
      <w:r>
        <w:rPr>
          <w:rFonts w:ascii="仿宋_GB2312" w:eastAsia="仿宋_GB2312" w:hint="eastAsia"/>
          <w:b/>
          <w:bCs/>
          <w:sz w:val="30"/>
          <w:szCs w:val="30"/>
        </w:rPr>
        <w:t xml:space="preserve">  </w:t>
      </w:r>
      <w:r>
        <w:rPr>
          <w:rFonts w:ascii="仿宋_GB2312" w:eastAsia="仿宋_GB2312" w:hint="eastAsia"/>
          <w:sz w:val="30"/>
          <w:szCs w:val="30"/>
        </w:rPr>
        <w:t>向不特定对象发行的可转债采用协商成交的，申报数量应当不低于</w:t>
      </w:r>
      <w:r>
        <w:rPr>
          <w:rFonts w:ascii="仿宋_GB2312" w:eastAsia="仿宋_GB2312" w:hint="eastAsia"/>
          <w:sz w:val="30"/>
          <w:szCs w:val="30"/>
        </w:rPr>
        <w:t>100</w:t>
      </w:r>
      <w:r>
        <w:rPr>
          <w:rFonts w:ascii="仿宋_GB2312" w:eastAsia="仿宋_GB2312" w:hint="eastAsia"/>
          <w:sz w:val="30"/>
          <w:szCs w:val="30"/>
        </w:rPr>
        <w:t>万元面额</w:t>
      </w:r>
      <w:r>
        <w:rPr>
          <w:rFonts w:ascii="仿宋_GB2312" w:eastAsia="仿宋_GB2312" w:hint="eastAsia"/>
          <w:sz w:val="30"/>
          <w:szCs w:val="30"/>
        </w:rPr>
        <w:t>，且为</w:t>
      </w:r>
      <w:r>
        <w:rPr>
          <w:rFonts w:ascii="仿宋_GB2312" w:eastAsia="仿宋_GB2312" w:hint="eastAsia"/>
          <w:sz w:val="30"/>
          <w:szCs w:val="30"/>
        </w:rPr>
        <w:t>1000</w:t>
      </w:r>
      <w:r>
        <w:rPr>
          <w:rFonts w:ascii="仿宋_GB2312" w:eastAsia="仿宋_GB2312" w:hint="eastAsia"/>
          <w:sz w:val="30"/>
          <w:szCs w:val="30"/>
        </w:rPr>
        <w:t>元面额的整数倍。</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本所可以根据市场需要，调整向不特定对象发行的可转债交易最低限额的要求。</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第二十九条</w:t>
      </w:r>
      <w:r>
        <w:rPr>
          <w:rFonts w:ascii="仿宋_GB2312" w:eastAsia="仿宋_GB2312" w:hint="eastAsia"/>
          <w:b/>
          <w:bCs/>
          <w:sz w:val="30"/>
          <w:szCs w:val="30"/>
        </w:rPr>
        <w:t xml:space="preserve">  </w:t>
      </w:r>
      <w:r>
        <w:rPr>
          <w:rFonts w:ascii="仿宋_GB2312" w:eastAsia="仿宋_GB2312" w:hint="eastAsia"/>
          <w:sz w:val="30"/>
          <w:szCs w:val="30"/>
        </w:rPr>
        <w:t>向不特定对象发行的可转债上市首日，协商成交申报价格在发行价的上下</w:t>
      </w:r>
      <w:r>
        <w:rPr>
          <w:rFonts w:ascii="仿宋_GB2312" w:eastAsia="仿宋_GB2312" w:hint="eastAsia"/>
          <w:sz w:val="30"/>
          <w:szCs w:val="30"/>
        </w:rPr>
        <w:t>30%</w:t>
      </w:r>
      <w:r>
        <w:rPr>
          <w:rFonts w:ascii="仿宋_GB2312" w:eastAsia="仿宋_GB2312" w:hint="eastAsia"/>
          <w:sz w:val="30"/>
          <w:szCs w:val="30"/>
        </w:rPr>
        <w:t>范围内确定。除上市首日外，协商成交申报价格在前收盘价的上下</w:t>
      </w:r>
      <w:r>
        <w:rPr>
          <w:rFonts w:ascii="仿宋_GB2312" w:eastAsia="仿宋_GB2312" w:hint="eastAsia"/>
          <w:sz w:val="30"/>
          <w:szCs w:val="30"/>
        </w:rPr>
        <w:t>20%</w:t>
      </w:r>
      <w:r>
        <w:rPr>
          <w:rFonts w:ascii="仿宋_GB2312" w:eastAsia="仿宋_GB2312" w:hint="eastAsia"/>
          <w:sz w:val="30"/>
          <w:szCs w:val="30"/>
        </w:rPr>
        <w:t>范围内确定。</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第三十条</w:t>
      </w:r>
      <w:r>
        <w:rPr>
          <w:rFonts w:ascii="仿宋_GB2312" w:eastAsia="仿宋_GB2312" w:hint="eastAsia"/>
          <w:b/>
          <w:bCs/>
          <w:sz w:val="30"/>
          <w:szCs w:val="30"/>
        </w:rPr>
        <w:t xml:space="preserve">  </w:t>
      </w:r>
      <w:r>
        <w:rPr>
          <w:rFonts w:ascii="仿宋_GB2312" w:eastAsia="仿宋_GB2312" w:hint="eastAsia"/>
          <w:sz w:val="30"/>
          <w:szCs w:val="30"/>
        </w:rPr>
        <w:t>通过协商等方式达成向不特定对象发行的可转</w:t>
      </w:r>
      <w:r>
        <w:rPr>
          <w:rFonts w:ascii="仿宋_GB2312" w:eastAsia="仿宋_GB2312" w:hint="eastAsia"/>
          <w:sz w:val="30"/>
          <w:szCs w:val="30"/>
        </w:rPr>
        <w:lastRenderedPageBreak/>
        <w:t>债交易意向的，买卖双方向本所交易系统提交协商成交申报，申报要素应当包括证券代码、交易方向、价格、数量、证券账号及本所规定的其他内容。买卖双方申报的证券代码、价格和数量必须一致。</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向不特定对象发行</w:t>
      </w:r>
      <w:r>
        <w:rPr>
          <w:rFonts w:ascii="仿宋_GB2312" w:eastAsia="仿宋_GB2312" w:hint="eastAsia"/>
          <w:sz w:val="30"/>
          <w:szCs w:val="30"/>
        </w:rPr>
        <w:t>的可转债不适用《上海证券交易所债券交易规则》第一百〇二条规定的合并申报方式。</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第三十一条</w:t>
      </w:r>
      <w:r>
        <w:rPr>
          <w:rFonts w:ascii="仿宋_GB2312" w:eastAsia="仿宋_GB2312" w:hint="eastAsia"/>
          <w:b/>
          <w:bCs/>
          <w:sz w:val="30"/>
          <w:szCs w:val="30"/>
        </w:rPr>
        <w:t xml:space="preserve">  </w:t>
      </w:r>
      <w:r>
        <w:rPr>
          <w:rFonts w:ascii="仿宋_GB2312" w:eastAsia="仿宋_GB2312" w:hint="eastAsia"/>
          <w:sz w:val="30"/>
          <w:szCs w:val="30"/>
        </w:rPr>
        <w:t>向不特定对象发行的可转债协商成交交易按照双方协商一致的价格、数量等要素成交</w:t>
      </w:r>
      <w:r>
        <w:rPr>
          <w:rFonts w:ascii="仿宋_GB2312" w:eastAsia="仿宋_GB2312" w:hint="eastAsia"/>
          <w:sz w:val="30"/>
          <w:szCs w:val="30"/>
        </w:rPr>
        <w:t>。除本所另有规定外，协商成交申报经本所交易系统确认成交后，不得撤销或变更。买卖双方必须承认交易结果、履行清算交收义务。</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第三十二条</w:t>
      </w:r>
      <w:r>
        <w:rPr>
          <w:rFonts w:ascii="仿宋_GB2312" w:eastAsia="仿宋_GB2312" w:hint="eastAsia"/>
          <w:b/>
          <w:bCs/>
          <w:sz w:val="30"/>
          <w:szCs w:val="30"/>
        </w:rPr>
        <w:t xml:space="preserve">  </w:t>
      </w:r>
      <w:r>
        <w:rPr>
          <w:rFonts w:ascii="仿宋_GB2312" w:eastAsia="仿宋_GB2312" w:hint="eastAsia"/>
          <w:sz w:val="30"/>
          <w:szCs w:val="30"/>
        </w:rPr>
        <w:t>本所实时发布向不特定对象发行的可转债的逐笔成交行情，包括证券代码、成交时间、成交价格等。</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协商成交不纳入本所即时行情和指数的计算，成交量在协商成交结束后计入当日该可转债成交总量。</w:t>
      </w:r>
    </w:p>
    <w:p w:rsidR="00000000" w:rsidRDefault="005D136B">
      <w:pPr>
        <w:spacing w:line="560" w:lineRule="exact"/>
        <w:jc w:val="center"/>
        <w:rPr>
          <w:rFonts w:ascii="仿宋_GB2312" w:eastAsia="仿宋_GB2312" w:hint="eastAsia"/>
          <w:b/>
          <w:sz w:val="30"/>
          <w:szCs w:val="30"/>
        </w:rPr>
      </w:pPr>
      <w:r>
        <w:rPr>
          <w:rFonts w:ascii="仿宋_GB2312" w:eastAsia="仿宋_GB2312" w:hint="eastAsia"/>
          <w:b/>
          <w:sz w:val="30"/>
          <w:szCs w:val="30"/>
        </w:rPr>
        <w:t>第四节</w:t>
      </w:r>
      <w:r>
        <w:rPr>
          <w:rFonts w:ascii="仿宋_GB2312" w:eastAsia="仿宋_GB2312" w:hint="eastAsia"/>
          <w:b/>
          <w:sz w:val="30"/>
          <w:szCs w:val="30"/>
        </w:rPr>
        <w:t xml:space="preserve"> </w:t>
      </w:r>
      <w:r>
        <w:rPr>
          <w:rFonts w:ascii="仿宋_GB2312" w:eastAsia="仿宋_GB2312" w:hint="eastAsia"/>
          <w:b/>
          <w:sz w:val="30"/>
          <w:szCs w:val="30"/>
        </w:rPr>
        <w:t>意向申报</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第三十三条</w:t>
      </w:r>
      <w:r>
        <w:rPr>
          <w:rFonts w:ascii="仿宋_GB2312" w:eastAsia="仿宋_GB2312" w:hint="eastAsia"/>
          <w:b/>
          <w:bCs/>
          <w:sz w:val="30"/>
          <w:szCs w:val="30"/>
        </w:rPr>
        <w:t xml:space="preserve">  </w:t>
      </w:r>
      <w:r>
        <w:rPr>
          <w:rFonts w:ascii="仿宋_GB2312" w:eastAsia="仿宋_GB2312" w:hint="eastAsia"/>
          <w:sz w:val="30"/>
          <w:szCs w:val="30"/>
        </w:rPr>
        <w:t>本所接受向不特定对象发行的可转债的意向申报。可转债投资者可以向全市场或者部分可转债投资者发送意向申报，意向申报不可直接确认成交。其他可转债投资者可以通过协商成交方式与意向申报发出方达成交易。</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第三十四条</w:t>
      </w:r>
      <w:r>
        <w:rPr>
          <w:rFonts w:ascii="仿宋_GB2312" w:eastAsia="仿宋_GB2312" w:hint="eastAsia"/>
          <w:b/>
          <w:bCs/>
          <w:sz w:val="30"/>
          <w:szCs w:val="30"/>
        </w:rPr>
        <w:t xml:space="preserve">  </w:t>
      </w:r>
      <w:r>
        <w:rPr>
          <w:rFonts w:ascii="仿宋_GB2312" w:eastAsia="仿宋_GB2312" w:hint="eastAsia"/>
          <w:sz w:val="30"/>
          <w:szCs w:val="30"/>
        </w:rPr>
        <w:t>本所每个交易日接受向不特定对象发行的可转债意向申报的时间为</w:t>
      </w:r>
      <w:r>
        <w:rPr>
          <w:rFonts w:ascii="仿宋_GB2312" w:eastAsia="仿宋_GB2312" w:hint="eastAsia"/>
          <w:sz w:val="30"/>
          <w:szCs w:val="30"/>
        </w:rPr>
        <w:t>9:30</w:t>
      </w:r>
      <w:r>
        <w:rPr>
          <w:rFonts w:ascii="仿宋_GB2312" w:eastAsia="仿宋_GB2312" w:hint="eastAsia"/>
          <w:sz w:val="30"/>
          <w:szCs w:val="30"/>
        </w:rPr>
        <w:t>至</w:t>
      </w:r>
      <w:r>
        <w:rPr>
          <w:rFonts w:ascii="仿宋_GB2312" w:eastAsia="仿宋_GB2312" w:hint="eastAsia"/>
          <w:sz w:val="30"/>
          <w:szCs w:val="30"/>
        </w:rPr>
        <w:t>11:30</w:t>
      </w:r>
      <w:r>
        <w:rPr>
          <w:rFonts w:ascii="仿宋_GB2312" w:eastAsia="仿宋_GB2312" w:hint="eastAsia"/>
          <w:sz w:val="30"/>
          <w:szCs w:val="30"/>
        </w:rPr>
        <w:t>、</w:t>
      </w:r>
      <w:r>
        <w:rPr>
          <w:rFonts w:ascii="仿宋_GB2312" w:eastAsia="仿宋_GB2312" w:hint="eastAsia"/>
          <w:sz w:val="30"/>
          <w:szCs w:val="30"/>
        </w:rPr>
        <w:t>13:00</w:t>
      </w:r>
      <w:r>
        <w:rPr>
          <w:rFonts w:ascii="仿宋_GB2312" w:eastAsia="仿宋_GB2312" w:hint="eastAsia"/>
          <w:sz w:val="30"/>
          <w:szCs w:val="30"/>
        </w:rPr>
        <w:t>至</w:t>
      </w:r>
      <w:r>
        <w:rPr>
          <w:rFonts w:ascii="仿宋_GB2312" w:eastAsia="仿宋_GB2312" w:hint="eastAsia"/>
          <w:sz w:val="30"/>
          <w:szCs w:val="30"/>
        </w:rPr>
        <w:t>15:30</w:t>
      </w:r>
      <w:r>
        <w:rPr>
          <w:rFonts w:ascii="仿宋_GB2312" w:eastAsia="仿宋_GB2312" w:hint="eastAsia"/>
          <w:sz w:val="30"/>
          <w:szCs w:val="30"/>
        </w:rPr>
        <w:t>。</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第三十五条</w:t>
      </w:r>
      <w:r>
        <w:rPr>
          <w:rFonts w:ascii="仿宋_GB2312" w:eastAsia="仿宋_GB2312" w:hint="eastAsia"/>
          <w:b/>
          <w:bCs/>
          <w:sz w:val="30"/>
          <w:szCs w:val="30"/>
        </w:rPr>
        <w:t xml:space="preserve">  </w:t>
      </w:r>
      <w:r>
        <w:rPr>
          <w:rFonts w:ascii="仿宋_GB2312" w:eastAsia="仿宋_GB2312" w:hint="eastAsia"/>
          <w:sz w:val="30"/>
          <w:szCs w:val="30"/>
        </w:rPr>
        <w:t>意向申报要素应当包括交易品种、交易方向、发送范围、证券账户号码、是否匿名等内容。</w:t>
      </w:r>
    </w:p>
    <w:p w:rsidR="00000000" w:rsidRDefault="005D136B">
      <w:pPr>
        <w:spacing w:line="560" w:lineRule="exact"/>
        <w:jc w:val="center"/>
        <w:rPr>
          <w:rFonts w:ascii="黑体" w:eastAsia="黑体" w:hAnsi="黑体"/>
          <w:b/>
          <w:sz w:val="30"/>
          <w:szCs w:val="30"/>
        </w:rPr>
      </w:pPr>
      <w:r>
        <w:rPr>
          <w:rFonts w:ascii="黑体" w:eastAsia="黑体" w:hAnsi="黑体"/>
          <w:b/>
          <w:sz w:val="30"/>
          <w:szCs w:val="30"/>
        </w:rPr>
        <w:t>第三章</w:t>
      </w:r>
      <w:r>
        <w:rPr>
          <w:rFonts w:ascii="黑体" w:eastAsia="黑体" w:hAnsi="黑体"/>
          <w:b/>
          <w:sz w:val="30"/>
          <w:szCs w:val="30"/>
        </w:rPr>
        <w:t xml:space="preserve">  </w:t>
      </w:r>
      <w:r>
        <w:rPr>
          <w:rFonts w:ascii="黑体" w:eastAsia="黑体" w:hAnsi="黑体"/>
          <w:b/>
          <w:sz w:val="30"/>
          <w:szCs w:val="30"/>
        </w:rPr>
        <w:t>向特定对象发行的可转债转让</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lastRenderedPageBreak/>
        <w:t>第三十六条</w:t>
      </w:r>
      <w:r>
        <w:rPr>
          <w:rFonts w:ascii="仿宋_GB2312" w:eastAsia="仿宋_GB2312" w:hint="eastAsia"/>
          <w:b/>
          <w:bCs/>
          <w:sz w:val="30"/>
          <w:szCs w:val="30"/>
        </w:rPr>
        <w:t xml:space="preserve">  </w:t>
      </w:r>
      <w:r>
        <w:rPr>
          <w:rFonts w:ascii="仿宋_GB2312" w:eastAsia="仿宋_GB2312" w:hint="eastAsia"/>
          <w:sz w:val="30"/>
          <w:szCs w:val="30"/>
        </w:rPr>
        <w:t>向特定对象发行的可转债不得采用公开的集中交易方式，本</w:t>
      </w:r>
      <w:r>
        <w:rPr>
          <w:rFonts w:ascii="仿宋_GB2312" w:eastAsia="仿宋_GB2312" w:hint="eastAsia"/>
          <w:sz w:val="30"/>
          <w:szCs w:val="30"/>
        </w:rPr>
        <w:t>所为其提供转让服务。</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无限售期要求的可转债，在挂牌首日即可转让；有限售期要求的可转债，上市公司可在满足解除限售相关条件后，按照本所相关规定申请办理解除限售业务，并在解</w:t>
      </w:r>
      <w:r>
        <w:rPr>
          <w:rFonts w:ascii="仿宋_GB2312" w:eastAsia="仿宋_GB2312" w:hint="eastAsia"/>
          <w:sz w:val="30"/>
          <w:szCs w:val="30"/>
        </w:rPr>
        <w:t>除限售的</w:t>
      </w:r>
      <w:r>
        <w:rPr>
          <w:rFonts w:ascii="仿宋_GB2312" w:eastAsia="仿宋_GB2312" w:hint="eastAsia"/>
          <w:sz w:val="30"/>
          <w:szCs w:val="30"/>
        </w:rPr>
        <w:t>3</w:t>
      </w:r>
      <w:r>
        <w:rPr>
          <w:rFonts w:ascii="仿宋_GB2312" w:eastAsia="仿宋_GB2312" w:hint="eastAsia"/>
          <w:sz w:val="30"/>
          <w:szCs w:val="30"/>
        </w:rPr>
        <w:t>个交易日前披露公告。</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第三十七条</w:t>
      </w:r>
      <w:r>
        <w:rPr>
          <w:rFonts w:ascii="仿宋_GB2312" w:eastAsia="仿宋_GB2312" w:hint="eastAsia"/>
          <w:b/>
          <w:bCs/>
          <w:sz w:val="30"/>
          <w:szCs w:val="30"/>
        </w:rPr>
        <w:t xml:space="preserve">  </w:t>
      </w:r>
      <w:r>
        <w:rPr>
          <w:rFonts w:ascii="仿宋_GB2312" w:eastAsia="仿宋_GB2312" w:hint="eastAsia"/>
          <w:sz w:val="30"/>
          <w:szCs w:val="30"/>
        </w:rPr>
        <w:t>符合《证券期货投资者适当性管理办法》规定的专业投资者可以参与向特定对象发行的可转债的转让。上市公司的控股股东、实际控制人、持有</w:t>
      </w:r>
      <w:r>
        <w:rPr>
          <w:rFonts w:ascii="仿宋_GB2312" w:eastAsia="仿宋_GB2312" w:hint="eastAsia"/>
          <w:sz w:val="30"/>
          <w:szCs w:val="30"/>
        </w:rPr>
        <w:t>5%</w:t>
      </w:r>
      <w:r>
        <w:rPr>
          <w:rFonts w:ascii="仿宋_GB2312" w:eastAsia="仿宋_GB2312" w:hint="eastAsia"/>
          <w:sz w:val="30"/>
          <w:szCs w:val="30"/>
        </w:rPr>
        <w:t>以上股份的股东、董事、</w:t>
      </w:r>
      <w:r>
        <w:rPr>
          <w:rFonts w:ascii="仿宋_GB2312" w:eastAsia="仿宋_GB2312" w:hint="eastAsia"/>
          <w:sz w:val="30"/>
          <w:szCs w:val="30"/>
        </w:rPr>
        <w:t>高级管理人员参与本公司向特定对象发行的可转债转让的，不受前述规定的限制。</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第三十八条</w:t>
      </w:r>
      <w:r>
        <w:rPr>
          <w:rFonts w:ascii="仿宋_GB2312" w:eastAsia="仿宋_GB2312" w:hint="eastAsia"/>
          <w:b/>
          <w:bCs/>
          <w:sz w:val="30"/>
          <w:szCs w:val="30"/>
        </w:rPr>
        <w:t xml:space="preserve">  </w:t>
      </w:r>
      <w:r>
        <w:rPr>
          <w:rFonts w:ascii="仿宋_GB2312" w:eastAsia="仿宋_GB2312" w:hint="eastAsia"/>
          <w:sz w:val="30"/>
          <w:szCs w:val="30"/>
        </w:rPr>
        <w:t>本所接受向特定对象发行的可转债转让申报时间为每个交易日的</w:t>
      </w:r>
      <w:r>
        <w:rPr>
          <w:rFonts w:ascii="仿宋_GB2312" w:eastAsia="仿宋_GB2312" w:hint="eastAsia"/>
          <w:sz w:val="30"/>
          <w:szCs w:val="30"/>
        </w:rPr>
        <w:t>9:</w:t>
      </w:r>
      <w:r>
        <w:rPr>
          <w:rFonts w:ascii="仿宋_GB2312" w:eastAsia="仿宋_GB2312" w:hint="eastAsia"/>
          <w:sz w:val="30"/>
          <w:szCs w:val="30"/>
        </w:rPr>
        <w:t>30</w:t>
      </w:r>
      <w:r>
        <w:rPr>
          <w:rFonts w:ascii="仿宋_GB2312" w:eastAsia="仿宋_GB2312" w:hint="eastAsia"/>
          <w:sz w:val="30"/>
          <w:szCs w:val="30"/>
        </w:rPr>
        <w:t>至</w:t>
      </w:r>
      <w:r>
        <w:rPr>
          <w:rFonts w:ascii="仿宋_GB2312" w:eastAsia="仿宋_GB2312" w:hint="eastAsia"/>
          <w:sz w:val="30"/>
          <w:szCs w:val="30"/>
        </w:rPr>
        <w:t>11:30</w:t>
      </w:r>
      <w:r>
        <w:rPr>
          <w:rFonts w:ascii="仿宋_GB2312" w:eastAsia="仿宋_GB2312" w:hint="eastAsia"/>
          <w:sz w:val="30"/>
          <w:szCs w:val="30"/>
        </w:rPr>
        <w:t>、</w:t>
      </w:r>
      <w:r>
        <w:rPr>
          <w:rFonts w:ascii="仿宋_GB2312" w:eastAsia="仿宋_GB2312" w:hint="eastAsia"/>
          <w:sz w:val="30"/>
          <w:szCs w:val="30"/>
        </w:rPr>
        <w:t>13:00</w:t>
      </w:r>
      <w:r>
        <w:rPr>
          <w:rFonts w:ascii="仿宋_GB2312" w:eastAsia="仿宋_GB2312" w:hint="eastAsia"/>
          <w:sz w:val="30"/>
          <w:szCs w:val="30"/>
        </w:rPr>
        <w:t>至</w:t>
      </w:r>
      <w:r>
        <w:rPr>
          <w:rFonts w:ascii="仿宋_GB2312" w:eastAsia="仿宋_GB2312" w:hint="eastAsia"/>
          <w:sz w:val="30"/>
          <w:szCs w:val="30"/>
        </w:rPr>
        <w:t>15:00</w:t>
      </w:r>
      <w:r>
        <w:rPr>
          <w:rFonts w:ascii="仿宋_GB2312" w:eastAsia="仿宋_GB2312" w:hint="eastAsia"/>
          <w:sz w:val="30"/>
          <w:szCs w:val="30"/>
        </w:rPr>
        <w:t>，转让申报当日有效。</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第三十九条</w:t>
      </w:r>
      <w:r>
        <w:rPr>
          <w:rFonts w:ascii="仿宋_GB2312" w:eastAsia="仿宋_GB2312" w:hint="eastAsia"/>
          <w:b/>
          <w:bCs/>
          <w:sz w:val="30"/>
          <w:szCs w:val="30"/>
        </w:rPr>
        <w:t xml:space="preserve">  </w:t>
      </w:r>
      <w:r>
        <w:rPr>
          <w:rFonts w:ascii="仿宋_GB2312" w:eastAsia="仿宋_GB2312" w:hint="eastAsia"/>
          <w:sz w:val="30"/>
          <w:szCs w:val="30"/>
        </w:rPr>
        <w:t>向特定对象发行的可转债的转让申报数量应当为</w:t>
      </w:r>
      <w:r>
        <w:rPr>
          <w:rFonts w:ascii="仿宋_GB2312" w:eastAsia="仿宋_GB2312" w:hint="eastAsia"/>
          <w:sz w:val="30"/>
          <w:szCs w:val="30"/>
        </w:rPr>
        <w:t>1000</w:t>
      </w:r>
      <w:r>
        <w:rPr>
          <w:rFonts w:ascii="仿宋_GB2312" w:eastAsia="仿宋_GB2312" w:hint="eastAsia"/>
          <w:sz w:val="30"/>
          <w:szCs w:val="30"/>
        </w:rPr>
        <w:t>元面额或其整数倍。向特定对象发行的可转债的单笔转让申报数量应当不低于</w:t>
      </w:r>
      <w:r>
        <w:rPr>
          <w:rFonts w:ascii="仿宋_GB2312" w:eastAsia="仿宋_GB2312" w:hint="eastAsia"/>
          <w:sz w:val="30"/>
          <w:szCs w:val="30"/>
        </w:rPr>
        <w:t>5</w:t>
      </w:r>
      <w:r>
        <w:rPr>
          <w:rFonts w:ascii="仿宋_GB2312" w:eastAsia="仿宋_GB2312" w:hint="eastAsia"/>
          <w:sz w:val="30"/>
          <w:szCs w:val="30"/>
        </w:rPr>
        <w:t>万元面额，持有不足</w:t>
      </w:r>
      <w:r>
        <w:rPr>
          <w:rFonts w:ascii="仿宋_GB2312" w:eastAsia="仿宋_GB2312" w:hint="eastAsia"/>
          <w:sz w:val="30"/>
          <w:szCs w:val="30"/>
        </w:rPr>
        <w:t>5</w:t>
      </w:r>
      <w:r>
        <w:rPr>
          <w:rFonts w:ascii="仿宋_GB2312" w:eastAsia="仿宋_GB2312" w:hint="eastAsia"/>
          <w:sz w:val="30"/>
          <w:szCs w:val="30"/>
        </w:rPr>
        <w:t>万元面额的应当一次性全部申报卖出。</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本所可以根据市场发展需要，调整向特定对象发行的可转债单笔转让申报数量要求。</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第四十条</w:t>
      </w:r>
      <w:r>
        <w:rPr>
          <w:rFonts w:ascii="仿宋_GB2312" w:eastAsia="仿宋_GB2312" w:hint="eastAsia"/>
          <w:b/>
          <w:bCs/>
          <w:sz w:val="30"/>
          <w:szCs w:val="30"/>
        </w:rPr>
        <w:t xml:space="preserve">  </w:t>
      </w:r>
      <w:r>
        <w:rPr>
          <w:rFonts w:ascii="仿宋_GB2312" w:eastAsia="仿宋_GB2312" w:hint="eastAsia"/>
          <w:sz w:val="30"/>
          <w:szCs w:val="30"/>
        </w:rPr>
        <w:t>本所接受下列类型的向特定对象发行的可转债转让申报：</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（一）意向申报：在转让申报时间内，投资者可以通过其委托的本所会员进行转让意向的发布，转让意向申报应当包括证券</w:t>
      </w:r>
      <w:r>
        <w:rPr>
          <w:rFonts w:ascii="仿宋_GB2312" w:eastAsia="仿宋_GB2312" w:hint="eastAsia"/>
          <w:sz w:val="30"/>
          <w:szCs w:val="30"/>
        </w:rPr>
        <w:lastRenderedPageBreak/>
        <w:t>代码、证券账</w:t>
      </w:r>
      <w:r>
        <w:rPr>
          <w:rFonts w:ascii="仿宋_GB2312" w:eastAsia="仿宋_GB2312" w:hint="eastAsia"/>
          <w:sz w:val="30"/>
          <w:szCs w:val="30"/>
        </w:rPr>
        <w:t>号、转让方向以及本所规定的其他内容。意向申报可以包括转让价格和数量。</w:t>
      </w:r>
    </w:p>
    <w:p w:rsidR="00000000" w:rsidRDefault="005D136B">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二）成交申报：转让双方就可转债的转让价格和数量达成一致后，应当委托本所会员分别进行成交申报，成交申报应当包括证券代码、证券账号、转让价格、转让数量、转让方向、交易对方账号及交易单元、交易约定号以及本所规定的其他内容。转让双方的成交申报中，证券代码、转让价格、转让数量和交易约定号应当一致。</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w:t>
      </w:r>
      <w:r>
        <w:rPr>
          <w:rFonts w:ascii="仿宋_GB2312" w:eastAsia="仿宋_GB2312" w:hint="eastAsia"/>
          <w:b/>
          <w:bCs/>
          <w:sz w:val="30"/>
          <w:szCs w:val="30"/>
        </w:rPr>
        <w:t>四十一条</w:t>
      </w:r>
      <w:r>
        <w:rPr>
          <w:rFonts w:ascii="仿宋_GB2312" w:eastAsia="仿宋_GB2312" w:hint="eastAsia"/>
          <w:b/>
          <w:bCs/>
          <w:sz w:val="30"/>
          <w:szCs w:val="30"/>
        </w:rPr>
        <w:t xml:space="preserve">  </w:t>
      </w:r>
      <w:r>
        <w:rPr>
          <w:rFonts w:ascii="仿宋_GB2312" w:eastAsia="仿宋_GB2312" w:hint="eastAsia"/>
          <w:sz w:val="30"/>
          <w:szCs w:val="30"/>
        </w:rPr>
        <w:t>本所按照时间先后顺序对向特定对象发行的可转债转让申报进行成交确认。可转债转让经本所交易系统确认成交后不得撤销或者变更，转让双方应当承认转</w:t>
      </w:r>
      <w:r>
        <w:rPr>
          <w:rFonts w:ascii="仿宋_GB2312" w:eastAsia="仿宋_GB2312" w:hint="eastAsia"/>
          <w:sz w:val="30"/>
          <w:szCs w:val="30"/>
        </w:rPr>
        <w:t>让结果，并履行交收义务。</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第四十二条</w:t>
      </w:r>
      <w:r>
        <w:rPr>
          <w:rFonts w:ascii="仿宋_GB2312" w:eastAsia="仿宋_GB2312" w:hint="eastAsia"/>
          <w:b/>
          <w:bCs/>
          <w:sz w:val="30"/>
          <w:szCs w:val="30"/>
        </w:rPr>
        <w:t xml:space="preserve">  </w:t>
      </w:r>
      <w:r>
        <w:rPr>
          <w:rFonts w:ascii="仿宋_GB2312" w:eastAsia="仿宋_GB2312" w:hint="eastAsia"/>
          <w:sz w:val="30"/>
          <w:szCs w:val="30"/>
        </w:rPr>
        <w:t>向特定对象发行的可转债的转让以逐笔全额方式结算。</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第四十三条</w:t>
      </w:r>
      <w:r>
        <w:rPr>
          <w:rFonts w:ascii="仿宋_GB2312" w:eastAsia="仿宋_GB2312" w:hint="eastAsia"/>
          <w:b/>
          <w:bCs/>
          <w:sz w:val="30"/>
          <w:szCs w:val="30"/>
        </w:rPr>
        <w:t xml:space="preserve">  </w:t>
      </w:r>
      <w:r>
        <w:rPr>
          <w:rFonts w:ascii="仿宋_GB2312" w:eastAsia="仿宋_GB2312" w:hint="eastAsia"/>
          <w:sz w:val="30"/>
          <w:szCs w:val="30"/>
        </w:rPr>
        <w:t>本所在每个交易日结束后，通过本所网站公布向特定对象发行的可转债转让每笔成交信息。</w:t>
      </w:r>
    </w:p>
    <w:p w:rsidR="00000000" w:rsidRDefault="005D136B">
      <w:pPr>
        <w:spacing w:line="560" w:lineRule="exact"/>
        <w:jc w:val="center"/>
        <w:rPr>
          <w:rFonts w:ascii="黑体" w:eastAsia="黑体" w:hAnsi="黑体"/>
          <w:b/>
          <w:sz w:val="30"/>
          <w:szCs w:val="30"/>
        </w:rPr>
      </w:pPr>
      <w:r>
        <w:rPr>
          <w:rFonts w:ascii="黑体" w:eastAsia="黑体" w:hAnsi="黑体"/>
          <w:b/>
          <w:sz w:val="30"/>
          <w:szCs w:val="30"/>
        </w:rPr>
        <w:t>第四章</w:t>
      </w:r>
      <w:r>
        <w:rPr>
          <w:rFonts w:ascii="黑体" w:eastAsia="黑体" w:hAnsi="黑体"/>
          <w:b/>
          <w:sz w:val="30"/>
          <w:szCs w:val="30"/>
        </w:rPr>
        <w:t xml:space="preserve">  </w:t>
      </w:r>
      <w:r>
        <w:rPr>
          <w:rFonts w:ascii="黑体" w:eastAsia="黑体" w:hAnsi="黑体"/>
          <w:b/>
          <w:sz w:val="30"/>
          <w:szCs w:val="30"/>
        </w:rPr>
        <w:t>附则</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第四十四条</w:t>
      </w:r>
      <w:r>
        <w:rPr>
          <w:rFonts w:ascii="仿宋_GB2312" w:eastAsia="仿宋_GB2312" w:hint="eastAsia"/>
          <w:b/>
          <w:bCs/>
          <w:sz w:val="30"/>
          <w:szCs w:val="30"/>
        </w:rPr>
        <w:t xml:space="preserve">  </w:t>
      </w:r>
      <w:r>
        <w:rPr>
          <w:rFonts w:ascii="仿宋_GB2312" w:eastAsia="仿宋_GB2312" w:hint="eastAsia"/>
          <w:sz w:val="30"/>
          <w:szCs w:val="30"/>
        </w:rPr>
        <w:t>可转债投资者、为可转债交易与转让提供专业服务的机构及其相关人员等监管对象违反本细则或者本所其他相关规定的，本所可以根据相关业务规则的规定对其采取自律监管措施或者纪律处分。</w:t>
      </w:r>
    </w:p>
    <w:p w:rsidR="00000000" w:rsidRDefault="005D136B" w:rsidP="00850F5B">
      <w:pPr>
        <w:spacing w:line="560" w:lineRule="exact"/>
        <w:ind w:firstLineChars="200" w:firstLine="600"/>
        <w:rPr>
          <w:rFonts w:ascii="仿宋_GB2312" w:eastAsia="仿宋_GB2312" w:hint="eastAsia"/>
          <w:sz w:val="30"/>
          <w:szCs w:val="30"/>
        </w:rPr>
      </w:pPr>
      <w:r>
        <w:rPr>
          <w:rFonts w:ascii="仿宋_GB2312" w:eastAsia="仿宋_GB2312" w:hint="eastAsia"/>
          <w:b/>
          <w:bCs/>
          <w:sz w:val="30"/>
          <w:szCs w:val="30"/>
        </w:rPr>
        <w:t>第四十五条</w:t>
      </w:r>
      <w:r>
        <w:rPr>
          <w:rFonts w:ascii="仿宋_GB2312" w:eastAsia="仿宋_GB2312" w:hint="eastAsia"/>
          <w:b/>
          <w:bCs/>
          <w:sz w:val="30"/>
          <w:szCs w:val="30"/>
        </w:rPr>
        <w:t xml:space="preserve">  </w:t>
      </w:r>
      <w:r>
        <w:rPr>
          <w:rFonts w:ascii="仿宋_GB2312" w:eastAsia="仿宋_GB2312" w:hint="eastAsia"/>
          <w:sz w:val="30"/>
          <w:szCs w:val="30"/>
        </w:rPr>
        <w:t>本细则由本所负责解释。</w:t>
      </w:r>
    </w:p>
    <w:p w:rsidR="00000000" w:rsidRDefault="005D136B" w:rsidP="00850F5B">
      <w:pPr>
        <w:spacing w:line="560" w:lineRule="exact"/>
        <w:ind w:firstLineChars="200" w:firstLine="600"/>
        <w:rPr>
          <w:rFonts w:ascii="仿宋_GB2312" w:eastAsia="仿宋_GB2312"/>
          <w:sz w:val="30"/>
          <w:szCs w:val="30"/>
        </w:rPr>
      </w:pPr>
      <w:r>
        <w:rPr>
          <w:rFonts w:ascii="仿宋_GB2312" w:eastAsia="仿宋_GB2312" w:hint="eastAsia"/>
          <w:b/>
          <w:bCs/>
          <w:sz w:val="30"/>
          <w:szCs w:val="30"/>
        </w:rPr>
        <w:t>第四十六条</w:t>
      </w:r>
      <w:r>
        <w:rPr>
          <w:rFonts w:ascii="仿宋_GB2312" w:eastAsia="仿宋_GB2312" w:hint="eastAsia"/>
          <w:b/>
          <w:bCs/>
          <w:sz w:val="30"/>
          <w:szCs w:val="30"/>
        </w:rPr>
        <w:t xml:space="preserve">  </w:t>
      </w:r>
      <w:r>
        <w:rPr>
          <w:rFonts w:ascii="仿宋_GB2312" w:eastAsia="仿宋_GB2312" w:hint="eastAsia"/>
          <w:sz w:val="30"/>
          <w:szCs w:val="30"/>
        </w:rPr>
        <w:t>本细则自</w:t>
      </w:r>
      <w:r>
        <w:rPr>
          <w:rFonts w:ascii="仿宋_GB2312" w:eastAsia="仿宋_GB2312" w:hint="eastAsia"/>
          <w:sz w:val="30"/>
          <w:szCs w:val="30"/>
        </w:rPr>
        <w:t>发布之日</w:t>
      </w:r>
      <w:r>
        <w:rPr>
          <w:rFonts w:ascii="仿宋_GB2312" w:eastAsia="仿宋_GB2312" w:hint="eastAsia"/>
          <w:sz w:val="30"/>
          <w:szCs w:val="30"/>
        </w:rPr>
        <w:t>起施行。</w:t>
      </w:r>
      <w:r>
        <w:rPr>
          <w:rFonts w:ascii="仿宋_GB2312" w:eastAsia="仿宋_GB2312" w:hint="eastAsia"/>
          <w:sz w:val="30"/>
          <w:szCs w:val="30"/>
        </w:rPr>
        <w:t>本所于</w:t>
      </w:r>
      <w:r>
        <w:rPr>
          <w:rFonts w:ascii="仿宋_GB2312" w:eastAsia="仿宋_GB2312" w:hint="eastAsia"/>
          <w:sz w:val="30"/>
          <w:szCs w:val="30"/>
        </w:rPr>
        <w:t>202</w:t>
      </w:r>
      <w:r w:rsidR="00FB731B">
        <w:rPr>
          <w:rFonts w:ascii="仿宋_GB2312" w:eastAsia="仿宋_GB2312" w:hint="eastAsia"/>
          <w:sz w:val="30"/>
          <w:szCs w:val="30"/>
        </w:rPr>
        <w:t>2</w:t>
      </w:r>
      <w:r>
        <w:rPr>
          <w:rFonts w:ascii="仿宋_GB2312" w:eastAsia="仿宋_GB2312" w:hint="eastAsia"/>
          <w:sz w:val="30"/>
          <w:szCs w:val="30"/>
        </w:rPr>
        <w:t>年</w:t>
      </w:r>
      <w:r>
        <w:rPr>
          <w:rFonts w:ascii="仿宋_GB2312" w:eastAsia="仿宋_GB2312" w:hint="eastAsia"/>
          <w:sz w:val="30"/>
          <w:szCs w:val="30"/>
        </w:rPr>
        <w:t>7</w:t>
      </w:r>
      <w:r>
        <w:rPr>
          <w:rFonts w:ascii="仿宋_GB2312" w:eastAsia="仿宋_GB2312" w:hint="eastAsia"/>
          <w:sz w:val="30"/>
          <w:szCs w:val="30"/>
        </w:rPr>
        <w:t>月</w:t>
      </w:r>
      <w:r>
        <w:rPr>
          <w:rFonts w:ascii="仿宋_GB2312" w:eastAsia="仿宋_GB2312" w:hint="eastAsia"/>
          <w:sz w:val="30"/>
          <w:szCs w:val="30"/>
        </w:rPr>
        <w:t>29</w:t>
      </w:r>
      <w:r>
        <w:rPr>
          <w:rFonts w:ascii="仿宋_GB2312" w:eastAsia="仿宋_GB2312" w:hint="eastAsia"/>
          <w:sz w:val="30"/>
          <w:szCs w:val="30"/>
        </w:rPr>
        <w:t>日发布的《上海证券交易所</w:t>
      </w:r>
      <w:r>
        <w:rPr>
          <w:rFonts w:ascii="仿宋_GB2312" w:eastAsia="仿宋_GB2312" w:hint="eastAsia"/>
          <w:sz w:val="30"/>
          <w:szCs w:val="30"/>
        </w:rPr>
        <w:t>可转换公司债券交易实施细则》</w:t>
      </w:r>
      <w:r>
        <w:rPr>
          <w:rFonts w:ascii="仿宋_GB2312" w:eastAsia="仿宋_GB2312" w:hint="eastAsia"/>
          <w:sz w:val="30"/>
          <w:szCs w:val="30"/>
        </w:rPr>
        <w:lastRenderedPageBreak/>
        <w:t>（上证发〔</w:t>
      </w:r>
      <w:r>
        <w:rPr>
          <w:rFonts w:ascii="仿宋_GB2312" w:eastAsia="仿宋_GB2312" w:hint="eastAsia"/>
          <w:sz w:val="30"/>
          <w:szCs w:val="30"/>
        </w:rPr>
        <w:t>2022</w:t>
      </w:r>
      <w:r>
        <w:rPr>
          <w:rFonts w:ascii="仿宋_GB2312" w:eastAsia="仿宋_GB2312" w:hint="eastAsia"/>
          <w:sz w:val="30"/>
          <w:szCs w:val="30"/>
        </w:rPr>
        <w:t>〕</w:t>
      </w:r>
      <w:r>
        <w:rPr>
          <w:rFonts w:ascii="仿宋_GB2312" w:eastAsia="仿宋_GB2312" w:hint="eastAsia"/>
          <w:sz w:val="30"/>
          <w:szCs w:val="30"/>
        </w:rPr>
        <w:t>117</w:t>
      </w:r>
      <w:r>
        <w:rPr>
          <w:rFonts w:ascii="仿宋_GB2312" w:eastAsia="仿宋_GB2312" w:hint="eastAsia"/>
          <w:sz w:val="30"/>
          <w:szCs w:val="30"/>
        </w:rPr>
        <w:t>号）同时废止。</w:t>
      </w:r>
    </w:p>
    <w:p w:rsidR="00000000" w:rsidRDefault="005D136B">
      <w:pPr>
        <w:spacing w:line="560" w:lineRule="exact"/>
        <w:rPr>
          <w:rFonts w:eastAsia="仿宋_GB2312"/>
          <w:sz w:val="30"/>
          <w:szCs w:val="30"/>
        </w:rPr>
      </w:pPr>
    </w:p>
    <w:p w:rsidR="0021000B" w:rsidRDefault="0021000B">
      <w:pPr>
        <w:spacing w:line="560" w:lineRule="exact"/>
        <w:jc w:val="left"/>
        <w:rPr>
          <w:rFonts w:ascii="仿宋_GB2312" w:eastAsia="仿宋_GB2312" w:hAnsi="宋体" w:cs="宋体"/>
          <w:kern w:val="0"/>
          <w:sz w:val="30"/>
          <w:szCs w:val="30"/>
        </w:rPr>
      </w:pPr>
    </w:p>
    <w:sectPr w:rsidR="0021000B">
      <w:footerReference w:type="even" r:id="rId7"/>
      <w:footerReference w:type="default" r:id="rId8"/>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36B" w:rsidRDefault="005D136B">
      <w:r>
        <w:separator/>
      </w:r>
    </w:p>
  </w:endnote>
  <w:endnote w:type="continuationSeparator" w:id="0">
    <w:p w:rsidR="005D136B" w:rsidRDefault="005D13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方正大标宋简体">
    <w:panose1 w:val="03000509000000000000"/>
    <w:charset w:val="86"/>
    <w:family w:val="script"/>
    <w:pitch w:val="fixed"/>
    <w:sig w:usb0="00000003" w:usb1="080E0000" w:usb2="00000010" w:usb3="00000000" w:csb0="00040001" w:csb1="00000000"/>
  </w:font>
  <w:font w:name="Courier New">
    <w:panose1 w:val="02070309020205020404"/>
    <w:charset w:val="00"/>
    <w:family w:val="modern"/>
    <w:pitch w:val="fixed"/>
    <w:sig w:usb0="E0002AFF" w:usb1="C0007843" w:usb2="00000009" w:usb3="00000000" w:csb0="000001FF" w:csb1="00000000"/>
  </w:font>
  <w:font w:name="楷体_GB2312">
    <w:charset w:val="86"/>
    <w:family w:val="modern"/>
    <w:pitch w:val="fixed"/>
    <w:sig w:usb0="00000001" w:usb1="080E0000" w:usb2="00000010" w:usb3="00000000" w:csb0="00040000" w:csb1="00000000"/>
  </w:font>
  <w:font w:name="ClassGarmnd B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A00002EF" w:usb1="4000207B" w:usb2="00000000" w:usb3="00000000" w:csb0="0000009F" w:csb1="00000000"/>
  </w:font>
  <w:font w:name="汉仪中等线简">
    <w:altName w:val="微软雅黑"/>
    <w:charset w:val="86"/>
    <w:family w:val="modern"/>
    <w:pitch w:val="default"/>
    <w:sig w:usb0="00000001" w:usb1="080E0800" w:usb2="00000012"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Frutiger 45 Light">
    <w:altName w:val="Arial"/>
    <w:charset w:val="01"/>
    <w:family w:val="auto"/>
    <w:pitch w:val="default"/>
    <w:sig w:usb0="A00000AF" w:usb1="5000205B"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D136B">
    <w:pPr>
      <w:pStyle w:val="ab"/>
      <w:framePr w:wrap="around" w:vAnchor="text" w:hAnchor="margin" w:xAlign="center" w:y="1"/>
      <w:rPr>
        <w:rStyle w:val="af6"/>
      </w:rPr>
    </w:pPr>
  </w:p>
  <w:p w:rsidR="00000000" w:rsidRDefault="005D136B">
    <w:pPr>
      <w:pStyle w:val="ab"/>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850F5B">
      <w:rPr>
        <w:noProof/>
        <w:sz w:val="28"/>
      </w:rPr>
      <w:t>12</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D136B">
    <w:pPr>
      <w:pStyle w:val="ab"/>
      <w:framePr w:wrap="around" w:vAnchor="text" w:hAnchor="margin" w:xAlign="center" w:y="1"/>
      <w:jc w:val="center"/>
      <w:rPr>
        <w:rStyle w:val="af6"/>
        <w:rFonts w:hint="eastAsia"/>
      </w:rPr>
    </w:pPr>
  </w:p>
  <w:p w:rsidR="00000000" w:rsidRDefault="005D136B">
    <w:pPr>
      <w:pStyle w:val="ab"/>
      <w:jc w:val="right"/>
    </w:pPr>
    <w:r>
      <w:rPr>
        <w:rFonts w:ascii="仿宋_GB2312" w:eastAsia="仿宋_GB2312" w:hint="eastAsia"/>
        <w:bCs/>
        <w:sz w:val="28"/>
      </w:rPr>
      <w:t>－</w:t>
    </w:r>
    <w:r>
      <w:rPr>
        <w:rFonts w:ascii="仿宋_GB2312" w:eastAsia="仿宋_GB2312" w:hint="eastAsia"/>
        <w:sz w:val="28"/>
      </w:rPr>
      <w:fldChar w:fldCharType="begin"/>
    </w:r>
    <w:r>
      <w:rPr>
        <w:rFonts w:ascii="仿宋_GB2312" w:eastAsia="仿宋_GB2312" w:hint="eastAsia"/>
        <w:sz w:val="28"/>
      </w:rPr>
      <w:instrText xml:space="preserve"> PAGE </w:instrText>
    </w:r>
    <w:r>
      <w:rPr>
        <w:rFonts w:ascii="仿宋_GB2312" w:eastAsia="仿宋_GB2312" w:hint="eastAsia"/>
        <w:sz w:val="28"/>
      </w:rPr>
      <w:fldChar w:fldCharType="separate"/>
    </w:r>
    <w:r w:rsidR="00850F5B">
      <w:rPr>
        <w:rFonts w:ascii="仿宋_GB2312" w:eastAsia="仿宋_GB2312"/>
        <w:noProof/>
        <w:sz w:val="28"/>
      </w:rPr>
      <w:t>13</w:t>
    </w:r>
    <w:r>
      <w:rPr>
        <w:rFonts w:ascii="仿宋_GB2312" w:eastAsia="仿宋_GB2312" w:hint="eastAsia"/>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36B" w:rsidRDefault="005D136B">
      <w:r>
        <w:separator/>
      </w:r>
    </w:p>
  </w:footnote>
  <w:footnote w:type="continuationSeparator" w:id="0">
    <w:p w:rsidR="005D136B" w:rsidRDefault="005D13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567"/>
        </w:tabs>
        <w:ind w:left="567" w:hanging="567"/>
      </w:pPr>
      <w:rPr>
        <w:rFonts w:ascii="Times New Roman" w:hAnsi="Times New Roman" w:cs="Times New Roman"/>
        <w:color w:val="000000"/>
        <w:sz w:val="24"/>
        <w:szCs w:val="24"/>
      </w:rPr>
    </w:lvl>
    <w:lvl w:ilvl="1">
      <w:start w:val="1"/>
      <w:numFmt w:val="decimal"/>
      <w:lvlText w:val="%1.%2."/>
      <w:lvlJc w:val="left"/>
      <w:pPr>
        <w:tabs>
          <w:tab w:val="num" w:pos="851"/>
        </w:tabs>
        <w:ind w:left="851" w:hanging="851"/>
      </w:pPr>
      <w:rPr>
        <w:rFonts w:ascii="Times New Roman" w:hAnsi="Times New Roman" w:cs="Times New Roman"/>
        <w:color w:val="000000"/>
        <w:sz w:val="24"/>
        <w:szCs w:val="24"/>
      </w:rPr>
    </w:lvl>
    <w:lvl w:ilvl="2">
      <w:start w:val="1"/>
      <w:numFmt w:val="decimal"/>
      <w:lvlText w:val="%1.%2.%3."/>
      <w:lvlJc w:val="left"/>
      <w:pPr>
        <w:tabs>
          <w:tab w:val="num" w:pos="1134"/>
        </w:tabs>
        <w:ind w:left="1134" w:hanging="1134"/>
      </w:pPr>
      <w:rPr>
        <w:rFonts w:ascii="Times New Roman" w:hAnsi="Times New Roman" w:cs="Times New Roman"/>
        <w:color w:val="000000"/>
        <w:sz w:val="24"/>
        <w:szCs w:val="24"/>
      </w:rPr>
    </w:lvl>
    <w:lvl w:ilvl="3">
      <w:start w:val="1"/>
      <w:numFmt w:val="decimal"/>
      <w:lvlText w:val="%1.%2.%3.%4."/>
      <w:lvlJc w:val="left"/>
      <w:pPr>
        <w:tabs>
          <w:tab w:val="num" w:pos="1418"/>
        </w:tabs>
        <w:ind w:left="1418" w:hanging="1418"/>
      </w:pPr>
      <w:rPr>
        <w:rFonts w:ascii="Times New Roman" w:hAnsi="Times New Roman" w:cs="Times New Roman"/>
        <w:color w:val="000000"/>
        <w:sz w:val="24"/>
        <w:szCs w:val="24"/>
      </w:rPr>
    </w:lvl>
    <w:lvl w:ilvl="4">
      <w:start w:val="1"/>
      <w:numFmt w:val="decimal"/>
      <w:lvlText w:val="%1.%2.%3.%4.%5."/>
      <w:lvlJc w:val="left"/>
      <w:pPr>
        <w:tabs>
          <w:tab w:val="num" w:pos="1701"/>
        </w:tabs>
        <w:ind w:left="1701" w:hanging="1701"/>
      </w:pPr>
      <w:rPr>
        <w:rFonts w:ascii="Times New Roman" w:hAnsi="Times New Roman" w:cs="Times New Roman"/>
        <w:color w:val="000000"/>
        <w:sz w:val="24"/>
        <w:szCs w:val="24"/>
      </w:rPr>
    </w:lvl>
    <w:lvl w:ilvl="5">
      <w:start w:val="1"/>
      <w:numFmt w:val="decimal"/>
      <w:lvlText w:val="%1.%2.%3.%4.%5.%6."/>
      <w:lvlJc w:val="left"/>
      <w:pPr>
        <w:tabs>
          <w:tab w:val="num" w:pos="1985"/>
        </w:tabs>
        <w:ind w:left="1985" w:hanging="1985"/>
      </w:pPr>
      <w:rPr>
        <w:rFonts w:ascii="Times New Roman" w:hAnsi="Times New Roman" w:cs="Times New Roman"/>
        <w:color w:val="000000"/>
        <w:sz w:val="24"/>
        <w:szCs w:val="24"/>
      </w:rPr>
    </w:lvl>
    <w:lvl w:ilvl="6">
      <w:start w:val="1"/>
      <w:numFmt w:val="decimal"/>
      <w:lvlText w:val="%1.%2.%3.%4.%5.%6.%7."/>
      <w:lvlJc w:val="left"/>
      <w:pPr>
        <w:tabs>
          <w:tab w:val="num"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num"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num" w:pos="2835"/>
        </w:tabs>
        <w:ind w:left="2835" w:hanging="2835"/>
      </w:pPr>
      <w:rPr>
        <w:rFonts w:ascii="Univers" w:hAnsi="Univers" w:cs="Times New Roman" w:hint="default"/>
        <w:sz w:val="24"/>
      </w:rPr>
    </w:lvl>
  </w:abstractNum>
  <w:abstractNum w:abstractNumId="1">
    <w:nsid w:val="5EA656DE"/>
    <w:multiLevelType w:val="multilevel"/>
    <w:tmpl w:val="5EA656DE"/>
    <w:lvl w:ilvl="0">
      <w:start w:val="1"/>
      <w:numFmt w:val="japaneseCounting"/>
      <w:lvlText w:val="第%1条"/>
      <w:lvlJc w:val="left"/>
      <w:pPr>
        <w:ind w:left="3045" w:hanging="420"/>
      </w:pPr>
      <w:rPr>
        <w:rFonts w:ascii="仿宋_GB2312" w:eastAsia="仿宋_GB2312" w:cs="Times New Roman" w:hint="eastAsia"/>
        <w:b/>
        <w:sz w:val="30"/>
        <w:szCs w:val="30"/>
      </w:rPr>
    </w:lvl>
    <w:lvl w:ilvl="1">
      <w:start w:val="1"/>
      <w:numFmt w:val="chineseCountingThousand"/>
      <w:lvlText w:val="第%2条"/>
      <w:lvlJc w:val="left"/>
      <w:pPr>
        <w:tabs>
          <w:tab w:val="num" w:pos="3856"/>
        </w:tabs>
        <w:ind w:left="1928" w:firstLine="567"/>
      </w:pPr>
      <w:rPr>
        <w:rFonts w:ascii="仿宋_GB2312" w:eastAsia="仿宋_GB2312" w:cs="Times New Roman" w:hint="eastAsia"/>
        <w:b w:val="0"/>
        <w:i w:val="0"/>
        <w:strike w:val="0"/>
        <w:dstrike w:val="0"/>
        <w:spacing w:val="0"/>
        <w:w w:val="100"/>
        <w:kern w:val="0"/>
        <w:position w:val="0"/>
        <w:sz w:val="32"/>
        <w:szCs w:val="32"/>
        <w:u w:val="none"/>
      </w:rPr>
    </w:lvl>
    <w:lvl w:ilvl="2">
      <w:start w:val="1"/>
      <w:numFmt w:val="decimal"/>
      <w:lvlText w:val="%3."/>
      <w:lvlJc w:val="left"/>
      <w:pPr>
        <w:tabs>
          <w:tab w:val="num" w:pos="3595"/>
        </w:tabs>
        <w:ind w:left="3595" w:hanging="360"/>
      </w:pPr>
      <w:rPr>
        <w:rFonts w:cs="Times New Roman"/>
      </w:rPr>
    </w:lvl>
    <w:lvl w:ilvl="3">
      <w:start w:val="1"/>
      <w:numFmt w:val="decimal"/>
      <w:lvlText w:val="%4."/>
      <w:lvlJc w:val="left"/>
      <w:pPr>
        <w:tabs>
          <w:tab w:val="num" w:pos="4315"/>
        </w:tabs>
        <w:ind w:left="4315" w:hanging="360"/>
      </w:pPr>
      <w:rPr>
        <w:rFonts w:cs="Times New Roman"/>
      </w:rPr>
    </w:lvl>
    <w:lvl w:ilvl="4">
      <w:start w:val="1"/>
      <w:numFmt w:val="decimal"/>
      <w:lvlText w:val="%5."/>
      <w:lvlJc w:val="left"/>
      <w:pPr>
        <w:tabs>
          <w:tab w:val="num" w:pos="5035"/>
        </w:tabs>
        <w:ind w:left="5035" w:hanging="360"/>
      </w:pPr>
      <w:rPr>
        <w:rFonts w:cs="Times New Roman"/>
      </w:rPr>
    </w:lvl>
    <w:lvl w:ilvl="5">
      <w:start w:val="1"/>
      <w:numFmt w:val="decimal"/>
      <w:lvlText w:val="%6."/>
      <w:lvlJc w:val="left"/>
      <w:pPr>
        <w:tabs>
          <w:tab w:val="num" w:pos="5755"/>
        </w:tabs>
        <w:ind w:left="5755" w:hanging="360"/>
      </w:pPr>
      <w:rPr>
        <w:rFonts w:cs="Times New Roman"/>
      </w:rPr>
    </w:lvl>
    <w:lvl w:ilvl="6">
      <w:start w:val="1"/>
      <w:numFmt w:val="decimal"/>
      <w:lvlText w:val="%7."/>
      <w:lvlJc w:val="left"/>
      <w:pPr>
        <w:tabs>
          <w:tab w:val="num" w:pos="6475"/>
        </w:tabs>
        <w:ind w:left="6475" w:hanging="360"/>
      </w:pPr>
      <w:rPr>
        <w:rFonts w:cs="Times New Roman"/>
      </w:rPr>
    </w:lvl>
    <w:lvl w:ilvl="7">
      <w:start w:val="1"/>
      <w:numFmt w:val="decimal"/>
      <w:lvlText w:val="%8."/>
      <w:lvlJc w:val="left"/>
      <w:pPr>
        <w:tabs>
          <w:tab w:val="num" w:pos="7195"/>
        </w:tabs>
        <w:ind w:left="7195" w:hanging="360"/>
      </w:pPr>
      <w:rPr>
        <w:rFonts w:cs="Times New Roman"/>
      </w:rPr>
    </w:lvl>
    <w:lvl w:ilvl="8">
      <w:start w:val="1"/>
      <w:numFmt w:val="decimal"/>
      <w:lvlText w:val="%9."/>
      <w:lvlJc w:val="left"/>
      <w:pPr>
        <w:tabs>
          <w:tab w:val="num" w:pos="7915"/>
        </w:tabs>
        <w:ind w:left="7915" w:hanging="36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420"/>
  <w:evenAndOddHeaders/>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32EF"/>
    <w:rsid w:val="00001B4B"/>
    <w:rsid w:val="00001C7D"/>
    <w:rsid w:val="00004247"/>
    <w:rsid w:val="00007153"/>
    <w:rsid w:val="000123C7"/>
    <w:rsid w:val="00015CF8"/>
    <w:rsid w:val="00023C6B"/>
    <w:rsid w:val="00023D06"/>
    <w:rsid w:val="00024D17"/>
    <w:rsid w:val="00025A12"/>
    <w:rsid w:val="00025D14"/>
    <w:rsid w:val="00030A3E"/>
    <w:rsid w:val="0003177D"/>
    <w:rsid w:val="00032A04"/>
    <w:rsid w:val="00034D02"/>
    <w:rsid w:val="000373C8"/>
    <w:rsid w:val="00040EBC"/>
    <w:rsid w:val="00041A60"/>
    <w:rsid w:val="00042926"/>
    <w:rsid w:val="000432C6"/>
    <w:rsid w:val="00044E84"/>
    <w:rsid w:val="00045264"/>
    <w:rsid w:val="00045B5A"/>
    <w:rsid w:val="00052CA3"/>
    <w:rsid w:val="00055B23"/>
    <w:rsid w:val="00055D8A"/>
    <w:rsid w:val="00056418"/>
    <w:rsid w:val="000575D2"/>
    <w:rsid w:val="00057D6A"/>
    <w:rsid w:val="0006008F"/>
    <w:rsid w:val="00060722"/>
    <w:rsid w:val="00065144"/>
    <w:rsid w:val="00065822"/>
    <w:rsid w:val="00066E70"/>
    <w:rsid w:val="00067FF1"/>
    <w:rsid w:val="000715CD"/>
    <w:rsid w:val="00072088"/>
    <w:rsid w:val="000746C2"/>
    <w:rsid w:val="000747FA"/>
    <w:rsid w:val="00075702"/>
    <w:rsid w:val="0007649E"/>
    <w:rsid w:val="00076F96"/>
    <w:rsid w:val="000803F2"/>
    <w:rsid w:val="00081D93"/>
    <w:rsid w:val="000825BD"/>
    <w:rsid w:val="000829BB"/>
    <w:rsid w:val="00084847"/>
    <w:rsid w:val="00084D10"/>
    <w:rsid w:val="0008558C"/>
    <w:rsid w:val="0008603B"/>
    <w:rsid w:val="00092467"/>
    <w:rsid w:val="000926AA"/>
    <w:rsid w:val="000932C8"/>
    <w:rsid w:val="00094F31"/>
    <w:rsid w:val="000A2AE9"/>
    <w:rsid w:val="000A36F5"/>
    <w:rsid w:val="000A3859"/>
    <w:rsid w:val="000A4874"/>
    <w:rsid w:val="000A4E05"/>
    <w:rsid w:val="000A5BC9"/>
    <w:rsid w:val="000A5CA0"/>
    <w:rsid w:val="000A78EC"/>
    <w:rsid w:val="000B0E02"/>
    <w:rsid w:val="000B135F"/>
    <w:rsid w:val="000B19DE"/>
    <w:rsid w:val="000B1C87"/>
    <w:rsid w:val="000B1CA3"/>
    <w:rsid w:val="000B2003"/>
    <w:rsid w:val="000B233F"/>
    <w:rsid w:val="000B5A57"/>
    <w:rsid w:val="000B5A96"/>
    <w:rsid w:val="000B6FB4"/>
    <w:rsid w:val="000D3E58"/>
    <w:rsid w:val="000D5E80"/>
    <w:rsid w:val="000D6713"/>
    <w:rsid w:val="000D6920"/>
    <w:rsid w:val="000E0C54"/>
    <w:rsid w:val="000E0F35"/>
    <w:rsid w:val="000E1D7A"/>
    <w:rsid w:val="000E28C6"/>
    <w:rsid w:val="000E3BF1"/>
    <w:rsid w:val="000E6DB0"/>
    <w:rsid w:val="000E75BE"/>
    <w:rsid w:val="000E7A26"/>
    <w:rsid w:val="000E7A4C"/>
    <w:rsid w:val="000F1729"/>
    <w:rsid w:val="000F234A"/>
    <w:rsid w:val="000F3A20"/>
    <w:rsid w:val="000F3DDE"/>
    <w:rsid w:val="000F52A2"/>
    <w:rsid w:val="000F7690"/>
    <w:rsid w:val="00103077"/>
    <w:rsid w:val="00104481"/>
    <w:rsid w:val="0010553A"/>
    <w:rsid w:val="00106537"/>
    <w:rsid w:val="00106E5E"/>
    <w:rsid w:val="00112324"/>
    <w:rsid w:val="0011790D"/>
    <w:rsid w:val="00120EA1"/>
    <w:rsid w:val="00121D8C"/>
    <w:rsid w:val="00126898"/>
    <w:rsid w:val="00127BB8"/>
    <w:rsid w:val="001303BE"/>
    <w:rsid w:val="001312B9"/>
    <w:rsid w:val="001313FC"/>
    <w:rsid w:val="001320F9"/>
    <w:rsid w:val="0013265E"/>
    <w:rsid w:val="00132F87"/>
    <w:rsid w:val="00132FF0"/>
    <w:rsid w:val="00135048"/>
    <w:rsid w:val="00135676"/>
    <w:rsid w:val="001361D6"/>
    <w:rsid w:val="00136D79"/>
    <w:rsid w:val="00136E1D"/>
    <w:rsid w:val="00141A5B"/>
    <w:rsid w:val="00142121"/>
    <w:rsid w:val="001424AA"/>
    <w:rsid w:val="00143741"/>
    <w:rsid w:val="00144741"/>
    <w:rsid w:val="00145463"/>
    <w:rsid w:val="00145E5C"/>
    <w:rsid w:val="00146E00"/>
    <w:rsid w:val="001503C2"/>
    <w:rsid w:val="00152423"/>
    <w:rsid w:val="00156E9B"/>
    <w:rsid w:val="001607D9"/>
    <w:rsid w:val="00160C0B"/>
    <w:rsid w:val="0016249D"/>
    <w:rsid w:val="001628DD"/>
    <w:rsid w:val="00162B2D"/>
    <w:rsid w:val="001636A4"/>
    <w:rsid w:val="00163F0D"/>
    <w:rsid w:val="001641B5"/>
    <w:rsid w:val="00165363"/>
    <w:rsid w:val="001675AF"/>
    <w:rsid w:val="0017731B"/>
    <w:rsid w:val="00177844"/>
    <w:rsid w:val="00185194"/>
    <w:rsid w:val="00186386"/>
    <w:rsid w:val="00191A1F"/>
    <w:rsid w:val="0019316F"/>
    <w:rsid w:val="00195F7F"/>
    <w:rsid w:val="00197495"/>
    <w:rsid w:val="00197504"/>
    <w:rsid w:val="001A27B8"/>
    <w:rsid w:val="001A306E"/>
    <w:rsid w:val="001A4038"/>
    <w:rsid w:val="001A5E3D"/>
    <w:rsid w:val="001B0CC8"/>
    <w:rsid w:val="001B0E13"/>
    <w:rsid w:val="001B2E0F"/>
    <w:rsid w:val="001B412F"/>
    <w:rsid w:val="001B76C0"/>
    <w:rsid w:val="001C0319"/>
    <w:rsid w:val="001C078A"/>
    <w:rsid w:val="001C1D39"/>
    <w:rsid w:val="001C248C"/>
    <w:rsid w:val="001C265D"/>
    <w:rsid w:val="001C3676"/>
    <w:rsid w:val="001C5A32"/>
    <w:rsid w:val="001C5E9A"/>
    <w:rsid w:val="001C7595"/>
    <w:rsid w:val="001D29C8"/>
    <w:rsid w:val="001D452F"/>
    <w:rsid w:val="001D5CF2"/>
    <w:rsid w:val="001D6097"/>
    <w:rsid w:val="001D6B24"/>
    <w:rsid w:val="001D71C5"/>
    <w:rsid w:val="001E1D78"/>
    <w:rsid w:val="001E1EB6"/>
    <w:rsid w:val="001E27F0"/>
    <w:rsid w:val="001E2BC7"/>
    <w:rsid w:val="001E2F7B"/>
    <w:rsid w:val="001E52DC"/>
    <w:rsid w:val="001E53A2"/>
    <w:rsid w:val="001E55F0"/>
    <w:rsid w:val="001E594A"/>
    <w:rsid w:val="001E7729"/>
    <w:rsid w:val="001F31C1"/>
    <w:rsid w:val="001F3DCC"/>
    <w:rsid w:val="001F658F"/>
    <w:rsid w:val="001F6A6E"/>
    <w:rsid w:val="001F74B4"/>
    <w:rsid w:val="00201124"/>
    <w:rsid w:val="00204177"/>
    <w:rsid w:val="002071BC"/>
    <w:rsid w:val="0021000B"/>
    <w:rsid w:val="0021054A"/>
    <w:rsid w:val="002106B0"/>
    <w:rsid w:val="00210AB6"/>
    <w:rsid w:val="00211106"/>
    <w:rsid w:val="0021196D"/>
    <w:rsid w:val="00212492"/>
    <w:rsid w:val="002141CC"/>
    <w:rsid w:val="0021537B"/>
    <w:rsid w:val="00217D52"/>
    <w:rsid w:val="00220EFA"/>
    <w:rsid w:val="0022256E"/>
    <w:rsid w:val="0022274E"/>
    <w:rsid w:val="00222DC0"/>
    <w:rsid w:val="002243B6"/>
    <w:rsid w:val="00227A2C"/>
    <w:rsid w:val="00230603"/>
    <w:rsid w:val="00230694"/>
    <w:rsid w:val="00230E4E"/>
    <w:rsid w:val="00232702"/>
    <w:rsid w:val="00232F16"/>
    <w:rsid w:val="00233149"/>
    <w:rsid w:val="002344BE"/>
    <w:rsid w:val="002346C5"/>
    <w:rsid w:val="00234A4F"/>
    <w:rsid w:val="00234E30"/>
    <w:rsid w:val="00235263"/>
    <w:rsid w:val="00240656"/>
    <w:rsid w:val="00241C94"/>
    <w:rsid w:val="002436E6"/>
    <w:rsid w:val="00243E11"/>
    <w:rsid w:val="002441E9"/>
    <w:rsid w:val="00244718"/>
    <w:rsid w:val="00245FED"/>
    <w:rsid w:val="00247A8F"/>
    <w:rsid w:val="002549B0"/>
    <w:rsid w:val="00256A60"/>
    <w:rsid w:val="00260879"/>
    <w:rsid w:val="00260FCD"/>
    <w:rsid w:val="002616D1"/>
    <w:rsid w:val="002618E8"/>
    <w:rsid w:val="00261C52"/>
    <w:rsid w:val="0026217A"/>
    <w:rsid w:val="002635C2"/>
    <w:rsid w:val="00263787"/>
    <w:rsid w:val="002649A0"/>
    <w:rsid w:val="00266DD8"/>
    <w:rsid w:val="002679E4"/>
    <w:rsid w:val="00267B6F"/>
    <w:rsid w:val="00267D17"/>
    <w:rsid w:val="0027033D"/>
    <w:rsid w:val="00270D15"/>
    <w:rsid w:val="00271CB6"/>
    <w:rsid w:val="00271DEA"/>
    <w:rsid w:val="00272B98"/>
    <w:rsid w:val="00275429"/>
    <w:rsid w:val="0027565F"/>
    <w:rsid w:val="00275CBD"/>
    <w:rsid w:val="00275FED"/>
    <w:rsid w:val="00277FFE"/>
    <w:rsid w:val="00280575"/>
    <w:rsid w:val="00281615"/>
    <w:rsid w:val="002839B7"/>
    <w:rsid w:val="0028470E"/>
    <w:rsid w:val="002850BA"/>
    <w:rsid w:val="00291DB3"/>
    <w:rsid w:val="002939FC"/>
    <w:rsid w:val="002948E6"/>
    <w:rsid w:val="00294A2C"/>
    <w:rsid w:val="00296697"/>
    <w:rsid w:val="002A028B"/>
    <w:rsid w:val="002A0319"/>
    <w:rsid w:val="002A0A0B"/>
    <w:rsid w:val="002A0CDC"/>
    <w:rsid w:val="002A0FC5"/>
    <w:rsid w:val="002A239C"/>
    <w:rsid w:val="002A3524"/>
    <w:rsid w:val="002A38C3"/>
    <w:rsid w:val="002A5B12"/>
    <w:rsid w:val="002A7D56"/>
    <w:rsid w:val="002B0D2D"/>
    <w:rsid w:val="002B1931"/>
    <w:rsid w:val="002B34E9"/>
    <w:rsid w:val="002B3909"/>
    <w:rsid w:val="002B4389"/>
    <w:rsid w:val="002B7FB9"/>
    <w:rsid w:val="002C44E0"/>
    <w:rsid w:val="002C5145"/>
    <w:rsid w:val="002C7AC9"/>
    <w:rsid w:val="002C7EF9"/>
    <w:rsid w:val="002D03C3"/>
    <w:rsid w:val="002D115E"/>
    <w:rsid w:val="002D247D"/>
    <w:rsid w:val="002D5D60"/>
    <w:rsid w:val="002D7AA5"/>
    <w:rsid w:val="002E07CD"/>
    <w:rsid w:val="002E2810"/>
    <w:rsid w:val="002E2C77"/>
    <w:rsid w:val="002E3469"/>
    <w:rsid w:val="002E42D0"/>
    <w:rsid w:val="002E4C05"/>
    <w:rsid w:val="002E4D4C"/>
    <w:rsid w:val="002E7143"/>
    <w:rsid w:val="002E7913"/>
    <w:rsid w:val="002E7C38"/>
    <w:rsid w:val="002F0D79"/>
    <w:rsid w:val="002F19CD"/>
    <w:rsid w:val="002F3D59"/>
    <w:rsid w:val="002F6B5E"/>
    <w:rsid w:val="00301B8F"/>
    <w:rsid w:val="0030332C"/>
    <w:rsid w:val="00304446"/>
    <w:rsid w:val="00304524"/>
    <w:rsid w:val="00304AB8"/>
    <w:rsid w:val="00306F9F"/>
    <w:rsid w:val="003103D2"/>
    <w:rsid w:val="00310AA0"/>
    <w:rsid w:val="003128D1"/>
    <w:rsid w:val="0031389B"/>
    <w:rsid w:val="00314881"/>
    <w:rsid w:val="00315A37"/>
    <w:rsid w:val="003203A2"/>
    <w:rsid w:val="00320E81"/>
    <w:rsid w:val="00323793"/>
    <w:rsid w:val="0032399D"/>
    <w:rsid w:val="00326C6B"/>
    <w:rsid w:val="00327E4E"/>
    <w:rsid w:val="003317AD"/>
    <w:rsid w:val="00332379"/>
    <w:rsid w:val="00333B5A"/>
    <w:rsid w:val="003369A0"/>
    <w:rsid w:val="0034251F"/>
    <w:rsid w:val="00343987"/>
    <w:rsid w:val="003459FC"/>
    <w:rsid w:val="00350A49"/>
    <w:rsid w:val="0035170E"/>
    <w:rsid w:val="0035204B"/>
    <w:rsid w:val="00352DDF"/>
    <w:rsid w:val="00353B18"/>
    <w:rsid w:val="00353F36"/>
    <w:rsid w:val="003544A4"/>
    <w:rsid w:val="00355B57"/>
    <w:rsid w:val="003560DB"/>
    <w:rsid w:val="003561F6"/>
    <w:rsid w:val="00363433"/>
    <w:rsid w:val="00363B34"/>
    <w:rsid w:val="003642F6"/>
    <w:rsid w:val="00365389"/>
    <w:rsid w:val="003671CC"/>
    <w:rsid w:val="003674EB"/>
    <w:rsid w:val="00370147"/>
    <w:rsid w:val="00370A37"/>
    <w:rsid w:val="00370F08"/>
    <w:rsid w:val="00371056"/>
    <w:rsid w:val="003712BD"/>
    <w:rsid w:val="003714B3"/>
    <w:rsid w:val="003721BA"/>
    <w:rsid w:val="0037348E"/>
    <w:rsid w:val="00373B90"/>
    <w:rsid w:val="00375CB8"/>
    <w:rsid w:val="003825B7"/>
    <w:rsid w:val="003844D8"/>
    <w:rsid w:val="0038457C"/>
    <w:rsid w:val="00386372"/>
    <w:rsid w:val="00386A61"/>
    <w:rsid w:val="0038722F"/>
    <w:rsid w:val="00387B66"/>
    <w:rsid w:val="0039017A"/>
    <w:rsid w:val="003935C7"/>
    <w:rsid w:val="00393AC8"/>
    <w:rsid w:val="00397420"/>
    <w:rsid w:val="003979FD"/>
    <w:rsid w:val="003A2017"/>
    <w:rsid w:val="003A4275"/>
    <w:rsid w:val="003A46E9"/>
    <w:rsid w:val="003A4957"/>
    <w:rsid w:val="003A5630"/>
    <w:rsid w:val="003A5A71"/>
    <w:rsid w:val="003A646D"/>
    <w:rsid w:val="003B1962"/>
    <w:rsid w:val="003B1B87"/>
    <w:rsid w:val="003B1ED9"/>
    <w:rsid w:val="003B2F8E"/>
    <w:rsid w:val="003B45A3"/>
    <w:rsid w:val="003B6094"/>
    <w:rsid w:val="003B65E2"/>
    <w:rsid w:val="003B7D3A"/>
    <w:rsid w:val="003C22FE"/>
    <w:rsid w:val="003C23AD"/>
    <w:rsid w:val="003C293C"/>
    <w:rsid w:val="003C37A4"/>
    <w:rsid w:val="003C37A5"/>
    <w:rsid w:val="003C5E90"/>
    <w:rsid w:val="003C7171"/>
    <w:rsid w:val="003D24C9"/>
    <w:rsid w:val="003D3027"/>
    <w:rsid w:val="003D4890"/>
    <w:rsid w:val="003D5445"/>
    <w:rsid w:val="003D73C7"/>
    <w:rsid w:val="003D7920"/>
    <w:rsid w:val="003E06D1"/>
    <w:rsid w:val="003E100F"/>
    <w:rsid w:val="003E1D04"/>
    <w:rsid w:val="003E75F6"/>
    <w:rsid w:val="003E785F"/>
    <w:rsid w:val="003F318F"/>
    <w:rsid w:val="003F6CCE"/>
    <w:rsid w:val="003F78E1"/>
    <w:rsid w:val="0040193F"/>
    <w:rsid w:val="00401D7B"/>
    <w:rsid w:val="00401ED0"/>
    <w:rsid w:val="004050CB"/>
    <w:rsid w:val="0040559C"/>
    <w:rsid w:val="00412C9B"/>
    <w:rsid w:val="0041372A"/>
    <w:rsid w:val="00413BDA"/>
    <w:rsid w:val="00414DA6"/>
    <w:rsid w:val="004156A9"/>
    <w:rsid w:val="00415ABF"/>
    <w:rsid w:val="004161E0"/>
    <w:rsid w:val="0041714A"/>
    <w:rsid w:val="004221B0"/>
    <w:rsid w:val="004223D9"/>
    <w:rsid w:val="004235D3"/>
    <w:rsid w:val="0042579A"/>
    <w:rsid w:val="00425B16"/>
    <w:rsid w:val="0042799E"/>
    <w:rsid w:val="004318A5"/>
    <w:rsid w:val="00433633"/>
    <w:rsid w:val="00433D0E"/>
    <w:rsid w:val="004342BF"/>
    <w:rsid w:val="004347DB"/>
    <w:rsid w:val="0043610F"/>
    <w:rsid w:val="00436F3C"/>
    <w:rsid w:val="00440411"/>
    <w:rsid w:val="0044519B"/>
    <w:rsid w:val="004473CB"/>
    <w:rsid w:val="004503F5"/>
    <w:rsid w:val="00450748"/>
    <w:rsid w:val="004512D0"/>
    <w:rsid w:val="00451DE9"/>
    <w:rsid w:val="0045439F"/>
    <w:rsid w:val="00454698"/>
    <w:rsid w:val="00455485"/>
    <w:rsid w:val="00456542"/>
    <w:rsid w:val="00456CC6"/>
    <w:rsid w:val="00460CC9"/>
    <w:rsid w:val="00461CCC"/>
    <w:rsid w:val="00462577"/>
    <w:rsid w:val="00462F6A"/>
    <w:rsid w:val="00464517"/>
    <w:rsid w:val="004648F6"/>
    <w:rsid w:val="00464A0E"/>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64F8"/>
    <w:rsid w:val="0049741E"/>
    <w:rsid w:val="00497FE2"/>
    <w:rsid w:val="004A178E"/>
    <w:rsid w:val="004A24E8"/>
    <w:rsid w:val="004A3057"/>
    <w:rsid w:val="004A4E70"/>
    <w:rsid w:val="004A7413"/>
    <w:rsid w:val="004B02FE"/>
    <w:rsid w:val="004B093C"/>
    <w:rsid w:val="004B2CC4"/>
    <w:rsid w:val="004B7CA4"/>
    <w:rsid w:val="004C0FBE"/>
    <w:rsid w:val="004C19B8"/>
    <w:rsid w:val="004C2EB9"/>
    <w:rsid w:val="004C3061"/>
    <w:rsid w:val="004C30AE"/>
    <w:rsid w:val="004C36A0"/>
    <w:rsid w:val="004C3E81"/>
    <w:rsid w:val="004C5C9E"/>
    <w:rsid w:val="004C6332"/>
    <w:rsid w:val="004C75A5"/>
    <w:rsid w:val="004C7695"/>
    <w:rsid w:val="004C7A14"/>
    <w:rsid w:val="004D006C"/>
    <w:rsid w:val="004D192C"/>
    <w:rsid w:val="004D2769"/>
    <w:rsid w:val="004D3CA9"/>
    <w:rsid w:val="004D3D37"/>
    <w:rsid w:val="004D3EE9"/>
    <w:rsid w:val="004D47EE"/>
    <w:rsid w:val="004D56FB"/>
    <w:rsid w:val="004D5968"/>
    <w:rsid w:val="004E3143"/>
    <w:rsid w:val="004E46A0"/>
    <w:rsid w:val="004E60FA"/>
    <w:rsid w:val="004E70D1"/>
    <w:rsid w:val="004E7CE1"/>
    <w:rsid w:val="004F0560"/>
    <w:rsid w:val="004F0E96"/>
    <w:rsid w:val="004F282C"/>
    <w:rsid w:val="004F727D"/>
    <w:rsid w:val="005012B2"/>
    <w:rsid w:val="00501E8E"/>
    <w:rsid w:val="00502B77"/>
    <w:rsid w:val="0050608F"/>
    <w:rsid w:val="00506CFA"/>
    <w:rsid w:val="00511933"/>
    <w:rsid w:val="00511DA3"/>
    <w:rsid w:val="00514115"/>
    <w:rsid w:val="00514AD2"/>
    <w:rsid w:val="00515589"/>
    <w:rsid w:val="0051598C"/>
    <w:rsid w:val="005166C5"/>
    <w:rsid w:val="00524254"/>
    <w:rsid w:val="00524516"/>
    <w:rsid w:val="0052596B"/>
    <w:rsid w:val="005267E3"/>
    <w:rsid w:val="005269DB"/>
    <w:rsid w:val="00526EC7"/>
    <w:rsid w:val="00530BB1"/>
    <w:rsid w:val="0053123E"/>
    <w:rsid w:val="0053175B"/>
    <w:rsid w:val="00531853"/>
    <w:rsid w:val="00532C03"/>
    <w:rsid w:val="0053321A"/>
    <w:rsid w:val="0053655F"/>
    <w:rsid w:val="00537B28"/>
    <w:rsid w:val="00540E15"/>
    <w:rsid w:val="00541330"/>
    <w:rsid w:val="00542AD1"/>
    <w:rsid w:val="00545E78"/>
    <w:rsid w:val="00546621"/>
    <w:rsid w:val="0055053A"/>
    <w:rsid w:val="00550946"/>
    <w:rsid w:val="00551C59"/>
    <w:rsid w:val="00556AC5"/>
    <w:rsid w:val="00556F5A"/>
    <w:rsid w:val="00557DDC"/>
    <w:rsid w:val="00557E04"/>
    <w:rsid w:val="00560769"/>
    <w:rsid w:val="00562A79"/>
    <w:rsid w:val="00564833"/>
    <w:rsid w:val="00564B8D"/>
    <w:rsid w:val="00565B5B"/>
    <w:rsid w:val="00565D30"/>
    <w:rsid w:val="0056710A"/>
    <w:rsid w:val="00567DFD"/>
    <w:rsid w:val="00570D07"/>
    <w:rsid w:val="00570FA8"/>
    <w:rsid w:val="0057155E"/>
    <w:rsid w:val="00573516"/>
    <w:rsid w:val="00574738"/>
    <w:rsid w:val="00575A29"/>
    <w:rsid w:val="005761D3"/>
    <w:rsid w:val="0057782A"/>
    <w:rsid w:val="00581F1C"/>
    <w:rsid w:val="005841B7"/>
    <w:rsid w:val="0058429F"/>
    <w:rsid w:val="00584DE5"/>
    <w:rsid w:val="005852F4"/>
    <w:rsid w:val="00586A5C"/>
    <w:rsid w:val="005871A7"/>
    <w:rsid w:val="005875C0"/>
    <w:rsid w:val="00591567"/>
    <w:rsid w:val="0059289B"/>
    <w:rsid w:val="005934D0"/>
    <w:rsid w:val="00594794"/>
    <w:rsid w:val="00597C58"/>
    <w:rsid w:val="005A0248"/>
    <w:rsid w:val="005A4F70"/>
    <w:rsid w:val="005A729C"/>
    <w:rsid w:val="005A7CD8"/>
    <w:rsid w:val="005B0A0A"/>
    <w:rsid w:val="005B1EF7"/>
    <w:rsid w:val="005B3346"/>
    <w:rsid w:val="005B4A0C"/>
    <w:rsid w:val="005B73E7"/>
    <w:rsid w:val="005B740A"/>
    <w:rsid w:val="005C0AA5"/>
    <w:rsid w:val="005C1D93"/>
    <w:rsid w:val="005C2403"/>
    <w:rsid w:val="005C453D"/>
    <w:rsid w:val="005C533A"/>
    <w:rsid w:val="005C7940"/>
    <w:rsid w:val="005D136B"/>
    <w:rsid w:val="005D1E77"/>
    <w:rsid w:val="005D34F3"/>
    <w:rsid w:val="005D655A"/>
    <w:rsid w:val="005E4BD1"/>
    <w:rsid w:val="005E6B96"/>
    <w:rsid w:val="005E6D26"/>
    <w:rsid w:val="005F0B5C"/>
    <w:rsid w:val="005F1000"/>
    <w:rsid w:val="005F5CEB"/>
    <w:rsid w:val="006012ED"/>
    <w:rsid w:val="00604249"/>
    <w:rsid w:val="006046F4"/>
    <w:rsid w:val="00604D58"/>
    <w:rsid w:val="00607409"/>
    <w:rsid w:val="00607B22"/>
    <w:rsid w:val="00612558"/>
    <w:rsid w:val="00613446"/>
    <w:rsid w:val="006160EB"/>
    <w:rsid w:val="006224DE"/>
    <w:rsid w:val="006226D3"/>
    <w:rsid w:val="00622999"/>
    <w:rsid w:val="00624E99"/>
    <w:rsid w:val="006252D0"/>
    <w:rsid w:val="00625B9F"/>
    <w:rsid w:val="0062772F"/>
    <w:rsid w:val="0062773F"/>
    <w:rsid w:val="00631857"/>
    <w:rsid w:val="006322C3"/>
    <w:rsid w:val="006322C8"/>
    <w:rsid w:val="00634068"/>
    <w:rsid w:val="006347CB"/>
    <w:rsid w:val="0063617D"/>
    <w:rsid w:val="00636194"/>
    <w:rsid w:val="00636241"/>
    <w:rsid w:val="0063648A"/>
    <w:rsid w:val="0063751D"/>
    <w:rsid w:val="00637B93"/>
    <w:rsid w:val="00640955"/>
    <w:rsid w:val="006411B0"/>
    <w:rsid w:val="00642833"/>
    <w:rsid w:val="00642F6C"/>
    <w:rsid w:val="006430C3"/>
    <w:rsid w:val="006456C3"/>
    <w:rsid w:val="00647D43"/>
    <w:rsid w:val="00650F2C"/>
    <w:rsid w:val="00651302"/>
    <w:rsid w:val="00651BDA"/>
    <w:rsid w:val="006523DE"/>
    <w:rsid w:val="00652A6C"/>
    <w:rsid w:val="0065306F"/>
    <w:rsid w:val="00653332"/>
    <w:rsid w:val="00653F39"/>
    <w:rsid w:val="00656373"/>
    <w:rsid w:val="00656D53"/>
    <w:rsid w:val="00657D26"/>
    <w:rsid w:val="00657D50"/>
    <w:rsid w:val="00660EA6"/>
    <w:rsid w:val="00660ED0"/>
    <w:rsid w:val="00661A30"/>
    <w:rsid w:val="006626EC"/>
    <w:rsid w:val="006634DC"/>
    <w:rsid w:val="00663BF9"/>
    <w:rsid w:val="006643A1"/>
    <w:rsid w:val="00664A78"/>
    <w:rsid w:val="0066604E"/>
    <w:rsid w:val="006672AA"/>
    <w:rsid w:val="006733B8"/>
    <w:rsid w:val="00675DA4"/>
    <w:rsid w:val="0067618A"/>
    <w:rsid w:val="006769C6"/>
    <w:rsid w:val="006774D8"/>
    <w:rsid w:val="00677C37"/>
    <w:rsid w:val="00687AD3"/>
    <w:rsid w:val="00687B1F"/>
    <w:rsid w:val="006942A0"/>
    <w:rsid w:val="006950E9"/>
    <w:rsid w:val="00695BE1"/>
    <w:rsid w:val="006A0837"/>
    <w:rsid w:val="006A1C89"/>
    <w:rsid w:val="006A2EFC"/>
    <w:rsid w:val="006A5E0F"/>
    <w:rsid w:val="006B12E3"/>
    <w:rsid w:val="006B1CB8"/>
    <w:rsid w:val="006B212A"/>
    <w:rsid w:val="006B309B"/>
    <w:rsid w:val="006B3B78"/>
    <w:rsid w:val="006B3EFA"/>
    <w:rsid w:val="006B411E"/>
    <w:rsid w:val="006B42DD"/>
    <w:rsid w:val="006B71BA"/>
    <w:rsid w:val="006B7AD2"/>
    <w:rsid w:val="006C271C"/>
    <w:rsid w:val="006C4D4D"/>
    <w:rsid w:val="006C4F79"/>
    <w:rsid w:val="006C7059"/>
    <w:rsid w:val="006D070F"/>
    <w:rsid w:val="006D431D"/>
    <w:rsid w:val="006D46CE"/>
    <w:rsid w:val="006D5D36"/>
    <w:rsid w:val="006D77DA"/>
    <w:rsid w:val="006E1373"/>
    <w:rsid w:val="006E1852"/>
    <w:rsid w:val="006E2493"/>
    <w:rsid w:val="006E3C7D"/>
    <w:rsid w:val="006E3D07"/>
    <w:rsid w:val="006E43AF"/>
    <w:rsid w:val="006E53B6"/>
    <w:rsid w:val="006E5931"/>
    <w:rsid w:val="006F0FD0"/>
    <w:rsid w:val="006F1AC8"/>
    <w:rsid w:val="006F2772"/>
    <w:rsid w:val="006F3EC4"/>
    <w:rsid w:val="006F4002"/>
    <w:rsid w:val="006F4BC0"/>
    <w:rsid w:val="006F5309"/>
    <w:rsid w:val="006F76EC"/>
    <w:rsid w:val="00700E2A"/>
    <w:rsid w:val="00700EDE"/>
    <w:rsid w:val="00701434"/>
    <w:rsid w:val="00702262"/>
    <w:rsid w:val="00702B5A"/>
    <w:rsid w:val="00702F9F"/>
    <w:rsid w:val="00706175"/>
    <w:rsid w:val="0071240E"/>
    <w:rsid w:val="0071283D"/>
    <w:rsid w:val="00712F62"/>
    <w:rsid w:val="00713A56"/>
    <w:rsid w:val="00714813"/>
    <w:rsid w:val="0071491B"/>
    <w:rsid w:val="00714FAE"/>
    <w:rsid w:val="007166E7"/>
    <w:rsid w:val="00717276"/>
    <w:rsid w:val="007177B6"/>
    <w:rsid w:val="007202D5"/>
    <w:rsid w:val="0072046E"/>
    <w:rsid w:val="007222DB"/>
    <w:rsid w:val="0072316A"/>
    <w:rsid w:val="007264F3"/>
    <w:rsid w:val="0073155B"/>
    <w:rsid w:val="007315AB"/>
    <w:rsid w:val="00733A2F"/>
    <w:rsid w:val="00737001"/>
    <w:rsid w:val="00737881"/>
    <w:rsid w:val="00737B33"/>
    <w:rsid w:val="0074005F"/>
    <w:rsid w:val="0074121D"/>
    <w:rsid w:val="0074277C"/>
    <w:rsid w:val="00743198"/>
    <w:rsid w:val="00743305"/>
    <w:rsid w:val="007437FC"/>
    <w:rsid w:val="00743A32"/>
    <w:rsid w:val="00746780"/>
    <w:rsid w:val="0074724F"/>
    <w:rsid w:val="00747D97"/>
    <w:rsid w:val="007527F4"/>
    <w:rsid w:val="00753327"/>
    <w:rsid w:val="007533EB"/>
    <w:rsid w:val="00755115"/>
    <w:rsid w:val="00760416"/>
    <w:rsid w:val="007677C1"/>
    <w:rsid w:val="00772ABE"/>
    <w:rsid w:val="00772D4D"/>
    <w:rsid w:val="00772E38"/>
    <w:rsid w:val="00773E8A"/>
    <w:rsid w:val="0077613F"/>
    <w:rsid w:val="0077623D"/>
    <w:rsid w:val="007763AD"/>
    <w:rsid w:val="007808CE"/>
    <w:rsid w:val="007825D2"/>
    <w:rsid w:val="007830C3"/>
    <w:rsid w:val="00784B4B"/>
    <w:rsid w:val="00784FDA"/>
    <w:rsid w:val="00790888"/>
    <w:rsid w:val="00790B83"/>
    <w:rsid w:val="00791F51"/>
    <w:rsid w:val="007A097C"/>
    <w:rsid w:val="007A0D40"/>
    <w:rsid w:val="007A1866"/>
    <w:rsid w:val="007A2438"/>
    <w:rsid w:val="007A3206"/>
    <w:rsid w:val="007A343B"/>
    <w:rsid w:val="007A3627"/>
    <w:rsid w:val="007A6813"/>
    <w:rsid w:val="007A7BBC"/>
    <w:rsid w:val="007B0FD7"/>
    <w:rsid w:val="007B1705"/>
    <w:rsid w:val="007B1D1F"/>
    <w:rsid w:val="007B20D3"/>
    <w:rsid w:val="007B52A6"/>
    <w:rsid w:val="007B647F"/>
    <w:rsid w:val="007B6D9E"/>
    <w:rsid w:val="007C0722"/>
    <w:rsid w:val="007C0CA3"/>
    <w:rsid w:val="007C26B5"/>
    <w:rsid w:val="007C277F"/>
    <w:rsid w:val="007C2840"/>
    <w:rsid w:val="007C377E"/>
    <w:rsid w:val="007C435B"/>
    <w:rsid w:val="007C5711"/>
    <w:rsid w:val="007C59A1"/>
    <w:rsid w:val="007C728C"/>
    <w:rsid w:val="007C7A44"/>
    <w:rsid w:val="007D0941"/>
    <w:rsid w:val="007D16C1"/>
    <w:rsid w:val="007D3C28"/>
    <w:rsid w:val="007D3DD0"/>
    <w:rsid w:val="007D54E4"/>
    <w:rsid w:val="007D5C87"/>
    <w:rsid w:val="007D70E3"/>
    <w:rsid w:val="007E3363"/>
    <w:rsid w:val="007E39BE"/>
    <w:rsid w:val="007F247C"/>
    <w:rsid w:val="007F6781"/>
    <w:rsid w:val="007F6C5F"/>
    <w:rsid w:val="00800D24"/>
    <w:rsid w:val="00801517"/>
    <w:rsid w:val="00802449"/>
    <w:rsid w:val="00803306"/>
    <w:rsid w:val="0080331D"/>
    <w:rsid w:val="00803482"/>
    <w:rsid w:val="00803C9B"/>
    <w:rsid w:val="008050D7"/>
    <w:rsid w:val="00810099"/>
    <w:rsid w:val="00812B58"/>
    <w:rsid w:val="008131EF"/>
    <w:rsid w:val="00813912"/>
    <w:rsid w:val="00814444"/>
    <w:rsid w:val="00814A30"/>
    <w:rsid w:val="00817688"/>
    <w:rsid w:val="00817CA1"/>
    <w:rsid w:val="008217E1"/>
    <w:rsid w:val="00821C89"/>
    <w:rsid w:val="00821D4C"/>
    <w:rsid w:val="00822ABF"/>
    <w:rsid w:val="00824394"/>
    <w:rsid w:val="0082486A"/>
    <w:rsid w:val="00824A87"/>
    <w:rsid w:val="00825046"/>
    <w:rsid w:val="00826807"/>
    <w:rsid w:val="00826992"/>
    <w:rsid w:val="008272B9"/>
    <w:rsid w:val="00832781"/>
    <w:rsid w:val="008328A3"/>
    <w:rsid w:val="00835872"/>
    <w:rsid w:val="008359A9"/>
    <w:rsid w:val="00836B7B"/>
    <w:rsid w:val="00837048"/>
    <w:rsid w:val="00837188"/>
    <w:rsid w:val="00842134"/>
    <w:rsid w:val="00844BD0"/>
    <w:rsid w:val="00844F9D"/>
    <w:rsid w:val="00846726"/>
    <w:rsid w:val="00847709"/>
    <w:rsid w:val="00850281"/>
    <w:rsid w:val="00850425"/>
    <w:rsid w:val="00850919"/>
    <w:rsid w:val="00850BE1"/>
    <w:rsid w:val="00850F5B"/>
    <w:rsid w:val="0085158C"/>
    <w:rsid w:val="00854C50"/>
    <w:rsid w:val="0085616E"/>
    <w:rsid w:val="008600BD"/>
    <w:rsid w:val="008637C1"/>
    <w:rsid w:val="00863F8B"/>
    <w:rsid w:val="00864D13"/>
    <w:rsid w:val="00865189"/>
    <w:rsid w:val="00865EA5"/>
    <w:rsid w:val="00865EE8"/>
    <w:rsid w:val="00870D86"/>
    <w:rsid w:val="00871824"/>
    <w:rsid w:val="00872F14"/>
    <w:rsid w:val="00874B93"/>
    <w:rsid w:val="00875DE0"/>
    <w:rsid w:val="00876B78"/>
    <w:rsid w:val="008804F2"/>
    <w:rsid w:val="00882E61"/>
    <w:rsid w:val="00883A4B"/>
    <w:rsid w:val="00883BB2"/>
    <w:rsid w:val="00887655"/>
    <w:rsid w:val="008876D1"/>
    <w:rsid w:val="0088799E"/>
    <w:rsid w:val="008904DF"/>
    <w:rsid w:val="0089079B"/>
    <w:rsid w:val="00890AAC"/>
    <w:rsid w:val="008934F6"/>
    <w:rsid w:val="00896230"/>
    <w:rsid w:val="00896FD1"/>
    <w:rsid w:val="008A007C"/>
    <w:rsid w:val="008A1745"/>
    <w:rsid w:val="008A1D5B"/>
    <w:rsid w:val="008A5BEB"/>
    <w:rsid w:val="008A5E4F"/>
    <w:rsid w:val="008B2795"/>
    <w:rsid w:val="008B2F51"/>
    <w:rsid w:val="008B3083"/>
    <w:rsid w:val="008B3745"/>
    <w:rsid w:val="008B577C"/>
    <w:rsid w:val="008C09C1"/>
    <w:rsid w:val="008C0A41"/>
    <w:rsid w:val="008C2274"/>
    <w:rsid w:val="008C3EF1"/>
    <w:rsid w:val="008C76F6"/>
    <w:rsid w:val="008D0B9E"/>
    <w:rsid w:val="008D3ECB"/>
    <w:rsid w:val="008D40AB"/>
    <w:rsid w:val="008D4424"/>
    <w:rsid w:val="008D48F1"/>
    <w:rsid w:val="008D7607"/>
    <w:rsid w:val="008D7852"/>
    <w:rsid w:val="008E06FA"/>
    <w:rsid w:val="008E0EB8"/>
    <w:rsid w:val="008E2831"/>
    <w:rsid w:val="008E2B10"/>
    <w:rsid w:val="008E2B5E"/>
    <w:rsid w:val="008E38FD"/>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23DE"/>
    <w:rsid w:val="00903A38"/>
    <w:rsid w:val="00904278"/>
    <w:rsid w:val="0090442A"/>
    <w:rsid w:val="00910AFE"/>
    <w:rsid w:val="00910C49"/>
    <w:rsid w:val="00911C77"/>
    <w:rsid w:val="0091360C"/>
    <w:rsid w:val="00914DA3"/>
    <w:rsid w:val="009156B2"/>
    <w:rsid w:val="00916D01"/>
    <w:rsid w:val="0091791D"/>
    <w:rsid w:val="00920E8C"/>
    <w:rsid w:val="009225B6"/>
    <w:rsid w:val="009227A4"/>
    <w:rsid w:val="009267B5"/>
    <w:rsid w:val="0092681A"/>
    <w:rsid w:val="009274DB"/>
    <w:rsid w:val="00930A5A"/>
    <w:rsid w:val="00931828"/>
    <w:rsid w:val="009329BE"/>
    <w:rsid w:val="00932D6A"/>
    <w:rsid w:val="0093659D"/>
    <w:rsid w:val="00937FA6"/>
    <w:rsid w:val="00941EA3"/>
    <w:rsid w:val="00942841"/>
    <w:rsid w:val="0094344B"/>
    <w:rsid w:val="00944CA6"/>
    <w:rsid w:val="009469CA"/>
    <w:rsid w:val="00946AF3"/>
    <w:rsid w:val="00946E57"/>
    <w:rsid w:val="00947BF3"/>
    <w:rsid w:val="00950B78"/>
    <w:rsid w:val="00956996"/>
    <w:rsid w:val="00956D22"/>
    <w:rsid w:val="009571BD"/>
    <w:rsid w:val="00957968"/>
    <w:rsid w:val="00961E9B"/>
    <w:rsid w:val="00962833"/>
    <w:rsid w:val="00962E5E"/>
    <w:rsid w:val="009637B8"/>
    <w:rsid w:val="009661BD"/>
    <w:rsid w:val="00967F26"/>
    <w:rsid w:val="00972165"/>
    <w:rsid w:val="0097258E"/>
    <w:rsid w:val="0097636E"/>
    <w:rsid w:val="00981F0B"/>
    <w:rsid w:val="009837BA"/>
    <w:rsid w:val="00984982"/>
    <w:rsid w:val="009856EB"/>
    <w:rsid w:val="0098660E"/>
    <w:rsid w:val="0098747C"/>
    <w:rsid w:val="00987544"/>
    <w:rsid w:val="009876E3"/>
    <w:rsid w:val="00987F07"/>
    <w:rsid w:val="00990027"/>
    <w:rsid w:val="00992635"/>
    <w:rsid w:val="00992E9E"/>
    <w:rsid w:val="00995B90"/>
    <w:rsid w:val="00996D3E"/>
    <w:rsid w:val="009A0FD6"/>
    <w:rsid w:val="009A1519"/>
    <w:rsid w:val="009A1E71"/>
    <w:rsid w:val="009A45F5"/>
    <w:rsid w:val="009A52E1"/>
    <w:rsid w:val="009A54EE"/>
    <w:rsid w:val="009B03B4"/>
    <w:rsid w:val="009B04E7"/>
    <w:rsid w:val="009B2C2E"/>
    <w:rsid w:val="009B3A90"/>
    <w:rsid w:val="009B3D6E"/>
    <w:rsid w:val="009B697A"/>
    <w:rsid w:val="009B7FE0"/>
    <w:rsid w:val="009C2694"/>
    <w:rsid w:val="009C61AC"/>
    <w:rsid w:val="009D0CF1"/>
    <w:rsid w:val="009D1433"/>
    <w:rsid w:val="009D1623"/>
    <w:rsid w:val="009D52E2"/>
    <w:rsid w:val="009D5BDA"/>
    <w:rsid w:val="009D5CD7"/>
    <w:rsid w:val="009D6E0C"/>
    <w:rsid w:val="009D7092"/>
    <w:rsid w:val="009E1613"/>
    <w:rsid w:val="009E3CA9"/>
    <w:rsid w:val="009E4AFF"/>
    <w:rsid w:val="009E4F2A"/>
    <w:rsid w:val="009E66D3"/>
    <w:rsid w:val="009E76CC"/>
    <w:rsid w:val="009F0D46"/>
    <w:rsid w:val="009F0DE7"/>
    <w:rsid w:val="009F1898"/>
    <w:rsid w:val="009F3071"/>
    <w:rsid w:val="009F4E89"/>
    <w:rsid w:val="00A011C4"/>
    <w:rsid w:val="00A013DA"/>
    <w:rsid w:val="00A03F72"/>
    <w:rsid w:val="00A049BE"/>
    <w:rsid w:val="00A04C5C"/>
    <w:rsid w:val="00A102AD"/>
    <w:rsid w:val="00A10983"/>
    <w:rsid w:val="00A11E61"/>
    <w:rsid w:val="00A12A4E"/>
    <w:rsid w:val="00A13044"/>
    <w:rsid w:val="00A138FF"/>
    <w:rsid w:val="00A151ED"/>
    <w:rsid w:val="00A165BD"/>
    <w:rsid w:val="00A213F5"/>
    <w:rsid w:val="00A2393F"/>
    <w:rsid w:val="00A247ED"/>
    <w:rsid w:val="00A271E5"/>
    <w:rsid w:val="00A273D3"/>
    <w:rsid w:val="00A27D95"/>
    <w:rsid w:val="00A34790"/>
    <w:rsid w:val="00A35972"/>
    <w:rsid w:val="00A40995"/>
    <w:rsid w:val="00A40D16"/>
    <w:rsid w:val="00A4133D"/>
    <w:rsid w:val="00A417F8"/>
    <w:rsid w:val="00A429BF"/>
    <w:rsid w:val="00A43AA5"/>
    <w:rsid w:val="00A43E50"/>
    <w:rsid w:val="00A4426B"/>
    <w:rsid w:val="00A444F2"/>
    <w:rsid w:val="00A4584B"/>
    <w:rsid w:val="00A47F0F"/>
    <w:rsid w:val="00A505ED"/>
    <w:rsid w:val="00A50FA8"/>
    <w:rsid w:val="00A54074"/>
    <w:rsid w:val="00A556EC"/>
    <w:rsid w:val="00A576FA"/>
    <w:rsid w:val="00A643AB"/>
    <w:rsid w:val="00A67700"/>
    <w:rsid w:val="00A715FB"/>
    <w:rsid w:val="00A74481"/>
    <w:rsid w:val="00A76668"/>
    <w:rsid w:val="00A81A50"/>
    <w:rsid w:val="00A839F1"/>
    <w:rsid w:val="00A83B31"/>
    <w:rsid w:val="00A843AB"/>
    <w:rsid w:val="00A852EF"/>
    <w:rsid w:val="00A8789D"/>
    <w:rsid w:val="00A87BB6"/>
    <w:rsid w:val="00A90F75"/>
    <w:rsid w:val="00A91F70"/>
    <w:rsid w:val="00A924DE"/>
    <w:rsid w:val="00A93CE5"/>
    <w:rsid w:val="00A9403B"/>
    <w:rsid w:val="00A9416E"/>
    <w:rsid w:val="00A94B78"/>
    <w:rsid w:val="00A95030"/>
    <w:rsid w:val="00A95046"/>
    <w:rsid w:val="00A9543E"/>
    <w:rsid w:val="00A9709A"/>
    <w:rsid w:val="00A97815"/>
    <w:rsid w:val="00A978E6"/>
    <w:rsid w:val="00A97ED5"/>
    <w:rsid w:val="00AA05D3"/>
    <w:rsid w:val="00AA086B"/>
    <w:rsid w:val="00AA1A8B"/>
    <w:rsid w:val="00AA238C"/>
    <w:rsid w:val="00AA2777"/>
    <w:rsid w:val="00AA3D7C"/>
    <w:rsid w:val="00AB1C92"/>
    <w:rsid w:val="00AB21CF"/>
    <w:rsid w:val="00AB2B60"/>
    <w:rsid w:val="00AB2F83"/>
    <w:rsid w:val="00AB331D"/>
    <w:rsid w:val="00AB3AB3"/>
    <w:rsid w:val="00AB6F38"/>
    <w:rsid w:val="00AB749B"/>
    <w:rsid w:val="00AB7CE1"/>
    <w:rsid w:val="00AC12AE"/>
    <w:rsid w:val="00AC1905"/>
    <w:rsid w:val="00AC3767"/>
    <w:rsid w:val="00AC38E7"/>
    <w:rsid w:val="00AC495F"/>
    <w:rsid w:val="00AC58A3"/>
    <w:rsid w:val="00AC7176"/>
    <w:rsid w:val="00AD27F5"/>
    <w:rsid w:val="00AD3D98"/>
    <w:rsid w:val="00AD407F"/>
    <w:rsid w:val="00AD66B6"/>
    <w:rsid w:val="00AE1AD1"/>
    <w:rsid w:val="00AE1C6A"/>
    <w:rsid w:val="00AE2F63"/>
    <w:rsid w:val="00AE37A4"/>
    <w:rsid w:val="00AE74EE"/>
    <w:rsid w:val="00AF099F"/>
    <w:rsid w:val="00AF1C67"/>
    <w:rsid w:val="00AF3753"/>
    <w:rsid w:val="00AF5338"/>
    <w:rsid w:val="00AF7467"/>
    <w:rsid w:val="00B00C58"/>
    <w:rsid w:val="00B01BDE"/>
    <w:rsid w:val="00B03655"/>
    <w:rsid w:val="00B0573B"/>
    <w:rsid w:val="00B07573"/>
    <w:rsid w:val="00B07B8B"/>
    <w:rsid w:val="00B11C14"/>
    <w:rsid w:val="00B127DC"/>
    <w:rsid w:val="00B12A49"/>
    <w:rsid w:val="00B12AF6"/>
    <w:rsid w:val="00B1419A"/>
    <w:rsid w:val="00B15DEC"/>
    <w:rsid w:val="00B17073"/>
    <w:rsid w:val="00B17E6D"/>
    <w:rsid w:val="00B205BE"/>
    <w:rsid w:val="00B24DED"/>
    <w:rsid w:val="00B274D6"/>
    <w:rsid w:val="00B27721"/>
    <w:rsid w:val="00B27751"/>
    <w:rsid w:val="00B3095A"/>
    <w:rsid w:val="00B310D5"/>
    <w:rsid w:val="00B318A4"/>
    <w:rsid w:val="00B33921"/>
    <w:rsid w:val="00B3428E"/>
    <w:rsid w:val="00B352BC"/>
    <w:rsid w:val="00B417B5"/>
    <w:rsid w:val="00B41CF9"/>
    <w:rsid w:val="00B42677"/>
    <w:rsid w:val="00B46694"/>
    <w:rsid w:val="00B505C3"/>
    <w:rsid w:val="00B5283F"/>
    <w:rsid w:val="00B54779"/>
    <w:rsid w:val="00B57B90"/>
    <w:rsid w:val="00B614C9"/>
    <w:rsid w:val="00B62790"/>
    <w:rsid w:val="00B62F7C"/>
    <w:rsid w:val="00B6567C"/>
    <w:rsid w:val="00B661EC"/>
    <w:rsid w:val="00B6696B"/>
    <w:rsid w:val="00B671AF"/>
    <w:rsid w:val="00B67E73"/>
    <w:rsid w:val="00B70303"/>
    <w:rsid w:val="00B72D35"/>
    <w:rsid w:val="00B73134"/>
    <w:rsid w:val="00B73B2D"/>
    <w:rsid w:val="00B73B59"/>
    <w:rsid w:val="00B74CFF"/>
    <w:rsid w:val="00B777DC"/>
    <w:rsid w:val="00B81C86"/>
    <w:rsid w:val="00B8482E"/>
    <w:rsid w:val="00B84D0F"/>
    <w:rsid w:val="00B85CB9"/>
    <w:rsid w:val="00B86ACD"/>
    <w:rsid w:val="00B86C6A"/>
    <w:rsid w:val="00B9008D"/>
    <w:rsid w:val="00B91F88"/>
    <w:rsid w:val="00B95AC1"/>
    <w:rsid w:val="00B972D5"/>
    <w:rsid w:val="00BA08DC"/>
    <w:rsid w:val="00BA0A6D"/>
    <w:rsid w:val="00BA276F"/>
    <w:rsid w:val="00BA2988"/>
    <w:rsid w:val="00BA71DE"/>
    <w:rsid w:val="00BA798F"/>
    <w:rsid w:val="00BB0484"/>
    <w:rsid w:val="00BB195F"/>
    <w:rsid w:val="00BB196F"/>
    <w:rsid w:val="00BB2744"/>
    <w:rsid w:val="00BB491B"/>
    <w:rsid w:val="00BB4EBB"/>
    <w:rsid w:val="00BB711D"/>
    <w:rsid w:val="00BB7B84"/>
    <w:rsid w:val="00BC4132"/>
    <w:rsid w:val="00BC5AE5"/>
    <w:rsid w:val="00BC66F7"/>
    <w:rsid w:val="00BC6816"/>
    <w:rsid w:val="00BC6902"/>
    <w:rsid w:val="00BC6FE3"/>
    <w:rsid w:val="00BD0B83"/>
    <w:rsid w:val="00BD27FF"/>
    <w:rsid w:val="00BD329E"/>
    <w:rsid w:val="00BE1E28"/>
    <w:rsid w:val="00BE2432"/>
    <w:rsid w:val="00BE315A"/>
    <w:rsid w:val="00BE3C9B"/>
    <w:rsid w:val="00BE458C"/>
    <w:rsid w:val="00BE5DEB"/>
    <w:rsid w:val="00BF01C8"/>
    <w:rsid w:val="00BF02E0"/>
    <w:rsid w:val="00BF03E4"/>
    <w:rsid w:val="00BF1067"/>
    <w:rsid w:val="00BF4692"/>
    <w:rsid w:val="00BF48E2"/>
    <w:rsid w:val="00BF54AF"/>
    <w:rsid w:val="00BF69B9"/>
    <w:rsid w:val="00BF7CEC"/>
    <w:rsid w:val="00C010F2"/>
    <w:rsid w:val="00C0135E"/>
    <w:rsid w:val="00C044E4"/>
    <w:rsid w:val="00C04696"/>
    <w:rsid w:val="00C074F2"/>
    <w:rsid w:val="00C07E89"/>
    <w:rsid w:val="00C130C6"/>
    <w:rsid w:val="00C13461"/>
    <w:rsid w:val="00C13FFE"/>
    <w:rsid w:val="00C141BA"/>
    <w:rsid w:val="00C167D3"/>
    <w:rsid w:val="00C177C8"/>
    <w:rsid w:val="00C22077"/>
    <w:rsid w:val="00C23E6D"/>
    <w:rsid w:val="00C23FA9"/>
    <w:rsid w:val="00C24220"/>
    <w:rsid w:val="00C3069F"/>
    <w:rsid w:val="00C314A7"/>
    <w:rsid w:val="00C32C09"/>
    <w:rsid w:val="00C34157"/>
    <w:rsid w:val="00C34AC1"/>
    <w:rsid w:val="00C36242"/>
    <w:rsid w:val="00C36676"/>
    <w:rsid w:val="00C36F56"/>
    <w:rsid w:val="00C379BA"/>
    <w:rsid w:val="00C37FDA"/>
    <w:rsid w:val="00C4130D"/>
    <w:rsid w:val="00C42C11"/>
    <w:rsid w:val="00C42E98"/>
    <w:rsid w:val="00C43757"/>
    <w:rsid w:val="00C448E0"/>
    <w:rsid w:val="00C46276"/>
    <w:rsid w:val="00C52770"/>
    <w:rsid w:val="00C554A3"/>
    <w:rsid w:val="00C55F9C"/>
    <w:rsid w:val="00C57EE8"/>
    <w:rsid w:val="00C63362"/>
    <w:rsid w:val="00C656A0"/>
    <w:rsid w:val="00C659B1"/>
    <w:rsid w:val="00C66584"/>
    <w:rsid w:val="00C66C32"/>
    <w:rsid w:val="00C70250"/>
    <w:rsid w:val="00C70E82"/>
    <w:rsid w:val="00C722C3"/>
    <w:rsid w:val="00C72CEB"/>
    <w:rsid w:val="00C73209"/>
    <w:rsid w:val="00C74F21"/>
    <w:rsid w:val="00C761FD"/>
    <w:rsid w:val="00C762F4"/>
    <w:rsid w:val="00C826C7"/>
    <w:rsid w:val="00C82C63"/>
    <w:rsid w:val="00C833B0"/>
    <w:rsid w:val="00C84700"/>
    <w:rsid w:val="00C85236"/>
    <w:rsid w:val="00C8595A"/>
    <w:rsid w:val="00C860FF"/>
    <w:rsid w:val="00C86B02"/>
    <w:rsid w:val="00C86E5D"/>
    <w:rsid w:val="00C86FEF"/>
    <w:rsid w:val="00C87D3B"/>
    <w:rsid w:val="00C9066A"/>
    <w:rsid w:val="00C90C37"/>
    <w:rsid w:val="00C95850"/>
    <w:rsid w:val="00C959C2"/>
    <w:rsid w:val="00C962A7"/>
    <w:rsid w:val="00CA08D1"/>
    <w:rsid w:val="00CA1284"/>
    <w:rsid w:val="00CA1ABB"/>
    <w:rsid w:val="00CA3886"/>
    <w:rsid w:val="00CA394C"/>
    <w:rsid w:val="00CA5E67"/>
    <w:rsid w:val="00CB132D"/>
    <w:rsid w:val="00CB5201"/>
    <w:rsid w:val="00CB5610"/>
    <w:rsid w:val="00CB5AE1"/>
    <w:rsid w:val="00CB64F4"/>
    <w:rsid w:val="00CB711D"/>
    <w:rsid w:val="00CB73E4"/>
    <w:rsid w:val="00CC093D"/>
    <w:rsid w:val="00CC243A"/>
    <w:rsid w:val="00CC2E77"/>
    <w:rsid w:val="00CC2E7A"/>
    <w:rsid w:val="00CC4111"/>
    <w:rsid w:val="00CC485A"/>
    <w:rsid w:val="00CC51CE"/>
    <w:rsid w:val="00CC7109"/>
    <w:rsid w:val="00CC75AE"/>
    <w:rsid w:val="00CD0E0B"/>
    <w:rsid w:val="00CD127E"/>
    <w:rsid w:val="00CD261A"/>
    <w:rsid w:val="00CD3395"/>
    <w:rsid w:val="00CD5B05"/>
    <w:rsid w:val="00CD5F94"/>
    <w:rsid w:val="00CE00E9"/>
    <w:rsid w:val="00CE13F7"/>
    <w:rsid w:val="00CE1C93"/>
    <w:rsid w:val="00CE3BE8"/>
    <w:rsid w:val="00CE5BF7"/>
    <w:rsid w:val="00CE6134"/>
    <w:rsid w:val="00CE63D8"/>
    <w:rsid w:val="00CF0AC7"/>
    <w:rsid w:val="00CF1715"/>
    <w:rsid w:val="00CF3DEF"/>
    <w:rsid w:val="00CF409C"/>
    <w:rsid w:val="00CF5088"/>
    <w:rsid w:val="00CF52CB"/>
    <w:rsid w:val="00CF7C56"/>
    <w:rsid w:val="00CF7F11"/>
    <w:rsid w:val="00D016F4"/>
    <w:rsid w:val="00D01BBE"/>
    <w:rsid w:val="00D040DC"/>
    <w:rsid w:val="00D0552B"/>
    <w:rsid w:val="00D05D21"/>
    <w:rsid w:val="00D0686C"/>
    <w:rsid w:val="00D06FE9"/>
    <w:rsid w:val="00D07D94"/>
    <w:rsid w:val="00D07DD8"/>
    <w:rsid w:val="00D07E97"/>
    <w:rsid w:val="00D109A6"/>
    <w:rsid w:val="00D12BCF"/>
    <w:rsid w:val="00D13A35"/>
    <w:rsid w:val="00D13BFC"/>
    <w:rsid w:val="00D15A21"/>
    <w:rsid w:val="00D16F07"/>
    <w:rsid w:val="00D20661"/>
    <w:rsid w:val="00D2253E"/>
    <w:rsid w:val="00D23733"/>
    <w:rsid w:val="00D23E03"/>
    <w:rsid w:val="00D24329"/>
    <w:rsid w:val="00D253D9"/>
    <w:rsid w:val="00D26514"/>
    <w:rsid w:val="00D30F64"/>
    <w:rsid w:val="00D4152E"/>
    <w:rsid w:val="00D41B5C"/>
    <w:rsid w:val="00D41D37"/>
    <w:rsid w:val="00D42EEE"/>
    <w:rsid w:val="00D436F1"/>
    <w:rsid w:val="00D44F1A"/>
    <w:rsid w:val="00D4527B"/>
    <w:rsid w:val="00D45DBE"/>
    <w:rsid w:val="00D4657B"/>
    <w:rsid w:val="00D46CDD"/>
    <w:rsid w:val="00D47D2F"/>
    <w:rsid w:val="00D51D8C"/>
    <w:rsid w:val="00D542BF"/>
    <w:rsid w:val="00D56CC2"/>
    <w:rsid w:val="00D5706F"/>
    <w:rsid w:val="00D61499"/>
    <w:rsid w:val="00D614DC"/>
    <w:rsid w:val="00D61909"/>
    <w:rsid w:val="00D61C74"/>
    <w:rsid w:val="00D627C9"/>
    <w:rsid w:val="00D64812"/>
    <w:rsid w:val="00D64971"/>
    <w:rsid w:val="00D671AC"/>
    <w:rsid w:val="00D700D5"/>
    <w:rsid w:val="00D712AB"/>
    <w:rsid w:val="00D719BD"/>
    <w:rsid w:val="00D72578"/>
    <w:rsid w:val="00D728E3"/>
    <w:rsid w:val="00D731DD"/>
    <w:rsid w:val="00D73B59"/>
    <w:rsid w:val="00D73B83"/>
    <w:rsid w:val="00D7460C"/>
    <w:rsid w:val="00D768DD"/>
    <w:rsid w:val="00D76E4A"/>
    <w:rsid w:val="00D76F42"/>
    <w:rsid w:val="00D774F7"/>
    <w:rsid w:val="00D80A1B"/>
    <w:rsid w:val="00D814C1"/>
    <w:rsid w:val="00D8173B"/>
    <w:rsid w:val="00D81A51"/>
    <w:rsid w:val="00D8304C"/>
    <w:rsid w:val="00D83DE2"/>
    <w:rsid w:val="00D86073"/>
    <w:rsid w:val="00D867B7"/>
    <w:rsid w:val="00D878CA"/>
    <w:rsid w:val="00D91B5C"/>
    <w:rsid w:val="00D91C9F"/>
    <w:rsid w:val="00D92119"/>
    <w:rsid w:val="00D92B4B"/>
    <w:rsid w:val="00D93EB7"/>
    <w:rsid w:val="00D94438"/>
    <w:rsid w:val="00D9630E"/>
    <w:rsid w:val="00D96B8E"/>
    <w:rsid w:val="00D97317"/>
    <w:rsid w:val="00D9743F"/>
    <w:rsid w:val="00D97FA0"/>
    <w:rsid w:val="00DA1322"/>
    <w:rsid w:val="00DA4190"/>
    <w:rsid w:val="00DA4932"/>
    <w:rsid w:val="00DA4BD9"/>
    <w:rsid w:val="00DA6F52"/>
    <w:rsid w:val="00DA72ED"/>
    <w:rsid w:val="00DA76D6"/>
    <w:rsid w:val="00DB0693"/>
    <w:rsid w:val="00DB42D5"/>
    <w:rsid w:val="00DB4DC0"/>
    <w:rsid w:val="00DB5F8F"/>
    <w:rsid w:val="00DC0BD8"/>
    <w:rsid w:val="00DC1826"/>
    <w:rsid w:val="00DC22B1"/>
    <w:rsid w:val="00DC254B"/>
    <w:rsid w:val="00DC2730"/>
    <w:rsid w:val="00DC2AA2"/>
    <w:rsid w:val="00DC3B96"/>
    <w:rsid w:val="00DC439B"/>
    <w:rsid w:val="00DD0013"/>
    <w:rsid w:val="00DD1F3D"/>
    <w:rsid w:val="00DD2DF5"/>
    <w:rsid w:val="00DD561A"/>
    <w:rsid w:val="00DE03CE"/>
    <w:rsid w:val="00DE07AF"/>
    <w:rsid w:val="00DE0BF3"/>
    <w:rsid w:val="00DE1505"/>
    <w:rsid w:val="00DE301F"/>
    <w:rsid w:val="00DE3379"/>
    <w:rsid w:val="00DE37DF"/>
    <w:rsid w:val="00DE38BC"/>
    <w:rsid w:val="00DE421D"/>
    <w:rsid w:val="00DE4905"/>
    <w:rsid w:val="00DE7FCC"/>
    <w:rsid w:val="00DF1725"/>
    <w:rsid w:val="00DF200B"/>
    <w:rsid w:val="00DF21E2"/>
    <w:rsid w:val="00DF527D"/>
    <w:rsid w:val="00DF5837"/>
    <w:rsid w:val="00DF594C"/>
    <w:rsid w:val="00DF59AD"/>
    <w:rsid w:val="00DF6F3F"/>
    <w:rsid w:val="00DF7696"/>
    <w:rsid w:val="00DF7698"/>
    <w:rsid w:val="00E02B93"/>
    <w:rsid w:val="00E037E4"/>
    <w:rsid w:val="00E05AE9"/>
    <w:rsid w:val="00E06E44"/>
    <w:rsid w:val="00E10910"/>
    <w:rsid w:val="00E1170D"/>
    <w:rsid w:val="00E11A6F"/>
    <w:rsid w:val="00E11B42"/>
    <w:rsid w:val="00E124E5"/>
    <w:rsid w:val="00E13F02"/>
    <w:rsid w:val="00E2030B"/>
    <w:rsid w:val="00E23056"/>
    <w:rsid w:val="00E2329A"/>
    <w:rsid w:val="00E23711"/>
    <w:rsid w:val="00E24818"/>
    <w:rsid w:val="00E25992"/>
    <w:rsid w:val="00E2662D"/>
    <w:rsid w:val="00E26798"/>
    <w:rsid w:val="00E26808"/>
    <w:rsid w:val="00E26A5C"/>
    <w:rsid w:val="00E26BC1"/>
    <w:rsid w:val="00E27E25"/>
    <w:rsid w:val="00E27F6A"/>
    <w:rsid w:val="00E3026C"/>
    <w:rsid w:val="00E3065D"/>
    <w:rsid w:val="00E31491"/>
    <w:rsid w:val="00E326D2"/>
    <w:rsid w:val="00E32C07"/>
    <w:rsid w:val="00E33D69"/>
    <w:rsid w:val="00E346E5"/>
    <w:rsid w:val="00E35AAE"/>
    <w:rsid w:val="00E367FD"/>
    <w:rsid w:val="00E370D8"/>
    <w:rsid w:val="00E4056B"/>
    <w:rsid w:val="00E40C07"/>
    <w:rsid w:val="00E40C67"/>
    <w:rsid w:val="00E43C6C"/>
    <w:rsid w:val="00E44550"/>
    <w:rsid w:val="00E449BA"/>
    <w:rsid w:val="00E45F4F"/>
    <w:rsid w:val="00E46994"/>
    <w:rsid w:val="00E46E15"/>
    <w:rsid w:val="00E5043D"/>
    <w:rsid w:val="00E5078A"/>
    <w:rsid w:val="00E50CE8"/>
    <w:rsid w:val="00E5173A"/>
    <w:rsid w:val="00E51EB6"/>
    <w:rsid w:val="00E52E6F"/>
    <w:rsid w:val="00E57C14"/>
    <w:rsid w:val="00E610DA"/>
    <w:rsid w:val="00E6461E"/>
    <w:rsid w:val="00E64CD4"/>
    <w:rsid w:val="00E70F60"/>
    <w:rsid w:val="00E71441"/>
    <w:rsid w:val="00E71875"/>
    <w:rsid w:val="00E71BF0"/>
    <w:rsid w:val="00E749AB"/>
    <w:rsid w:val="00E77C2F"/>
    <w:rsid w:val="00E80F43"/>
    <w:rsid w:val="00E818EC"/>
    <w:rsid w:val="00E81A7A"/>
    <w:rsid w:val="00E82B0D"/>
    <w:rsid w:val="00E82BF1"/>
    <w:rsid w:val="00E833C4"/>
    <w:rsid w:val="00E837DF"/>
    <w:rsid w:val="00E86D70"/>
    <w:rsid w:val="00E87403"/>
    <w:rsid w:val="00E87DED"/>
    <w:rsid w:val="00E90204"/>
    <w:rsid w:val="00E90AB8"/>
    <w:rsid w:val="00E92748"/>
    <w:rsid w:val="00E93766"/>
    <w:rsid w:val="00E95344"/>
    <w:rsid w:val="00E957F9"/>
    <w:rsid w:val="00E95AB8"/>
    <w:rsid w:val="00E963E8"/>
    <w:rsid w:val="00E96BC2"/>
    <w:rsid w:val="00E970D1"/>
    <w:rsid w:val="00EA089B"/>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F58"/>
    <w:rsid w:val="00EB59F8"/>
    <w:rsid w:val="00EB71B2"/>
    <w:rsid w:val="00EC06BA"/>
    <w:rsid w:val="00EC21DD"/>
    <w:rsid w:val="00EC3A09"/>
    <w:rsid w:val="00EC6D7D"/>
    <w:rsid w:val="00EC6FF1"/>
    <w:rsid w:val="00EC74A0"/>
    <w:rsid w:val="00EC778B"/>
    <w:rsid w:val="00ED1009"/>
    <w:rsid w:val="00ED240E"/>
    <w:rsid w:val="00ED3827"/>
    <w:rsid w:val="00ED42EC"/>
    <w:rsid w:val="00ED6233"/>
    <w:rsid w:val="00ED6DB1"/>
    <w:rsid w:val="00ED703B"/>
    <w:rsid w:val="00EE292B"/>
    <w:rsid w:val="00EE54EF"/>
    <w:rsid w:val="00EE6733"/>
    <w:rsid w:val="00EF0BF6"/>
    <w:rsid w:val="00EF0F9B"/>
    <w:rsid w:val="00EF1CCD"/>
    <w:rsid w:val="00EF1F4E"/>
    <w:rsid w:val="00EF4E85"/>
    <w:rsid w:val="00EF5671"/>
    <w:rsid w:val="00EF61D8"/>
    <w:rsid w:val="00EF64EB"/>
    <w:rsid w:val="00EF6944"/>
    <w:rsid w:val="00F0077C"/>
    <w:rsid w:val="00F026C1"/>
    <w:rsid w:val="00F02E46"/>
    <w:rsid w:val="00F0311C"/>
    <w:rsid w:val="00F03516"/>
    <w:rsid w:val="00F12172"/>
    <w:rsid w:val="00F1244D"/>
    <w:rsid w:val="00F16739"/>
    <w:rsid w:val="00F16AC4"/>
    <w:rsid w:val="00F20BD1"/>
    <w:rsid w:val="00F226C9"/>
    <w:rsid w:val="00F232F6"/>
    <w:rsid w:val="00F247F7"/>
    <w:rsid w:val="00F251D0"/>
    <w:rsid w:val="00F268FA"/>
    <w:rsid w:val="00F30D3E"/>
    <w:rsid w:val="00F33585"/>
    <w:rsid w:val="00F35D72"/>
    <w:rsid w:val="00F40887"/>
    <w:rsid w:val="00F41C82"/>
    <w:rsid w:val="00F4274C"/>
    <w:rsid w:val="00F428B1"/>
    <w:rsid w:val="00F43401"/>
    <w:rsid w:val="00F43E37"/>
    <w:rsid w:val="00F44962"/>
    <w:rsid w:val="00F47271"/>
    <w:rsid w:val="00F47FC3"/>
    <w:rsid w:val="00F51D5A"/>
    <w:rsid w:val="00F53D54"/>
    <w:rsid w:val="00F56915"/>
    <w:rsid w:val="00F61DD5"/>
    <w:rsid w:val="00F70340"/>
    <w:rsid w:val="00F72B44"/>
    <w:rsid w:val="00F73B34"/>
    <w:rsid w:val="00F73EAA"/>
    <w:rsid w:val="00F74DCA"/>
    <w:rsid w:val="00F76CC5"/>
    <w:rsid w:val="00F7734B"/>
    <w:rsid w:val="00F823A1"/>
    <w:rsid w:val="00F8244E"/>
    <w:rsid w:val="00F84711"/>
    <w:rsid w:val="00F851BC"/>
    <w:rsid w:val="00F872D0"/>
    <w:rsid w:val="00F902DB"/>
    <w:rsid w:val="00F90C37"/>
    <w:rsid w:val="00F94115"/>
    <w:rsid w:val="00F96976"/>
    <w:rsid w:val="00FA1581"/>
    <w:rsid w:val="00FA2532"/>
    <w:rsid w:val="00FA2BF8"/>
    <w:rsid w:val="00FA6B83"/>
    <w:rsid w:val="00FB37DA"/>
    <w:rsid w:val="00FB46E4"/>
    <w:rsid w:val="00FB4AB8"/>
    <w:rsid w:val="00FB723D"/>
    <w:rsid w:val="00FB731B"/>
    <w:rsid w:val="00FC36BC"/>
    <w:rsid w:val="00FC60FB"/>
    <w:rsid w:val="00FC7A1C"/>
    <w:rsid w:val="00FD08F7"/>
    <w:rsid w:val="00FD1AFA"/>
    <w:rsid w:val="00FD285C"/>
    <w:rsid w:val="00FD305F"/>
    <w:rsid w:val="00FD32EF"/>
    <w:rsid w:val="00FD4291"/>
    <w:rsid w:val="00FD4BE8"/>
    <w:rsid w:val="00FD4F73"/>
    <w:rsid w:val="00FD5A59"/>
    <w:rsid w:val="00FE10FC"/>
    <w:rsid w:val="00FE1872"/>
    <w:rsid w:val="00FE1AD3"/>
    <w:rsid w:val="00FE1C97"/>
    <w:rsid w:val="00FE2137"/>
    <w:rsid w:val="00FE7B4A"/>
    <w:rsid w:val="00FE7B50"/>
    <w:rsid w:val="00FF15AB"/>
    <w:rsid w:val="00FF1D6C"/>
    <w:rsid w:val="00FF20FC"/>
    <w:rsid w:val="00FF2685"/>
    <w:rsid w:val="00FF3412"/>
    <w:rsid w:val="00FF5017"/>
    <w:rsid w:val="00FF56C0"/>
    <w:rsid w:val="00FF57A6"/>
    <w:rsid w:val="00FF60C8"/>
    <w:rsid w:val="569605B5"/>
    <w:rsid w:val="67373A38"/>
    <w:rsid w:val="78DE5D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footnote reference" w:uiPriority="99" w:unhideWhenUsed="1"/>
    <w:lsdException w:name="annotation reference" w:uiPriority="99"/>
    <w:lsdException w:name="Title" w:qFormat="1"/>
    <w:lsdException w:name="Default Paragraph Font" w:semiHidden="1"/>
    <w:lsdException w:name="Subtitle" w:qFormat="1"/>
    <w:lsdException w:name="Block Text" w:uiPriority="99" w:unhideWhenUsed="1"/>
    <w:lsdException w:name="Hyperlink" w:uiPriority="99"/>
    <w:lsdException w:name="Followed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1"/>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1"/>
    <w:qFormat/>
    <w:pPr>
      <w:keepNext/>
      <w:keepLines/>
      <w:spacing w:before="260" w:after="260" w:line="416" w:lineRule="auto"/>
      <w:outlineLvl w:val="2"/>
    </w:pPr>
    <w:rPr>
      <w:b/>
      <w:bCs/>
      <w:kern w:val="0"/>
      <w:sz w:val="32"/>
      <w:szCs w:val="32"/>
    </w:rPr>
  </w:style>
  <w:style w:type="paragraph" w:styleId="4">
    <w:name w:val="heading 4"/>
    <w:basedOn w:val="a"/>
    <w:next w:val="a"/>
    <w:link w:val="41"/>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qFormat/>
    <w:pPr>
      <w:keepNext/>
      <w:keepLines/>
      <w:spacing w:before="280" w:after="290" w:line="376" w:lineRule="auto"/>
      <w:outlineLvl w:val="4"/>
    </w:pPr>
    <w:rPr>
      <w:b/>
      <w:bCs/>
      <w:sz w:val="28"/>
      <w:szCs w:val="28"/>
    </w:rPr>
  </w:style>
  <w:style w:type="paragraph" w:styleId="6">
    <w:name w:val="heading 6"/>
    <w:basedOn w:val="a"/>
    <w:next w:val="a"/>
    <w:link w:val="61"/>
    <w:qFormat/>
    <w:pPr>
      <w:keepNext/>
      <w:keepLines/>
      <w:spacing w:before="240" w:after="64" w:line="319" w:lineRule="auto"/>
      <w:outlineLvl w:val="5"/>
    </w:pPr>
    <w:rPr>
      <w:rFonts w:ascii="Arial" w:eastAsia="黑体" w:hAnsi="Arial"/>
      <w:b/>
      <w:bCs/>
      <w:sz w:val="24"/>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1"/>
    <w:link w:val="1"/>
    <w:locked/>
    <w:rPr>
      <w:rFonts w:eastAsia="宋体"/>
      <w:b/>
      <w:bCs/>
      <w:kern w:val="44"/>
      <w:sz w:val="44"/>
      <w:szCs w:val="44"/>
      <w:lang w:bidi="ar-SA"/>
    </w:rPr>
  </w:style>
  <w:style w:type="character" w:customStyle="1" w:styleId="21">
    <w:name w:val="标题 2 字符1"/>
    <w:link w:val="2"/>
    <w:locked/>
    <w:rPr>
      <w:rFonts w:ascii="Arial" w:eastAsia="黑体" w:hAnsi="Arial"/>
      <w:b/>
      <w:bCs/>
      <w:sz w:val="32"/>
      <w:szCs w:val="32"/>
      <w:lang w:bidi="ar-SA"/>
    </w:rPr>
  </w:style>
  <w:style w:type="character" w:customStyle="1" w:styleId="31">
    <w:name w:val="标题 3 字符1"/>
    <w:link w:val="3"/>
    <w:semiHidden/>
    <w:locked/>
    <w:rPr>
      <w:rFonts w:eastAsia="宋体"/>
      <w:b/>
      <w:bCs/>
      <w:sz w:val="32"/>
      <w:szCs w:val="32"/>
      <w:lang w:bidi="ar-SA"/>
    </w:rPr>
  </w:style>
  <w:style w:type="character" w:customStyle="1" w:styleId="41">
    <w:name w:val="标题 4 字符1"/>
    <w:link w:val="4"/>
    <w:semiHidden/>
    <w:rPr>
      <w:rFonts w:ascii="Cambria" w:eastAsia="宋体" w:hAnsi="Cambria" w:cs="Times New Roman"/>
      <w:b/>
      <w:bCs/>
      <w:kern w:val="2"/>
      <w:sz w:val="28"/>
      <w:szCs w:val="28"/>
    </w:rPr>
  </w:style>
  <w:style w:type="character" w:customStyle="1" w:styleId="50">
    <w:name w:val="标题 5 字符"/>
    <w:link w:val="5"/>
    <w:semiHidden/>
    <w:rPr>
      <w:b/>
      <w:bCs/>
      <w:kern w:val="2"/>
      <w:sz w:val="28"/>
      <w:szCs w:val="28"/>
    </w:rPr>
  </w:style>
  <w:style w:type="character" w:customStyle="1" w:styleId="61">
    <w:name w:val="标题 6 字符1"/>
    <w:link w:val="6"/>
    <w:semiHidden/>
    <w:rPr>
      <w:rFonts w:ascii="Arial" w:eastAsia="黑体" w:hAnsi="Arial"/>
      <w:b/>
      <w:bCs/>
      <w:kern w:val="2"/>
      <w:sz w:val="24"/>
      <w:szCs w:val="24"/>
    </w:rPr>
  </w:style>
  <w:style w:type="paragraph" w:styleId="a3">
    <w:name w:val="annotation text"/>
    <w:basedOn w:val="a"/>
    <w:link w:val="10"/>
    <w:qFormat/>
    <w:pPr>
      <w:jc w:val="left"/>
    </w:pPr>
    <w:rPr>
      <w:kern w:val="0"/>
      <w:sz w:val="24"/>
      <w:szCs w:val="24"/>
    </w:rPr>
  </w:style>
  <w:style w:type="character" w:customStyle="1" w:styleId="10">
    <w:name w:val="批注文字 字符1"/>
    <w:link w:val="a3"/>
    <w:locked/>
    <w:rPr>
      <w:rFonts w:eastAsia="宋体"/>
      <w:sz w:val="24"/>
      <w:szCs w:val="24"/>
      <w:lang w:bidi="ar-SA"/>
    </w:rPr>
  </w:style>
  <w:style w:type="paragraph" w:styleId="30">
    <w:name w:val="Body Text 3"/>
    <w:basedOn w:val="a"/>
    <w:link w:val="310"/>
    <w:pPr>
      <w:spacing w:line="840" w:lineRule="exact"/>
      <w:jc w:val="center"/>
    </w:pPr>
    <w:rPr>
      <w:rFonts w:ascii="方正大标宋简体" w:eastAsia="方正大标宋简体" w:hAnsi="宋体"/>
      <w:bCs/>
      <w:sz w:val="42"/>
      <w:szCs w:val="42"/>
      <w:lang w:val="en-US" w:eastAsia="zh-CN"/>
    </w:rPr>
  </w:style>
  <w:style w:type="character" w:customStyle="1" w:styleId="310">
    <w:name w:val="正文文本 3 字符1"/>
    <w:link w:val="30"/>
    <w:rPr>
      <w:rFonts w:ascii="方正大标宋简体" w:eastAsia="方正大标宋简体" w:hAnsi="宋体"/>
      <w:bCs/>
      <w:kern w:val="2"/>
      <w:sz w:val="42"/>
      <w:szCs w:val="42"/>
      <w:lang w:val="en-US" w:eastAsia="zh-CN"/>
    </w:rPr>
  </w:style>
  <w:style w:type="paragraph" w:styleId="a4">
    <w:name w:val="Body Text"/>
    <w:basedOn w:val="a"/>
    <w:link w:val="12"/>
    <w:pPr>
      <w:spacing w:after="120"/>
    </w:pPr>
    <w:rPr>
      <w:rFonts w:eastAsia="Times New Roman"/>
      <w:szCs w:val="24"/>
      <w:lang w:val="en-US" w:eastAsia="zh-CN"/>
    </w:rPr>
  </w:style>
  <w:style w:type="character" w:customStyle="1" w:styleId="12">
    <w:name w:val="正文文本 字符1"/>
    <w:link w:val="a4"/>
    <w:rPr>
      <w:rFonts w:eastAsia="Times New Roman"/>
      <w:kern w:val="2"/>
      <w:sz w:val="21"/>
      <w:szCs w:val="24"/>
      <w:lang w:val="en-US" w:eastAsia="zh-CN"/>
    </w:rPr>
  </w:style>
  <w:style w:type="paragraph" w:styleId="a5">
    <w:name w:val="Body Text Indent"/>
    <w:basedOn w:val="a"/>
    <w:link w:val="13"/>
    <w:pPr>
      <w:tabs>
        <w:tab w:val="left" w:pos="7020"/>
      </w:tabs>
      <w:spacing w:line="600" w:lineRule="exact"/>
      <w:ind w:firstLineChars="200" w:firstLine="600"/>
    </w:pPr>
    <w:rPr>
      <w:rFonts w:ascii="仿宋_GB2312" w:eastAsia="仿宋_GB2312"/>
      <w:sz w:val="30"/>
      <w:szCs w:val="24"/>
    </w:rPr>
  </w:style>
  <w:style w:type="character" w:customStyle="1" w:styleId="13">
    <w:name w:val="正文文本缩进 字符1"/>
    <w:link w:val="a5"/>
    <w:rPr>
      <w:rFonts w:ascii="仿宋_GB2312" w:eastAsia="仿宋_GB2312"/>
      <w:kern w:val="2"/>
      <w:sz w:val="30"/>
      <w:szCs w:val="24"/>
      <w:lang w:val="en-US" w:eastAsia="zh-CN" w:bidi="ar-SA"/>
    </w:rPr>
  </w:style>
  <w:style w:type="paragraph" w:styleId="a6">
    <w:name w:val="Block Text"/>
    <w:basedOn w:val="a"/>
    <w:uiPriority w:val="99"/>
    <w:unhideWhenUsed/>
    <w:pPr>
      <w:widowControl/>
      <w:spacing w:after="240"/>
      <w:jc w:val="left"/>
    </w:pPr>
    <w:rPr>
      <w:kern w:val="0"/>
      <w:sz w:val="24"/>
      <w:lang w:eastAsia="en-US"/>
    </w:rPr>
  </w:style>
  <w:style w:type="paragraph" w:styleId="a7">
    <w:name w:val="Plain Text"/>
    <w:basedOn w:val="a"/>
    <w:link w:val="14"/>
    <w:rPr>
      <w:rFonts w:ascii="宋体" w:hAnsi="Courier New" w:cs="Courier New"/>
      <w:szCs w:val="21"/>
    </w:rPr>
  </w:style>
  <w:style w:type="character" w:customStyle="1" w:styleId="14">
    <w:name w:val="纯文本 字符1"/>
    <w:link w:val="a7"/>
    <w:rPr>
      <w:rFonts w:ascii="宋体" w:eastAsia="宋体" w:hAnsi="Courier New" w:cs="Courier New"/>
      <w:kern w:val="2"/>
      <w:sz w:val="21"/>
      <w:szCs w:val="21"/>
      <w:lang w:val="en-US" w:eastAsia="zh-CN" w:bidi="ar-SA"/>
    </w:rPr>
  </w:style>
  <w:style w:type="paragraph" w:styleId="a8">
    <w:name w:val="Date"/>
    <w:basedOn w:val="a"/>
    <w:next w:val="a"/>
    <w:link w:val="15"/>
    <w:rPr>
      <w:rFonts w:ascii="楷体_GB2312" w:eastAsia="楷体_GB2312"/>
      <w:sz w:val="32"/>
    </w:rPr>
  </w:style>
  <w:style w:type="character" w:customStyle="1" w:styleId="15">
    <w:name w:val="日期 字符1"/>
    <w:link w:val="a8"/>
    <w:rPr>
      <w:rFonts w:ascii="楷体_GB2312" w:eastAsia="楷体_GB2312"/>
      <w:kern w:val="2"/>
      <w:sz w:val="32"/>
      <w:lang w:val="en-US" w:eastAsia="zh-CN" w:bidi="ar-SA"/>
    </w:rPr>
  </w:style>
  <w:style w:type="paragraph" w:styleId="20">
    <w:name w:val="Body Text Indent 2"/>
    <w:basedOn w:val="a"/>
    <w:link w:val="210"/>
    <w:pPr>
      <w:spacing w:line="600" w:lineRule="exact"/>
      <w:ind w:firstLineChars="200" w:firstLine="600"/>
    </w:pPr>
    <w:rPr>
      <w:rFonts w:ascii="仿宋_GB2312" w:eastAsia="仿宋_GB2312" w:hAnsi="宋体"/>
      <w:sz w:val="30"/>
      <w:szCs w:val="30"/>
      <w:lang w:val="en-US" w:eastAsia="zh-CN"/>
    </w:rPr>
  </w:style>
  <w:style w:type="character" w:customStyle="1" w:styleId="210">
    <w:name w:val="正文文本缩进 2 字符1"/>
    <w:link w:val="20"/>
    <w:rPr>
      <w:rFonts w:ascii="仿宋_GB2312" w:eastAsia="仿宋_GB2312" w:hAnsi="宋体"/>
      <w:kern w:val="2"/>
      <w:sz w:val="30"/>
      <w:szCs w:val="30"/>
      <w:lang w:val="en-US" w:eastAsia="zh-CN"/>
    </w:rPr>
  </w:style>
  <w:style w:type="paragraph" w:styleId="a9">
    <w:name w:val="endnote text"/>
    <w:basedOn w:val="a"/>
    <w:link w:val="16"/>
    <w:pPr>
      <w:snapToGrid w:val="0"/>
      <w:jc w:val="left"/>
    </w:pPr>
    <w:rPr>
      <w:kern w:val="0"/>
      <w:sz w:val="24"/>
      <w:szCs w:val="24"/>
    </w:rPr>
  </w:style>
  <w:style w:type="character" w:customStyle="1" w:styleId="16">
    <w:name w:val="尾注文本 字符1"/>
    <w:link w:val="a9"/>
    <w:locked/>
    <w:rPr>
      <w:rFonts w:eastAsia="宋体"/>
      <w:sz w:val="24"/>
      <w:szCs w:val="24"/>
      <w:lang w:bidi="ar-SA"/>
    </w:rPr>
  </w:style>
  <w:style w:type="paragraph" w:styleId="aa">
    <w:name w:val="Balloon Text"/>
    <w:basedOn w:val="a"/>
    <w:link w:val="17"/>
    <w:rPr>
      <w:sz w:val="18"/>
      <w:szCs w:val="18"/>
    </w:rPr>
  </w:style>
  <w:style w:type="character" w:customStyle="1" w:styleId="17">
    <w:name w:val="批注框文本 字符1"/>
    <w:link w:val="aa"/>
    <w:locked/>
    <w:rPr>
      <w:rFonts w:eastAsia="宋体"/>
      <w:kern w:val="2"/>
      <w:sz w:val="18"/>
      <w:szCs w:val="18"/>
      <w:lang w:val="en-US" w:eastAsia="zh-CN" w:bidi="ar-SA"/>
    </w:rPr>
  </w:style>
  <w:style w:type="paragraph" w:styleId="ab">
    <w:name w:val="footer"/>
    <w:basedOn w:val="a"/>
    <w:link w:val="18"/>
    <w:uiPriority w:val="99"/>
    <w:pPr>
      <w:tabs>
        <w:tab w:val="center" w:pos="4153"/>
        <w:tab w:val="right" w:pos="8306"/>
      </w:tabs>
      <w:snapToGrid w:val="0"/>
      <w:jc w:val="left"/>
    </w:pPr>
    <w:rPr>
      <w:sz w:val="18"/>
      <w:szCs w:val="18"/>
    </w:rPr>
  </w:style>
  <w:style w:type="character" w:customStyle="1" w:styleId="18">
    <w:name w:val="页脚 字符1"/>
    <w:link w:val="ab"/>
    <w:uiPriority w:val="99"/>
    <w:locked/>
    <w:rPr>
      <w:rFonts w:eastAsia="宋体"/>
      <w:kern w:val="2"/>
      <w:sz w:val="18"/>
      <w:szCs w:val="18"/>
      <w:lang w:val="en-US" w:eastAsia="zh-CN" w:bidi="ar-SA"/>
    </w:rPr>
  </w:style>
  <w:style w:type="paragraph" w:styleId="ac">
    <w:name w:val="header"/>
    <w:basedOn w:val="a"/>
    <w:link w:val="19"/>
    <w:pPr>
      <w:pBdr>
        <w:bottom w:val="single" w:sz="6" w:space="1" w:color="auto"/>
      </w:pBdr>
      <w:tabs>
        <w:tab w:val="center" w:pos="4153"/>
        <w:tab w:val="right" w:pos="8306"/>
      </w:tabs>
      <w:snapToGrid w:val="0"/>
      <w:jc w:val="center"/>
    </w:pPr>
    <w:rPr>
      <w:sz w:val="18"/>
      <w:szCs w:val="18"/>
    </w:rPr>
  </w:style>
  <w:style w:type="character" w:customStyle="1" w:styleId="19">
    <w:name w:val="页眉 字符1"/>
    <w:link w:val="ac"/>
    <w:locked/>
    <w:rPr>
      <w:rFonts w:eastAsia="宋体"/>
      <w:kern w:val="2"/>
      <w:sz w:val="18"/>
      <w:szCs w:val="18"/>
      <w:lang w:val="en-US" w:eastAsia="zh-CN" w:bidi="ar-SA"/>
    </w:rPr>
  </w:style>
  <w:style w:type="paragraph" w:styleId="ad">
    <w:name w:val="Subtitle"/>
    <w:basedOn w:val="a"/>
    <w:next w:val="a"/>
    <w:link w:val="ae"/>
    <w:qFormat/>
    <w:pPr>
      <w:spacing w:before="240" w:after="60" w:line="312" w:lineRule="auto"/>
      <w:jc w:val="center"/>
      <w:outlineLvl w:val="1"/>
    </w:pPr>
    <w:rPr>
      <w:rFonts w:ascii="Cambria" w:hAnsi="Cambria"/>
      <w:b/>
      <w:bCs/>
      <w:kern w:val="28"/>
      <w:sz w:val="32"/>
      <w:szCs w:val="32"/>
    </w:rPr>
  </w:style>
  <w:style w:type="character" w:customStyle="1" w:styleId="ae">
    <w:name w:val="副标题 字符"/>
    <w:link w:val="ad"/>
    <w:rPr>
      <w:rFonts w:ascii="Cambria" w:hAnsi="Cambria" w:cs="Times New Roman"/>
      <w:b/>
      <w:bCs/>
      <w:kern w:val="28"/>
      <w:sz w:val="32"/>
      <w:szCs w:val="32"/>
    </w:rPr>
  </w:style>
  <w:style w:type="paragraph" w:styleId="af">
    <w:name w:val="footnote text"/>
    <w:basedOn w:val="a"/>
    <w:link w:val="22"/>
    <w:pPr>
      <w:snapToGrid w:val="0"/>
      <w:jc w:val="left"/>
    </w:pPr>
    <w:rPr>
      <w:rFonts w:eastAsia="Times New Roman"/>
      <w:sz w:val="18"/>
      <w:szCs w:val="18"/>
      <w:lang w:val="en-US" w:eastAsia="zh-CN"/>
    </w:rPr>
  </w:style>
  <w:style w:type="character" w:customStyle="1" w:styleId="22">
    <w:name w:val="脚注文本 字符2"/>
    <w:link w:val="af"/>
    <w:rPr>
      <w:rFonts w:eastAsia="Times New Roman"/>
      <w:kern w:val="2"/>
      <w:sz w:val="18"/>
      <w:szCs w:val="18"/>
      <w:lang w:val="en-US" w:eastAsia="zh-CN"/>
    </w:rPr>
  </w:style>
  <w:style w:type="paragraph" w:styleId="32">
    <w:name w:val="Body Text Indent 3"/>
    <w:basedOn w:val="a"/>
    <w:link w:val="311"/>
    <w:pPr>
      <w:autoSpaceDE w:val="0"/>
      <w:autoSpaceDN w:val="0"/>
      <w:adjustRightInd w:val="0"/>
      <w:spacing w:line="760" w:lineRule="exact"/>
      <w:ind w:firstLine="560"/>
      <w:jc w:val="left"/>
    </w:pPr>
    <w:rPr>
      <w:rFonts w:ascii="仿宋_GB2312" w:eastAsia="仿宋_GB2312"/>
      <w:kern w:val="0"/>
      <w:sz w:val="30"/>
      <w:szCs w:val="28"/>
      <w:lang w:val="zh-CN" w:eastAsia="zh-CN"/>
    </w:rPr>
  </w:style>
  <w:style w:type="character" w:customStyle="1" w:styleId="311">
    <w:name w:val="正文文本缩进 3 字符1"/>
    <w:link w:val="32"/>
    <w:rPr>
      <w:rFonts w:ascii="仿宋_GB2312" w:eastAsia="仿宋_GB2312"/>
      <w:sz w:val="30"/>
      <w:szCs w:val="28"/>
      <w:lang w:val="zh-CN" w:eastAsia="zh-CN"/>
    </w:rPr>
  </w:style>
  <w:style w:type="paragraph" w:styleId="23">
    <w:name w:val="Body Text 2"/>
    <w:basedOn w:val="a"/>
    <w:link w:val="211"/>
    <w:pPr>
      <w:spacing w:line="840" w:lineRule="exact"/>
      <w:jc w:val="center"/>
    </w:pPr>
    <w:rPr>
      <w:rFonts w:ascii="宋体" w:hAnsi="Courier New"/>
      <w:kern w:val="0"/>
      <w:szCs w:val="21"/>
    </w:rPr>
  </w:style>
  <w:style w:type="character" w:customStyle="1" w:styleId="211">
    <w:name w:val="正文文本 2 字符1"/>
    <w:link w:val="23"/>
    <w:locked/>
    <w:rPr>
      <w:rFonts w:ascii="宋体" w:eastAsia="宋体" w:hAnsi="Courier New"/>
      <w:sz w:val="21"/>
      <w:szCs w:val="21"/>
      <w:lang w:bidi="ar-SA"/>
    </w:rPr>
  </w:style>
  <w:style w:type="paragraph" w:styleId="af0">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1">
    <w:name w:val="Title"/>
    <w:basedOn w:val="a"/>
    <w:next w:val="ad"/>
    <w:link w:val="1a"/>
    <w:qFormat/>
    <w:pPr>
      <w:widowControl/>
      <w:suppressAutoHyphens/>
      <w:overflowPunct w:val="0"/>
      <w:autoSpaceDE w:val="0"/>
      <w:jc w:val="center"/>
    </w:pPr>
    <w:rPr>
      <w:rFonts w:ascii="ClassGarmnd BT" w:hAnsi="ClassGarmnd BT" w:cs="ClassGarmnd BT"/>
      <w:b/>
      <w:kern w:val="1"/>
      <w:sz w:val="32"/>
      <w:lang w:val="en-AU" w:eastAsia="ar-SA"/>
    </w:rPr>
  </w:style>
  <w:style w:type="character" w:customStyle="1" w:styleId="1a">
    <w:name w:val="标题 字符1"/>
    <w:link w:val="af1"/>
    <w:rPr>
      <w:rFonts w:ascii="ClassGarmnd BT" w:eastAsia="宋体" w:hAnsi="ClassGarmnd BT" w:cs="ClassGarmnd BT"/>
      <w:b/>
      <w:kern w:val="1"/>
      <w:sz w:val="32"/>
      <w:lang w:val="en-AU" w:eastAsia="ar-SA"/>
    </w:rPr>
  </w:style>
  <w:style w:type="paragraph" w:styleId="af2">
    <w:name w:val="annotation subject"/>
    <w:basedOn w:val="a3"/>
    <w:next w:val="a3"/>
    <w:link w:val="1b"/>
    <w:rPr>
      <w:b/>
      <w:bCs/>
      <w:kern w:val="2"/>
      <w:sz w:val="21"/>
    </w:rPr>
  </w:style>
  <w:style w:type="character" w:customStyle="1" w:styleId="1b">
    <w:name w:val="批注主题 字符1"/>
    <w:link w:val="af2"/>
    <w:rPr>
      <w:b/>
      <w:bCs/>
      <w:kern w:val="2"/>
      <w:sz w:val="21"/>
      <w:lang w:bidi="ar-SA"/>
    </w:rPr>
  </w:style>
  <w:style w:type="table" w:styleId="af3">
    <w:name w:val="Table Grid"/>
    <w:basedOn w:val="a1"/>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endnote reference"/>
    <w:rPr>
      <w:rFonts w:cs="Times New Roman"/>
      <w:vertAlign w:val="superscript"/>
    </w:rPr>
  </w:style>
  <w:style w:type="character" w:styleId="af6">
    <w:name w:val="page number"/>
  </w:style>
  <w:style w:type="character" w:styleId="af7">
    <w:name w:val="访问过的超链接"/>
    <w:uiPriority w:val="99"/>
    <w:rPr>
      <w:color w:val="800080"/>
      <w:u w:val="single"/>
    </w:rPr>
  </w:style>
  <w:style w:type="character" w:styleId="af8">
    <w:name w:val="Hyperlink"/>
    <w:uiPriority w:val="99"/>
    <w:rPr>
      <w:rFonts w:cs="Times New Roman"/>
      <w:color w:val="0000FF"/>
      <w:u w:val="single"/>
    </w:rPr>
  </w:style>
  <w:style w:type="character" w:styleId="af9">
    <w:name w:val="annotation reference"/>
    <w:uiPriority w:val="99"/>
    <w:rPr>
      <w:rFonts w:cs="Times New Roman"/>
      <w:sz w:val="21"/>
      <w:szCs w:val="21"/>
    </w:rPr>
  </w:style>
  <w:style w:type="character" w:styleId="afa">
    <w:name w:val="footnote reference"/>
    <w:uiPriority w:val="99"/>
    <w:unhideWhenUsed/>
    <w:rPr>
      <w:vertAlign w:val="superscript"/>
    </w:rPr>
  </w:style>
  <w:style w:type="paragraph" w:customStyle="1" w:styleId="dash6b636587">
    <w:name w:val="dash6b63_6587"/>
    <w:basedOn w:val="a"/>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style>
  <w:style w:type="character" w:customStyle="1" w:styleId="dash6b63005f6587005f005fcharchar">
    <w:name w:val="dash6b63_005f6587_005f_005fchar__char"/>
  </w:style>
  <w:style w:type="paragraph" w:customStyle="1" w:styleId="p0">
    <w:name w:val="p0"/>
    <w:basedOn w:val="a"/>
    <w:pPr>
      <w:widowControl/>
    </w:pPr>
    <w:rPr>
      <w:kern w:val="0"/>
      <w:szCs w:val="21"/>
    </w:rPr>
  </w:style>
  <w:style w:type="paragraph" w:styleId="afb">
    <w:name w:val="列表段落"/>
    <w:basedOn w:val="a"/>
    <w:link w:val="afc"/>
    <w:uiPriority w:val="34"/>
    <w:qFormat/>
    <w:pPr>
      <w:ind w:firstLineChars="200" w:firstLine="420"/>
    </w:pPr>
    <w:rPr>
      <w:szCs w:val="24"/>
    </w:rPr>
  </w:style>
  <w:style w:type="character" w:customStyle="1" w:styleId="afc">
    <w:name w:val="列表段落 字符"/>
    <w:link w:val="afb"/>
    <w:uiPriority w:val="34"/>
    <w:qFormat/>
    <w:rPr>
      <w:kern w:val="2"/>
      <w:sz w:val="21"/>
      <w:szCs w:val="24"/>
    </w:rPr>
  </w:style>
  <w:style w:type="paragraph" w:customStyle="1" w:styleId="1c">
    <w:name w:val="列出段落1"/>
    <w:basedOn w:val="a"/>
    <w:qFormat/>
    <w:pPr>
      <w:ind w:firstLineChars="200" w:firstLine="420"/>
    </w:pPr>
    <w:rPr>
      <w:rFonts w:ascii="Calibri" w:hAnsi="Calibri"/>
      <w:szCs w:val="22"/>
    </w:rPr>
  </w:style>
  <w:style w:type="paragraph" w:customStyle="1" w:styleId="00">
    <w:name w:val="00正文"/>
    <w:basedOn w:val="a"/>
    <w:pPr>
      <w:snapToGrid w:val="0"/>
      <w:spacing w:beforeLines="50" w:afterLines="50" w:line="360" w:lineRule="auto"/>
      <w:ind w:firstLineChars="200" w:firstLine="200"/>
    </w:pPr>
    <w:rPr>
      <w:rFonts w:ascii="宋体" w:hAnsi="宋体"/>
      <w:sz w:val="24"/>
      <w:szCs w:val="24"/>
    </w:rPr>
  </w:style>
  <w:style w:type="paragraph" w:customStyle="1" w:styleId="ListParagraph">
    <w:name w:val="List Paragraph"/>
    <w:basedOn w:val="a"/>
    <w:pPr>
      <w:ind w:firstLineChars="200" w:firstLine="420"/>
    </w:pPr>
    <w:rPr>
      <w:rFonts w:ascii="Calibri" w:hAnsi="Calibri"/>
      <w:szCs w:val="22"/>
    </w:rPr>
  </w:style>
  <w:style w:type="paragraph" w:customStyle="1" w:styleId="afd">
    <w:name w:val="内页正文"/>
    <w:link w:val="Char"/>
    <w:locked/>
    <w:pPr>
      <w:suppressAutoHyphens/>
      <w:spacing w:after="120"/>
      <w:jc w:val="both"/>
    </w:pPr>
    <w:rPr>
      <w:rFonts w:ascii="Arial" w:eastAsia="汉仪中等线简" w:hAnsi="Arial"/>
      <w:color w:val="000000"/>
      <w:sz w:val="18"/>
      <w:szCs w:val="18"/>
    </w:rPr>
  </w:style>
  <w:style w:type="character" w:customStyle="1" w:styleId="Char">
    <w:name w:val="内页正文 Char"/>
    <w:link w:val="afd"/>
    <w:rPr>
      <w:rFonts w:ascii="Arial" w:eastAsia="汉仪中等线简" w:hAnsi="Arial"/>
      <w:color w:val="000000"/>
      <w:sz w:val="18"/>
      <w:szCs w:val="18"/>
      <w:lang w:bidi="ar-SA"/>
    </w:rPr>
  </w:style>
  <w:style w:type="paragraph" w:customStyle="1" w:styleId="Default">
    <w:name w:val="Default"/>
    <w:pPr>
      <w:widowControl w:val="0"/>
      <w:autoSpaceDE w:val="0"/>
      <w:autoSpaceDN w:val="0"/>
      <w:adjustRightInd w:val="0"/>
    </w:pPr>
    <w:rPr>
      <w:rFonts w:ascii="仿宋_GB2312" w:eastAsia="仿宋_GB2312" w:hAnsi="Calibri" w:cs="仿宋_GB2312"/>
      <w:color w:val="000000"/>
      <w:sz w:val="24"/>
      <w:szCs w:val="24"/>
    </w:rPr>
  </w:style>
  <w:style w:type="paragraph" w:customStyle="1" w:styleId="NoSpacing">
    <w:name w:val="No Spacing"/>
    <w:pPr>
      <w:widowControl w:val="0"/>
      <w:jc w:val="both"/>
    </w:pPr>
    <w:rPr>
      <w:rFonts w:ascii="Calibri" w:hAnsi="Calibri"/>
      <w:kern w:val="2"/>
      <w:sz w:val="21"/>
      <w:szCs w:val="22"/>
    </w:rPr>
  </w:style>
  <w:style w:type="character" w:customStyle="1" w:styleId="CharChar15">
    <w:name w:val=" Char Char15"/>
    <w:rPr>
      <w:rFonts w:eastAsia="宋体"/>
      <w:b/>
      <w:bCs/>
      <w:kern w:val="44"/>
      <w:sz w:val="44"/>
      <w:szCs w:val="44"/>
      <w:lang w:val="en-US" w:eastAsia="zh-CN" w:bidi="ar-SA"/>
    </w:rPr>
  </w:style>
  <w:style w:type="character" w:customStyle="1" w:styleId="CharChar14">
    <w:name w:val=" Char Char14"/>
    <w:rPr>
      <w:rFonts w:eastAsia="宋体"/>
      <w:b/>
      <w:bCs/>
      <w:kern w:val="2"/>
      <w:sz w:val="32"/>
      <w:szCs w:val="32"/>
      <w:lang w:val="en-US" w:eastAsia="zh-CN" w:bidi="ar-SA"/>
    </w:rPr>
  </w:style>
  <w:style w:type="character" w:customStyle="1" w:styleId="CharChar13">
    <w:name w:val=" Char Char13"/>
    <w:rPr>
      <w:rFonts w:eastAsia="宋体"/>
      <w:kern w:val="2"/>
      <w:sz w:val="18"/>
      <w:szCs w:val="18"/>
      <w:lang w:val="en-US" w:eastAsia="zh-CN" w:bidi="ar-SA"/>
    </w:rPr>
  </w:style>
  <w:style w:type="character" w:customStyle="1" w:styleId="CharChar12">
    <w:name w:val=" Char Char12"/>
    <w:rPr>
      <w:rFonts w:eastAsia="宋体"/>
      <w:kern w:val="2"/>
      <w:sz w:val="18"/>
      <w:szCs w:val="18"/>
      <w:lang w:val="en-US" w:eastAsia="zh-CN" w:bidi="ar-SA"/>
    </w:rPr>
  </w:style>
  <w:style w:type="character" w:customStyle="1" w:styleId="Char1">
    <w:name w:val="正文文本缩进 Char1"/>
    <w:rPr>
      <w:kern w:val="2"/>
      <w:sz w:val="21"/>
      <w:szCs w:val="24"/>
    </w:rPr>
  </w:style>
  <w:style w:type="character" w:customStyle="1" w:styleId="Char10">
    <w:name w:val="日期 Char1"/>
    <w:rPr>
      <w:kern w:val="2"/>
      <w:sz w:val="21"/>
      <w:szCs w:val="24"/>
    </w:rPr>
  </w:style>
  <w:style w:type="character" w:customStyle="1" w:styleId="Char11">
    <w:name w:val="正文文本 Char1"/>
    <w:rPr>
      <w:kern w:val="2"/>
      <w:sz w:val="21"/>
      <w:szCs w:val="24"/>
    </w:rPr>
  </w:style>
  <w:style w:type="character" w:customStyle="1" w:styleId="Char12">
    <w:name w:val="批注框文本 Char1"/>
    <w:rPr>
      <w:kern w:val="2"/>
      <w:sz w:val="18"/>
      <w:szCs w:val="18"/>
    </w:rPr>
  </w:style>
  <w:style w:type="character" w:customStyle="1" w:styleId="2Char1">
    <w:name w:val="正文文本缩进 2 Char1"/>
    <w:rPr>
      <w:kern w:val="2"/>
      <w:sz w:val="21"/>
      <w:szCs w:val="24"/>
    </w:rPr>
  </w:style>
  <w:style w:type="character" w:customStyle="1" w:styleId="2Char10">
    <w:name w:val="正文文本 2 Char1"/>
    <w:rPr>
      <w:kern w:val="2"/>
      <w:sz w:val="21"/>
      <w:szCs w:val="24"/>
    </w:rPr>
  </w:style>
  <w:style w:type="character" w:customStyle="1" w:styleId="3Char1">
    <w:name w:val="正文文本缩进 3 Char1"/>
    <w:rPr>
      <w:kern w:val="2"/>
      <w:sz w:val="16"/>
      <w:szCs w:val="16"/>
    </w:rPr>
  </w:style>
  <w:style w:type="character" w:customStyle="1" w:styleId="3Char10">
    <w:name w:val="正文文本 3 Char1"/>
    <w:rPr>
      <w:kern w:val="2"/>
      <w:sz w:val="16"/>
      <w:szCs w:val="16"/>
    </w:rPr>
  </w:style>
  <w:style w:type="character" w:customStyle="1" w:styleId="Char13">
    <w:name w:val="纯文本 Char1"/>
    <w:rPr>
      <w:rFonts w:ascii="宋体" w:hAnsi="Courier New" w:cs="Courier New"/>
      <w:kern w:val="2"/>
      <w:sz w:val="21"/>
      <w:szCs w:val="21"/>
    </w:rPr>
  </w:style>
  <w:style w:type="character" w:customStyle="1" w:styleId="Char0">
    <w:name w:val="条款 Char"/>
    <w:link w:val="afe"/>
    <w:rPr>
      <w:rFonts w:ascii="仿宋_GB2312" w:eastAsia="仿宋_GB2312" w:hAnsi="Calibri"/>
      <w:color w:val="000000"/>
      <w:sz w:val="28"/>
      <w:lang w:bidi="ar-SA"/>
    </w:rPr>
  </w:style>
  <w:style w:type="paragraph" w:customStyle="1" w:styleId="afe">
    <w:name w:val="条款"/>
    <w:basedOn w:val="a"/>
    <w:link w:val="Char0"/>
    <w:pPr>
      <w:widowControl/>
      <w:wordWrap w:val="0"/>
      <w:adjustRightInd w:val="0"/>
      <w:spacing w:line="360" w:lineRule="auto"/>
      <w:ind w:right="272" w:firstLineChars="200" w:firstLine="560"/>
    </w:pPr>
    <w:rPr>
      <w:rFonts w:ascii="仿宋_GB2312" w:eastAsia="仿宋_GB2312" w:hAnsi="Calibri"/>
      <w:color w:val="000000"/>
      <w:kern w:val="0"/>
      <w:sz w:val="28"/>
    </w:rPr>
  </w:style>
  <w:style w:type="character" w:customStyle="1" w:styleId="Char14">
    <w:name w:val="脚注文本 Char1"/>
    <w:rPr>
      <w:kern w:val="2"/>
      <w:sz w:val="18"/>
      <w:szCs w:val="18"/>
    </w:rPr>
  </w:style>
  <w:style w:type="paragraph" w:customStyle="1" w:styleId="Char3">
    <w:name w:val="Char3"/>
    <w:basedOn w:val="a"/>
    <w:rPr>
      <w:szCs w:val="21"/>
    </w:rPr>
  </w:style>
  <w:style w:type="paragraph" w:customStyle="1" w:styleId="doc-a2">
    <w:name w:val="doc-a2"/>
    <w:basedOn w:val="a"/>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d">
    <w:name w:val="样式1"/>
    <w:basedOn w:val="a"/>
    <w:link w:val="1Char"/>
    <w:qFormat/>
    <w:pPr>
      <w:numPr>
        <w:numId w:val="1"/>
      </w:numPr>
      <w:tabs>
        <w:tab w:val="left" w:pos="2127"/>
      </w:tabs>
      <w:adjustRightInd w:val="0"/>
      <w:snapToGrid w:val="0"/>
      <w:spacing w:line="540" w:lineRule="exact"/>
      <w:ind w:left="988"/>
    </w:pPr>
    <w:rPr>
      <w:rFonts w:ascii="仿宋_GB2312" w:eastAsia="仿宋_GB2312" w:hAnsi="宋体"/>
      <w:kern w:val="0"/>
      <w:sz w:val="30"/>
      <w:szCs w:val="30"/>
    </w:rPr>
  </w:style>
  <w:style w:type="character" w:customStyle="1" w:styleId="1Char">
    <w:name w:val="样式1 Char"/>
    <w:link w:val="1d"/>
    <w:locked/>
    <w:rPr>
      <w:rFonts w:ascii="仿宋_GB2312" w:eastAsia="仿宋_GB2312" w:hAnsi="宋体"/>
      <w:sz w:val="30"/>
      <w:szCs w:val="30"/>
    </w:rPr>
  </w:style>
  <w:style w:type="paragraph" w:customStyle="1" w:styleId="SSE">
    <w:name w:val="SSE正文"/>
    <w:basedOn w:val="a"/>
    <w:link w:val="SSEChar"/>
    <w:qFormat/>
    <w:pPr>
      <w:ind w:firstLineChars="200" w:firstLine="200"/>
    </w:pPr>
    <w:rPr>
      <w:rFonts w:eastAsia="仿宋_GB2312"/>
      <w:sz w:val="28"/>
      <w:szCs w:val="28"/>
    </w:rPr>
  </w:style>
  <w:style w:type="character" w:customStyle="1" w:styleId="SSEChar">
    <w:name w:val="SSE正文 Char"/>
    <w:link w:val="SSE"/>
    <w:rPr>
      <w:rFonts w:eastAsia="仿宋_GB2312"/>
      <w:kern w:val="2"/>
      <w:sz w:val="28"/>
      <w:szCs w:val="28"/>
    </w:rPr>
  </w:style>
  <w:style w:type="paragraph" w:customStyle="1" w:styleId="aff">
    <w:name w:val="默认"/>
    <w:rPr>
      <w:rFonts w:ascii="Arial Unicode MS" w:eastAsia="Helvetica" w:hAnsi="Arial Unicode MS" w:cs="Arial Unicode MS" w:hint="eastAsia"/>
      <w:color w:val="000000"/>
      <w:sz w:val="22"/>
      <w:szCs w:val="22"/>
      <w:lang w:val="zh-CN"/>
    </w:rPr>
  </w:style>
  <w:style w:type="paragraph" w:customStyle="1" w:styleId="MessageHeading">
    <w:name w:val="Message Heading"/>
    <w:basedOn w:val="a"/>
    <w:next w:val="a"/>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
    <w:link w:val="SSE1Char"/>
    <w:qFormat/>
    <w:pPr>
      <w:spacing w:before="0" w:after="120" w:line="240" w:lineRule="auto"/>
      <w:ind w:left="1232" w:hanging="630"/>
    </w:pPr>
    <w:rPr>
      <w:rFonts w:eastAsia="黑体"/>
      <w:sz w:val="30"/>
      <w:szCs w:val="30"/>
    </w:rPr>
  </w:style>
  <w:style w:type="character" w:customStyle="1" w:styleId="SSE1Char">
    <w:name w:val="SSE标题1 Char"/>
    <w:link w:val="SSE1"/>
    <w:rPr>
      <w:rFonts w:eastAsia="黑体"/>
      <w:b/>
      <w:bCs/>
      <w:kern w:val="44"/>
      <w:sz w:val="30"/>
      <w:szCs w:val="30"/>
    </w:rPr>
  </w:style>
  <w:style w:type="paragraph" w:customStyle="1" w:styleId="SSE0">
    <w:name w:val="SSE标题0"/>
    <w:basedOn w:val="a"/>
    <w:link w:val="SSE0Char"/>
    <w:qFormat/>
    <w:pPr>
      <w:spacing w:before="100" w:beforeAutospacing="1" w:after="100" w:afterAutospacing="1"/>
      <w:jc w:val="center"/>
    </w:pPr>
    <w:rPr>
      <w:rFonts w:eastAsia="华文中宋"/>
      <w:b/>
      <w:sz w:val="44"/>
      <w:szCs w:val="44"/>
    </w:rPr>
  </w:style>
  <w:style w:type="character" w:customStyle="1" w:styleId="SSE0Char">
    <w:name w:val="SSE标题0 Char"/>
    <w:link w:val="SSE0"/>
    <w:rPr>
      <w:rFonts w:eastAsia="华文中宋"/>
      <w:b/>
      <w:kern w:val="2"/>
      <w:sz w:val="44"/>
      <w:szCs w:val="44"/>
    </w:rPr>
  </w:style>
  <w:style w:type="paragraph" w:customStyle="1" w:styleId="HTML">
    <w:name w:val="Стандартный HTML"/>
    <w:basedOn w:val="a"/>
    <w:pPr>
      <w:widowControl/>
      <w:suppressAutoHyphens/>
      <w:jc w:val="left"/>
    </w:pPr>
    <w:rPr>
      <w:rFonts w:ascii="Courier New" w:hAnsi="Courier New" w:cs="Courier New"/>
      <w:kern w:val="1"/>
      <w:sz w:val="20"/>
      <w:lang w:eastAsia="ar-SA"/>
    </w:rPr>
  </w:style>
  <w:style w:type="paragraph" w:customStyle="1" w:styleId="24">
    <w:name w:val="Основной текст 2"/>
    <w:basedOn w:val="a"/>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pPr>
      <w:suppressAutoHyphens/>
      <w:ind w:left="720"/>
    </w:pPr>
    <w:rPr>
      <w:kern w:val="1"/>
      <w:sz w:val="32"/>
      <w:szCs w:val="24"/>
      <w:lang w:eastAsia="ar-SA"/>
    </w:rPr>
  </w:style>
  <w:style w:type="paragraph" w:customStyle="1" w:styleId="Style1">
    <w:name w:val="Style1"/>
    <w:basedOn w:val="a"/>
    <w:pPr>
      <w:numPr>
        <w:numId w:val="2"/>
      </w:numPr>
      <w:tabs>
        <w:tab w:val="left" w:pos="567"/>
      </w:tabs>
      <w:suppressAutoHyphens/>
    </w:pPr>
    <w:rPr>
      <w:kern w:val="1"/>
      <w:szCs w:val="24"/>
      <w:lang w:eastAsia="ar-SA"/>
    </w:rPr>
  </w:style>
  <w:style w:type="character" w:customStyle="1" w:styleId="Char2">
    <w:name w:val="语句 Char"/>
    <w:link w:val="aff0"/>
    <w:locked/>
    <w:rPr>
      <w:rFonts w:ascii="仿宋_GB2312" w:eastAsia="仿宋_GB2312"/>
      <w:b/>
      <w:i/>
      <w:sz w:val="30"/>
      <w:szCs w:val="30"/>
    </w:rPr>
  </w:style>
  <w:style w:type="paragraph" w:customStyle="1" w:styleId="aff0">
    <w:name w:val="语句"/>
    <w:basedOn w:val="a"/>
    <w:link w:val="Char2"/>
    <w:qFormat/>
    <w:pPr>
      <w:widowControl/>
      <w:snapToGrid w:val="0"/>
      <w:spacing w:line="540" w:lineRule="exact"/>
      <w:ind w:firstLineChars="189" w:firstLine="567"/>
    </w:pPr>
    <w:rPr>
      <w:rFonts w:ascii="仿宋_GB2312" w:eastAsia="仿宋_GB2312"/>
      <w:b/>
      <w:i/>
      <w:kern w:val="0"/>
      <w:sz w:val="30"/>
      <w:szCs w:val="30"/>
    </w:rPr>
  </w:style>
  <w:style w:type="character" w:customStyle="1" w:styleId="KKChar">
    <w:name w:val="KK一级 Char"/>
    <w:link w:val="KK"/>
    <w:locked/>
    <w:rPr>
      <w:rFonts w:ascii="仿宋_GB2312" w:eastAsia="仿宋_GB2312" w:hAnsi="Calibri"/>
      <w:b/>
      <w:bCs/>
      <w:sz w:val="30"/>
      <w:szCs w:val="30"/>
    </w:rPr>
  </w:style>
  <w:style w:type="paragraph" w:customStyle="1" w:styleId="KK">
    <w:name w:val="KK一级"/>
    <w:basedOn w:val="a"/>
    <w:link w:val="KKChar"/>
    <w:qFormat/>
    <w:pPr>
      <w:spacing w:line="600" w:lineRule="exact"/>
      <w:jc w:val="left"/>
    </w:pPr>
    <w:rPr>
      <w:rFonts w:ascii="仿宋_GB2312" w:eastAsia="仿宋_GB2312" w:hAnsi="Calibri"/>
      <w:b/>
      <w:bCs/>
      <w:kern w:val="0"/>
      <w:sz w:val="30"/>
      <w:szCs w:val="30"/>
    </w:rPr>
  </w:style>
  <w:style w:type="character" w:customStyle="1" w:styleId="KKChar0">
    <w:name w:val="KK二级 Char"/>
    <w:link w:val="KK0"/>
    <w:locked/>
    <w:rPr>
      <w:rFonts w:ascii="仿宋_GB2312" w:eastAsia="仿宋_GB2312" w:hAnsi="Calibri"/>
      <w:b/>
      <w:bCs/>
      <w:sz w:val="30"/>
      <w:szCs w:val="30"/>
    </w:rPr>
  </w:style>
  <w:style w:type="paragraph" w:customStyle="1" w:styleId="KK0">
    <w:name w:val="KK二级"/>
    <w:basedOn w:val="a"/>
    <w:link w:val="KKChar0"/>
    <w:qFormat/>
    <w:pPr>
      <w:spacing w:line="600" w:lineRule="exact"/>
      <w:jc w:val="left"/>
    </w:pPr>
    <w:rPr>
      <w:rFonts w:ascii="仿宋_GB2312" w:eastAsia="仿宋_GB2312" w:hAnsi="Calibri"/>
      <w:b/>
      <w:bCs/>
      <w:kern w:val="0"/>
      <w:sz w:val="30"/>
      <w:szCs w:val="30"/>
    </w:rPr>
  </w:style>
  <w:style w:type="character" w:customStyle="1" w:styleId="eeeChar">
    <w:name w:val="eee Char"/>
    <w:link w:val="eee"/>
    <w:locked/>
    <w:rPr>
      <w:rFonts w:ascii="宋体" w:hAnsi="宋体"/>
      <w:sz w:val="24"/>
      <w:szCs w:val="24"/>
    </w:rPr>
  </w:style>
  <w:style w:type="paragraph" w:customStyle="1" w:styleId="eee">
    <w:name w:val="eee"/>
    <w:basedOn w:val="a"/>
    <w:link w:val="eeeChar"/>
    <w:qFormat/>
    <w:pPr>
      <w:autoSpaceDE w:val="0"/>
      <w:autoSpaceDN w:val="0"/>
      <w:adjustRightInd w:val="0"/>
      <w:spacing w:line="360" w:lineRule="auto"/>
      <w:ind w:firstLineChars="200" w:firstLine="480"/>
    </w:pPr>
    <w:rPr>
      <w:rFonts w:ascii="宋体" w:hAnsi="宋体"/>
      <w:kern w:val="0"/>
      <w:sz w:val="24"/>
      <w:szCs w:val="24"/>
    </w:rPr>
  </w:style>
  <w:style w:type="character" w:customStyle="1" w:styleId="SSEChar0">
    <w:name w:val="SSE内容提要正文 Char"/>
    <w:link w:val="SSE2"/>
    <w:locked/>
    <w:rPr>
      <w:rFonts w:ascii="仿宋_GB2312" w:eastAsia="仿宋_GB2312"/>
      <w:sz w:val="28"/>
    </w:rPr>
  </w:style>
  <w:style w:type="paragraph" w:customStyle="1" w:styleId="SSE2">
    <w:name w:val="SSE内容提要正文"/>
    <w:basedOn w:val="a"/>
    <w:link w:val="SSEChar0"/>
    <w:pPr>
      <w:ind w:firstLineChars="200" w:firstLine="560"/>
    </w:pPr>
    <w:rPr>
      <w:rFonts w:ascii="仿宋_GB2312" w:eastAsia="仿宋_GB2312"/>
      <w:kern w:val="0"/>
      <w:sz w:val="28"/>
    </w:rPr>
  </w:style>
  <w:style w:type="character" w:customStyle="1" w:styleId="SSEChar1">
    <w:name w:val="SSE资料来源 Char"/>
    <w:link w:val="SSE3"/>
    <w:locked/>
    <w:rPr>
      <w:rFonts w:ascii="仿宋_GB2312" w:eastAsia="仿宋_GB2312"/>
      <w:color w:val="000000"/>
    </w:rPr>
  </w:style>
  <w:style w:type="paragraph" w:customStyle="1" w:styleId="SSE3">
    <w:name w:val="SSE资料来源"/>
    <w:basedOn w:val="a"/>
    <w:link w:val="SSEChar1"/>
    <w:pPr>
      <w:spacing w:after="100" w:afterAutospacing="1"/>
      <w:ind w:firstLineChars="200" w:firstLine="200"/>
    </w:pPr>
    <w:rPr>
      <w:rFonts w:ascii="仿宋_GB2312" w:eastAsia="仿宋_GB2312"/>
      <w:color w:val="000000"/>
      <w:kern w:val="0"/>
      <w:sz w:val="20"/>
    </w:rPr>
  </w:style>
  <w:style w:type="character" w:customStyle="1" w:styleId="SSE2Char">
    <w:name w:val="SSE标题2 Char"/>
    <w:link w:val="SSE20"/>
    <w:locked/>
    <w:rPr>
      <w:rFonts w:ascii="仿宋_GB2312" w:eastAsia="仿宋_GB2312"/>
      <w:b/>
      <w:bCs/>
      <w:sz w:val="28"/>
      <w:szCs w:val="28"/>
    </w:rPr>
  </w:style>
  <w:style w:type="paragraph" w:customStyle="1" w:styleId="SSE20">
    <w:name w:val="SSE标题2"/>
    <w:basedOn w:val="2"/>
    <w:link w:val="SSE2Char"/>
    <w:qFormat/>
    <w:pPr>
      <w:spacing w:beforeLines="50" w:after="0" w:line="240" w:lineRule="auto"/>
    </w:pPr>
    <w:rPr>
      <w:rFonts w:ascii="仿宋_GB2312" w:eastAsia="仿宋_GB2312" w:hAnsi="Times New Roman"/>
      <w:sz w:val="28"/>
      <w:szCs w:val="28"/>
    </w:rPr>
  </w:style>
  <w:style w:type="character" w:customStyle="1" w:styleId="SSEChar2">
    <w:name w:val="SSE表格文字 Char"/>
    <w:link w:val="SSE4"/>
    <w:locked/>
    <w:rPr>
      <w:rFonts w:ascii="仿宋_GB2312" w:eastAsia="仿宋_GB2312"/>
      <w:color w:val="000000"/>
      <w:sz w:val="24"/>
      <w:szCs w:val="24"/>
    </w:rPr>
  </w:style>
  <w:style w:type="paragraph" w:customStyle="1" w:styleId="SSE4">
    <w:name w:val="SSE表格文字"/>
    <w:basedOn w:val="a"/>
    <w:link w:val="SSEChar2"/>
    <w:pPr>
      <w:widowControl/>
      <w:jc w:val="center"/>
    </w:pPr>
    <w:rPr>
      <w:rFonts w:ascii="仿宋_GB2312" w:eastAsia="仿宋_GB2312"/>
      <w:color w:val="000000"/>
      <w:kern w:val="0"/>
      <w:sz w:val="24"/>
      <w:szCs w:val="24"/>
    </w:rPr>
  </w:style>
  <w:style w:type="character" w:customStyle="1" w:styleId="SSEChar3">
    <w:name w:val="SSE图表标题 Char"/>
    <w:link w:val="SSE5"/>
    <w:locked/>
    <w:rPr>
      <w:rFonts w:ascii="仿宋_GB2312" w:eastAsia="仿宋_GB2312"/>
      <w:b/>
      <w:bCs/>
      <w:color w:val="000000"/>
      <w:sz w:val="24"/>
      <w:szCs w:val="24"/>
    </w:rPr>
  </w:style>
  <w:style w:type="paragraph" w:customStyle="1" w:styleId="SSE5">
    <w:name w:val="SSE图表标题"/>
    <w:basedOn w:val="6"/>
    <w:link w:val="SSEChar3"/>
    <w:pPr>
      <w:spacing w:beforeLines="50" w:after="0" w:line="240" w:lineRule="auto"/>
      <w:jc w:val="center"/>
    </w:pPr>
    <w:rPr>
      <w:rFonts w:ascii="仿宋_GB2312" w:eastAsia="仿宋_GB2312" w:hAnsi="Times New Roman"/>
      <w:color w:val="000000"/>
      <w:kern w:val="0"/>
    </w:rPr>
  </w:style>
  <w:style w:type="character" w:customStyle="1" w:styleId="1e">
    <w:name w:val="标题 1 字符"/>
    <w:uiPriority w:val="9"/>
    <w:rPr>
      <w:rFonts w:ascii="Calibri" w:eastAsia="宋体" w:hAnsi="Calibri" w:cs="Times New Roman" w:hint="default"/>
      <w:b/>
      <w:bCs/>
      <w:kern w:val="44"/>
      <w:sz w:val="44"/>
      <w:szCs w:val="44"/>
    </w:rPr>
  </w:style>
  <w:style w:type="character" w:customStyle="1" w:styleId="25">
    <w:name w:val="标题 2 字符"/>
    <w:uiPriority w:val="9"/>
    <w:semiHidden/>
    <w:rPr>
      <w:rFonts w:ascii="Cambria" w:eastAsia="宋体" w:hAnsi="Cambria" w:cs="Times New Roman" w:hint="default"/>
      <w:b/>
      <w:bCs/>
      <w:sz w:val="32"/>
      <w:szCs w:val="32"/>
    </w:rPr>
  </w:style>
  <w:style w:type="character" w:customStyle="1" w:styleId="33">
    <w:name w:val="标题 3 字符"/>
    <w:uiPriority w:val="9"/>
    <w:semiHidden/>
    <w:rPr>
      <w:rFonts w:ascii="Calibri" w:eastAsia="宋体" w:hAnsi="Calibri" w:cs="Times New Roman" w:hint="default"/>
      <w:b/>
      <w:bCs/>
      <w:sz w:val="32"/>
      <w:szCs w:val="32"/>
    </w:rPr>
  </w:style>
  <w:style w:type="character" w:customStyle="1" w:styleId="40">
    <w:name w:val="标题 4 字符"/>
    <w:uiPriority w:val="9"/>
    <w:semiHidden/>
    <w:rPr>
      <w:rFonts w:ascii="Cambria" w:eastAsia="宋体" w:hAnsi="Cambria" w:cs="Times New Roman" w:hint="default"/>
      <w:b/>
      <w:bCs/>
      <w:sz w:val="28"/>
      <w:szCs w:val="28"/>
    </w:rPr>
  </w:style>
  <w:style w:type="character" w:customStyle="1" w:styleId="60">
    <w:name w:val="标题 6 字符"/>
    <w:uiPriority w:val="9"/>
    <w:semiHidden/>
    <w:rPr>
      <w:rFonts w:ascii="Cambria" w:eastAsia="宋体" w:hAnsi="Cambria" w:cs="Times New Roman" w:hint="default"/>
      <w:b/>
      <w:bCs/>
      <w:sz w:val="24"/>
      <w:szCs w:val="24"/>
    </w:rPr>
  </w:style>
  <w:style w:type="character" w:customStyle="1" w:styleId="aff1">
    <w:name w:val="页眉 字符"/>
    <w:uiPriority w:val="99"/>
    <w:semiHidden/>
    <w:rPr>
      <w:rFonts w:ascii="Calibri" w:eastAsia="宋体" w:hAnsi="Calibri" w:cs="Times New Roman" w:hint="default"/>
      <w:sz w:val="18"/>
      <w:szCs w:val="18"/>
    </w:rPr>
  </w:style>
  <w:style w:type="character" w:customStyle="1" w:styleId="aff2">
    <w:name w:val="页脚 字符"/>
    <w:uiPriority w:val="99"/>
    <w:semiHidden/>
    <w:rPr>
      <w:rFonts w:ascii="Calibri" w:eastAsia="宋体" w:hAnsi="Calibri" w:cs="Times New Roman" w:hint="default"/>
      <w:sz w:val="18"/>
      <w:szCs w:val="18"/>
    </w:rPr>
  </w:style>
  <w:style w:type="character" w:customStyle="1" w:styleId="aff3">
    <w:name w:val="正文文本缩进 字符"/>
    <w:uiPriority w:val="99"/>
    <w:semiHidden/>
    <w:rPr>
      <w:rFonts w:ascii="Calibri" w:eastAsia="宋体" w:hAnsi="Calibri" w:cs="Times New Roman" w:hint="default"/>
    </w:rPr>
  </w:style>
  <w:style w:type="character" w:customStyle="1" w:styleId="aff4">
    <w:name w:val="批注框文本 字符"/>
    <w:uiPriority w:val="99"/>
    <w:semiHidden/>
    <w:rPr>
      <w:rFonts w:ascii="Calibri" w:eastAsia="宋体" w:hAnsi="Calibri" w:cs="Times New Roman" w:hint="default"/>
      <w:sz w:val="18"/>
      <w:szCs w:val="18"/>
    </w:rPr>
  </w:style>
  <w:style w:type="character" w:customStyle="1" w:styleId="aff5">
    <w:name w:val="日期 字符"/>
    <w:uiPriority w:val="99"/>
    <w:semiHidden/>
    <w:rPr>
      <w:rFonts w:ascii="Calibri" w:eastAsia="宋体" w:hAnsi="Calibri" w:cs="Times New Roman" w:hint="default"/>
    </w:rPr>
  </w:style>
  <w:style w:type="character" w:customStyle="1" w:styleId="aff6">
    <w:name w:val="纯文本 字符"/>
    <w:uiPriority w:val="99"/>
    <w:semiHidden/>
    <w:rPr>
      <w:rFonts w:ascii="宋体" w:eastAsia="宋体" w:hAnsi="Courier New" w:cs="Courier New" w:hint="eastAsia"/>
    </w:rPr>
  </w:style>
  <w:style w:type="character" w:customStyle="1" w:styleId="26">
    <w:name w:val="正文文本 2 字符"/>
    <w:uiPriority w:val="99"/>
    <w:semiHidden/>
    <w:rPr>
      <w:rFonts w:ascii="Calibri" w:eastAsia="宋体" w:hAnsi="Calibri" w:cs="Times New Roman" w:hint="default"/>
    </w:rPr>
  </w:style>
  <w:style w:type="character" w:customStyle="1" w:styleId="Char15">
    <w:name w:val="尾注文本 Char1"/>
    <w:locked/>
    <w:rPr>
      <w:rFonts w:ascii="Times New Roman" w:eastAsia="宋体" w:hAnsi="Times New Roman" w:cs="Times New Roman"/>
      <w:kern w:val="0"/>
      <w:sz w:val="24"/>
      <w:szCs w:val="24"/>
    </w:rPr>
  </w:style>
  <w:style w:type="character" w:customStyle="1" w:styleId="aff7">
    <w:name w:val="尾注文本 字符"/>
    <w:uiPriority w:val="99"/>
    <w:semiHidden/>
    <w:rPr>
      <w:rFonts w:ascii="Calibri" w:eastAsia="宋体" w:hAnsi="Calibri" w:cs="Times New Roman" w:hint="default"/>
    </w:rPr>
  </w:style>
  <w:style w:type="character" w:customStyle="1" w:styleId="Char16">
    <w:name w:val="批注文字 Char1"/>
    <w:locked/>
    <w:rPr>
      <w:rFonts w:ascii="Times New Roman" w:eastAsia="宋体" w:hAnsi="Times New Roman" w:cs="Times New Roman"/>
      <w:kern w:val="0"/>
      <w:sz w:val="24"/>
      <w:szCs w:val="24"/>
    </w:rPr>
  </w:style>
  <w:style w:type="character" w:customStyle="1" w:styleId="aff8">
    <w:name w:val="批注文字 字符"/>
    <w:uiPriority w:val="99"/>
    <w:semiHidden/>
    <w:rPr>
      <w:rFonts w:ascii="Calibri" w:eastAsia="宋体" w:hAnsi="Calibri" w:cs="Times New Roman" w:hint="default"/>
    </w:rPr>
  </w:style>
  <w:style w:type="character" w:customStyle="1" w:styleId="aff9">
    <w:name w:val="正文文本 字符"/>
    <w:uiPriority w:val="99"/>
    <w:semiHidden/>
    <w:rPr>
      <w:rFonts w:ascii="Calibri" w:eastAsia="宋体" w:hAnsi="Calibri" w:cs="Times New Roman" w:hint="default"/>
    </w:rPr>
  </w:style>
  <w:style w:type="character" w:customStyle="1" w:styleId="27">
    <w:name w:val="正文文本缩进 2 字符"/>
    <w:uiPriority w:val="99"/>
    <w:semiHidden/>
    <w:rPr>
      <w:rFonts w:ascii="Calibri" w:eastAsia="宋体" w:hAnsi="Calibri" w:cs="Times New Roman" w:hint="default"/>
    </w:rPr>
  </w:style>
  <w:style w:type="character" w:customStyle="1" w:styleId="34">
    <w:name w:val="正文文本缩进 3 字符"/>
    <w:uiPriority w:val="99"/>
    <w:semiHidden/>
    <w:rPr>
      <w:rFonts w:ascii="Calibri" w:eastAsia="宋体" w:hAnsi="Calibri" w:cs="Times New Roman" w:hint="default"/>
      <w:sz w:val="16"/>
      <w:szCs w:val="16"/>
    </w:rPr>
  </w:style>
  <w:style w:type="character" w:customStyle="1" w:styleId="35">
    <w:name w:val="正文文本 3 字符"/>
    <w:uiPriority w:val="99"/>
    <w:semiHidden/>
    <w:rPr>
      <w:rFonts w:ascii="Calibri" w:eastAsia="宋体" w:hAnsi="Calibri" w:cs="Times New Roman" w:hint="default"/>
      <w:sz w:val="16"/>
      <w:szCs w:val="16"/>
    </w:rPr>
  </w:style>
  <w:style w:type="character" w:customStyle="1" w:styleId="affa">
    <w:name w:val="脚注文本 字符"/>
    <w:uiPriority w:val="99"/>
    <w:semiHidden/>
    <w:rPr>
      <w:rFonts w:ascii="Calibri" w:eastAsia="宋体" w:hAnsi="Calibri" w:cs="Times New Roman" w:hint="default"/>
      <w:sz w:val="18"/>
      <w:szCs w:val="18"/>
    </w:rPr>
  </w:style>
  <w:style w:type="character" w:customStyle="1" w:styleId="Char17">
    <w:name w:val="批注主题 Char1"/>
    <w:locked/>
    <w:rPr>
      <w:b/>
      <w:bCs/>
    </w:rPr>
  </w:style>
  <w:style w:type="character" w:customStyle="1" w:styleId="affb">
    <w:name w:val="批注主题 字符"/>
    <w:uiPriority w:val="99"/>
    <w:semiHidden/>
    <w:rPr>
      <w:rFonts w:ascii="Calibri" w:eastAsia="宋体" w:hAnsi="Calibri" w:cs="Times New Roman" w:hint="default"/>
      <w:b/>
      <w:bCs/>
    </w:rPr>
  </w:style>
  <w:style w:type="character" w:customStyle="1" w:styleId="Char18">
    <w:name w:val="标题 Char1"/>
    <w:locked/>
    <w:rPr>
      <w:rFonts w:ascii="Arial" w:eastAsia="宋体" w:hAnsi="Arial" w:cs="Times New Roman"/>
      <w:b/>
      <w:bCs/>
      <w:kern w:val="0"/>
      <w:sz w:val="32"/>
      <w:szCs w:val="32"/>
    </w:rPr>
  </w:style>
  <w:style w:type="character" w:customStyle="1" w:styleId="affc">
    <w:name w:val="标题 字符"/>
    <w:uiPriority w:val="10"/>
    <w:rPr>
      <w:rFonts w:ascii="Cambria" w:eastAsia="宋体" w:hAnsi="Cambria" w:cs="Times New Roman" w:hint="default"/>
      <w:b/>
      <w:bCs/>
      <w:sz w:val="32"/>
      <w:szCs w:val="32"/>
    </w:rPr>
  </w:style>
  <w:style w:type="paragraph" w:customStyle="1" w:styleId="a40">
    <w:name w:val="a4"/>
    <w:basedOn w:val="a"/>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pPr>
      <w:widowControl/>
      <w:spacing w:before="100" w:beforeAutospacing="1" w:after="100" w:afterAutospacing="1"/>
      <w:jc w:val="left"/>
    </w:pPr>
    <w:rPr>
      <w:rFonts w:ascii="等线" w:eastAsia="等线" w:hAnsi="宋体" w:cs="宋体"/>
      <w:kern w:val="0"/>
      <w:sz w:val="18"/>
      <w:szCs w:val="18"/>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Cs w:val="21"/>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d">
    <w:name w:val="正正正"/>
    <w:basedOn w:val="a"/>
    <w:link w:val="affe"/>
    <w:qFormat/>
    <w:pPr>
      <w:spacing w:line="560" w:lineRule="exact"/>
      <w:ind w:firstLineChars="200" w:firstLine="640"/>
    </w:pPr>
    <w:rPr>
      <w:rFonts w:ascii="仿宋_GB2312" w:eastAsia="仿宋_GB2312" w:hAnsi="仿宋_GB2312"/>
      <w:sz w:val="32"/>
      <w:szCs w:val="32"/>
    </w:rPr>
  </w:style>
  <w:style w:type="character" w:customStyle="1" w:styleId="affe">
    <w:name w:val="正正正 字符"/>
    <w:link w:val="affd"/>
    <w:qFormat/>
    <w:rPr>
      <w:rFonts w:ascii="仿宋_GB2312" w:eastAsia="仿宋_GB2312" w:hAnsi="仿宋_GB2312" w:cs="Times New Roman"/>
      <w:kern w:val="2"/>
      <w:sz w:val="32"/>
      <w:szCs w:val="32"/>
    </w:rPr>
  </w:style>
  <w:style w:type="character" w:customStyle="1" w:styleId="1f">
    <w:name w:val="脚注文本 字符1"/>
    <w:locked/>
    <w:rPr>
      <w:rFonts w:ascii="Times New Roman" w:eastAsia="宋体" w:hAnsi="Times New Roman" w:cs="Times New Roman"/>
      <w:kern w:val="0"/>
      <w:sz w:val="18"/>
      <w:szCs w:val="18"/>
    </w:rPr>
  </w:style>
  <w:style w:type="character" w:customStyle="1" w:styleId="fontstyle01">
    <w:name w:val="fontstyle01"/>
    <w:qFormat/>
    <w:rPr>
      <w:rFonts w:ascii="仿宋_GB2312" w:eastAsia="仿宋_GB2312" w:hint="eastAsia"/>
      <w:color w:val="000000"/>
      <w:sz w:val="30"/>
      <w:szCs w:val="30"/>
    </w:rPr>
  </w:style>
  <w:style w:type="paragraph" w:styleId="afff">
    <w:name w:val="Revision"/>
    <w:hidden/>
    <w:uiPriority w:val="99"/>
    <w:unhideWhenUsed/>
    <w:rsid w:val="00FB731B"/>
    <w:rPr>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wdzx97.dot</Template>
  <TotalTime>0</TotalTime>
  <Pages>13</Pages>
  <Words>955</Words>
  <Characters>5449</Characters>
  <Application>Microsoft Office Word</Application>
  <DocSecurity>0</DocSecurity>
  <Lines>45</Lines>
  <Paragraphs>12</Paragraphs>
  <ScaleCrop>false</ScaleCrop>
  <Company/>
  <LinksUpToDate>false</LinksUpToDate>
  <CharactersWithSpaces>6392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上海证券交易所会议纪要</dc:title>
  <dc:creator>费琼(编号)</dc:creator>
  <cp:lastModifiedBy>user</cp:lastModifiedBy>
  <cp:revision>2</cp:revision>
  <cp:lastPrinted>2022-06-30T06:42:00Z</cp:lastPrinted>
  <dcterms:created xsi:type="dcterms:W3CDTF">2025-06-24T07:20:00Z</dcterms:created>
  <dcterms:modified xsi:type="dcterms:W3CDTF">2025-06-24T07:20:00Z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B40B5334509C4399A566BC8B9869EC82_12</vt:lpwstr>
  </property>
</Properties>
</file>