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66" w:rsidRDefault="00411C66" w:rsidP="00411C66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CD5271">
        <w:rPr>
          <w:rFonts w:ascii="仿宋_GB2312" w:eastAsia="仿宋_GB2312" w:hAnsi="微软雅黑" w:cs="宋体" w:hint="eastAsia"/>
          <w:kern w:val="0"/>
          <w:sz w:val="30"/>
          <w:szCs w:val="30"/>
        </w:rPr>
        <w:t>附件</w:t>
      </w:r>
      <w:r>
        <w:rPr>
          <w:rFonts w:ascii="仿宋_GB2312" w:eastAsia="仿宋_GB2312" w:hAnsi="微软雅黑" w:cs="宋体" w:hint="eastAsia"/>
          <w:kern w:val="0"/>
          <w:sz w:val="30"/>
          <w:szCs w:val="30"/>
        </w:rPr>
        <w:t>3</w:t>
      </w:r>
    </w:p>
    <w:p w:rsidR="00411C66" w:rsidRDefault="00411C66" w:rsidP="00411C66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</w:p>
    <w:p w:rsidR="00411C66" w:rsidRPr="002E43BA" w:rsidRDefault="00411C66" w:rsidP="00411C66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 w:rsidRPr="002E43BA">
        <w:rPr>
          <w:rFonts w:ascii="黑体" w:eastAsia="黑体" w:hAnsi="黑体" w:cs="宋体" w:hint="eastAsia"/>
          <w:b/>
          <w:kern w:val="0"/>
          <w:sz w:val="36"/>
          <w:szCs w:val="36"/>
        </w:rPr>
        <w:t>同步废止的债券交易类业务规则</w:t>
      </w:r>
      <w:r>
        <w:rPr>
          <w:rFonts w:ascii="黑体" w:eastAsia="黑体" w:hAnsi="黑体" w:cs="宋体" w:hint="eastAsia"/>
          <w:b/>
          <w:kern w:val="0"/>
          <w:sz w:val="36"/>
          <w:szCs w:val="36"/>
        </w:rPr>
        <w:t>及</w:t>
      </w:r>
      <w:r>
        <w:rPr>
          <w:rFonts w:ascii="黑体" w:eastAsia="黑体" w:hAnsi="黑体" w:cs="宋体"/>
          <w:b/>
          <w:kern w:val="0"/>
          <w:sz w:val="36"/>
          <w:szCs w:val="36"/>
        </w:rPr>
        <w:t>指南</w:t>
      </w:r>
      <w:r w:rsidRPr="002E43BA">
        <w:rPr>
          <w:rFonts w:ascii="黑体" w:eastAsia="黑体" w:hAnsi="黑体" w:cs="宋体" w:hint="eastAsia"/>
          <w:b/>
          <w:kern w:val="0"/>
          <w:sz w:val="36"/>
          <w:szCs w:val="36"/>
        </w:rPr>
        <w:t>清单</w:t>
      </w:r>
    </w:p>
    <w:p w:rsidR="00411C66" w:rsidRPr="00CD5271" w:rsidRDefault="00411C66" w:rsidP="00411C66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tbl>
      <w:tblPr>
        <w:tblStyle w:val="a4"/>
        <w:tblW w:w="0" w:type="auto"/>
        <w:jc w:val="center"/>
        <w:tblLook w:val="04A0"/>
      </w:tblPr>
      <w:tblGrid>
        <w:gridCol w:w="704"/>
        <w:gridCol w:w="1691"/>
        <w:gridCol w:w="4635"/>
        <w:gridCol w:w="1266"/>
      </w:tblGrid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发文文号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规则标题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b/>
                <w:sz w:val="21"/>
                <w:szCs w:val="21"/>
              </w:rPr>
              <w:t>发布日期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上证推字〔2002〕1号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关于实施“试行国债净价交易”有关事宜的通知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2002/3/18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上证交字〔2005〕10号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关于开展大宗债券双边报价业务及调整大宗交易有关事项的通知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2005/7/18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上证债字〔2006〕27号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关于新质押式国债回购交易的通知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2006/3/24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上证交字〔2008〕14号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关于做好企业债按证券帐户净价交易的相关技术准备的通知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2008/9/17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5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上证交字〔2008〕18号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关于做好企业债按证券帐户净价交易的相关数据报送工作的通知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2008/9/</w:t>
            </w:r>
            <w:r>
              <w:rPr>
                <w:rFonts w:ascii="仿宋_GB2312" w:eastAsia="仿宋_GB2312" w:hint="eastAsia"/>
                <w:sz w:val="21"/>
                <w:szCs w:val="21"/>
              </w:rPr>
              <w:t>24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6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上证债字〔2008〕71号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关于发布实施《上海证券交易所固定收益证券综合电子平台交易暂行规定》的通知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2008/9/26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7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上证交字〔2008〕19号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关于企业债、分离债按证券帐户实行净价交易等事项的通知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2008/10/6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8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上证债字〔2010〕196号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关于国债双边挂牌交易的通知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2010/10/25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9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上证债字〔2011〕129号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关于投资者债券持仓余额实现互通的通知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2011/6/24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10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上证债字〔2011〕177号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关于发布质押式回购定盘利率的通知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2011/8/18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11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上证函〔2016〕2085号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关于固定收益证券综合电子平台升级的通知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2016/11/7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12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上证发〔2019〕5号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关于修改《上海证券交易所债券交易实施细则》相关条款的通知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2019/1/17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13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上证发〔2019〕111号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关于调整固定收益证券综合电子平台交易相关事宜的通知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2019/11/15</w:t>
            </w:r>
          </w:p>
        </w:tc>
      </w:tr>
      <w:tr w:rsidR="00411C66" w:rsidRPr="002E43BA" w:rsidTr="00CA5608">
        <w:trPr>
          <w:jc w:val="center"/>
        </w:trPr>
        <w:tc>
          <w:tcPr>
            <w:tcW w:w="704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14</w:t>
            </w:r>
          </w:p>
        </w:tc>
        <w:tc>
          <w:tcPr>
            <w:tcW w:w="1691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上证函〔2021〕1708号</w:t>
            </w:r>
          </w:p>
        </w:tc>
        <w:tc>
          <w:tcPr>
            <w:tcW w:w="4635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关于债券大宗交易业务迁移至固定收益证券综合电子平台的通知</w:t>
            </w:r>
          </w:p>
        </w:tc>
        <w:tc>
          <w:tcPr>
            <w:tcW w:w="1266" w:type="dxa"/>
          </w:tcPr>
          <w:p w:rsidR="00411C66" w:rsidRPr="002E43BA" w:rsidRDefault="00411C66" w:rsidP="00CA5608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2E43BA">
              <w:rPr>
                <w:rFonts w:ascii="仿宋_GB2312" w:eastAsia="仿宋_GB2312" w:hint="eastAsia"/>
                <w:sz w:val="21"/>
                <w:szCs w:val="21"/>
              </w:rPr>
              <w:t>2021/10/15</w:t>
            </w:r>
          </w:p>
        </w:tc>
      </w:tr>
    </w:tbl>
    <w:p w:rsidR="00411C66" w:rsidRPr="00CD5271" w:rsidRDefault="00411C66" w:rsidP="00411C66">
      <w:pPr>
        <w:pStyle w:val="a3"/>
        <w:shd w:val="clear" w:color="auto" w:fill="FFFFFF"/>
        <w:spacing w:before="0" w:beforeAutospacing="0" w:after="0" w:afterAutospacing="0" w:line="600" w:lineRule="exact"/>
        <w:jc w:val="both"/>
      </w:pPr>
      <w:bookmarkStart w:id="0" w:name="_GoBack"/>
      <w:bookmarkEnd w:id="0"/>
    </w:p>
    <w:p w:rsidR="006D6BBA" w:rsidRDefault="00411C66"/>
    <w:sectPr w:rsidR="006D6BBA" w:rsidSect="0085617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583336"/>
      <w:docPartObj>
        <w:docPartGallery w:val="Page Numbers (Bottom of Page)"/>
        <w:docPartUnique/>
      </w:docPartObj>
    </w:sdtPr>
    <w:sdtEndPr/>
    <w:sdtContent>
      <w:p w:rsidR="00DE463F" w:rsidRDefault="00411C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C66">
          <w:rPr>
            <w:noProof/>
            <w:lang w:val="zh-CN"/>
          </w:rPr>
          <w:t>1</w:t>
        </w:r>
        <w:r>
          <w:fldChar w:fldCharType="end"/>
        </w:r>
      </w:p>
    </w:sdtContent>
  </w:sdt>
  <w:p w:rsidR="00DE463F" w:rsidRDefault="00411C66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1C66"/>
    <w:rsid w:val="000A7D57"/>
    <w:rsid w:val="001A4C99"/>
    <w:rsid w:val="00411C66"/>
    <w:rsid w:val="00581F22"/>
    <w:rsid w:val="0072464D"/>
    <w:rsid w:val="008D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66"/>
    <w:pPr>
      <w:widowControl w:val="0"/>
      <w:spacing w:line="240" w:lineRule="auto"/>
      <w:ind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C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411C66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unhideWhenUsed/>
    <w:rsid w:val="00411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411C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连璐(拟稿)</cp:lastModifiedBy>
  <dcterms:created xsi:type="dcterms:W3CDTF">2022-01-26T07:58:00Z</dcterms:created>
  <dcterms:modified xsi:type="dcterms:W3CDTF">2022-01-26T08:02:00Z</dcterms:modified>
</cp:coreProperties>
</file>