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DEA1">
      <w:pPr>
        <w:spacing w:line="560" w:lineRule="exact"/>
        <w:jc w:val="left"/>
        <w:rPr>
          <w:rFonts w:ascii="仿宋_GB2312" w:hAnsi="仿宋_GB2312" w:eastAsia="仿宋_GB2312"/>
          <w:b/>
          <w:sz w:val="32"/>
          <w:szCs w:val="32"/>
        </w:rPr>
      </w:pPr>
      <w:bookmarkStart w:id="0" w:name="_Toc23964012"/>
      <w:r>
        <w:rPr>
          <w:rFonts w:ascii="仿宋_GB2312" w:hAnsi="仿宋_GB2312" w:eastAsia="仿宋_GB2312"/>
          <w:b/>
          <w:sz w:val="32"/>
          <w:szCs w:val="32"/>
        </w:rPr>
        <w:t>附件：</w:t>
      </w:r>
    </w:p>
    <w:p w14:paraId="4DE8DB67">
      <w:pPr>
        <w:spacing w:line="560" w:lineRule="exact"/>
        <w:jc w:val="center"/>
        <w:rPr>
          <w:rFonts w:ascii="Times New Roman" w:hAnsi="Times New Roman" w:eastAsia="方正大标宋简体"/>
          <w:sz w:val="42"/>
          <w:szCs w:val="42"/>
        </w:rPr>
      </w:pPr>
      <w:r>
        <w:rPr>
          <w:rFonts w:ascii="Times New Roman" w:hAnsi="Times New Roman" w:eastAsia="方正大标宋简体"/>
          <w:sz w:val="42"/>
          <w:szCs w:val="42"/>
        </w:rPr>
        <w:t>上海证券交易所资产支持证券挂牌条件确认规则适用指引第1号</w:t>
      </w:r>
    </w:p>
    <w:p w14:paraId="603326B6">
      <w:pPr>
        <w:spacing w:line="560" w:lineRule="exact"/>
        <w:jc w:val="center"/>
        <w:rPr>
          <w:rFonts w:ascii="Times New Roman" w:hAnsi="Times New Roman" w:eastAsia="方正大标宋简体"/>
          <w:sz w:val="42"/>
          <w:szCs w:val="42"/>
        </w:rPr>
      </w:pPr>
      <w:r>
        <w:rPr>
          <w:rFonts w:ascii="Times New Roman" w:hAnsi="Times New Roman" w:eastAsia="方正大标宋简体"/>
          <w:sz w:val="42"/>
          <w:szCs w:val="42"/>
        </w:rPr>
        <w:t>——申请文件及编制</w:t>
      </w:r>
    </w:p>
    <w:sdt>
      <w:sdtPr>
        <w:id w:val="147471473"/>
        <w:docPartObj>
          <w:docPartGallery w:val="Table of Contents"/>
          <w:docPartUnique/>
        </w:docPartObj>
      </w:sdtPr>
      <w:sdtContent>
        <w:p w14:paraId="717B63F6">
          <w:pPr>
            <w:pStyle w:val="82"/>
            <w:numPr>
              <w:ilvl w:val="0"/>
              <w:numId w:val="0"/>
            </w:numPr>
            <w:jc w:val="center"/>
            <w:outlineLvl w:val="0"/>
            <w:rPr>
              <w:rFonts w:ascii="Times New Roman" w:hAnsi="Times New Roman" w:cs="Times New Roman"/>
              <w:color w:val="auto"/>
              <w:sz w:val="28"/>
              <w:szCs w:val="28"/>
            </w:rPr>
          </w:pPr>
          <w:bookmarkStart w:id="1" w:name="_Toc118891151"/>
          <w:bookmarkStart w:id="2" w:name="_Toc118888522"/>
          <w:r>
            <w:rPr>
              <w:rFonts w:ascii="Times New Roman" w:hAnsi="Times New Roman" w:eastAsia="黑体" w:cs="Times New Roman"/>
              <w:b/>
              <w:bCs/>
              <w:color w:val="auto"/>
              <w:kern w:val="2"/>
              <w:sz w:val="30"/>
              <w:szCs w:val="44"/>
            </w:rPr>
            <w:t>目录</w:t>
          </w:r>
          <w:bookmarkEnd w:id="1"/>
          <w:bookmarkEnd w:id="2"/>
        </w:p>
        <w:p w14:paraId="581A6A28">
          <w:pPr>
            <w:pStyle w:val="23"/>
            <w:rPr>
              <w:rFonts w:ascii="Times New Roman" w:hAnsi="Times New Roman" w:eastAsiaTheme="minorEastAsia"/>
              <w:b w:val="0"/>
              <w:sz w:val="21"/>
              <w:szCs w:val="22"/>
            </w:rPr>
          </w:pPr>
          <w:r>
            <w:fldChar w:fldCharType="begin"/>
          </w:r>
          <w:r>
            <w:rPr>
              <w:rStyle w:val="77"/>
              <w:rFonts w:ascii="Times New Roman" w:hAnsi="Times New Roman"/>
              <w:u w:val="none"/>
            </w:rPr>
            <w:instrText xml:space="preserve"> TOC \z \o "1-3" \u \h</w:instrText>
          </w:r>
          <w:r>
            <w:rPr>
              <w:rStyle w:val="77"/>
              <w:rFonts w:ascii="Times New Roman" w:hAnsi="Times New Roman"/>
              <w:u w:val="none"/>
            </w:rPr>
            <w:fldChar w:fldCharType="separate"/>
          </w:r>
          <w:r>
            <w:fldChar w:fldCharType="begin"/>
          </w:r>
          <w:r>
            <w:instrText xml:space="preserve"> HYPERLINK \l "_Toc118891152" \h </w:instrText>
          </w:r>
          <w:r>
            <w:fldChar w:fldCharType="separate"/>
          </w:r>
          <w:r>
            <w:rPr>
              <w:rStyle w:val="77"/>
              <w:rFonts w:ascii="Times New Roman" w:hAnsi="Times New Roman"/>
              <w:u w:val="none"/>
            </w:rPr>
            <w:t>第一章</w:t>
          </w:r>
          <w:r>
            <w:rPr>
              <w:rStyle w:val="77"/>
              <w:rFonts w:ascii="Times New Roman" w:hAnsi="Times New Roman" w:eastAsiaTheme="minorEastAsia"/>
              <w:b w:val="0"/>
              <w:sz w:val="21"/>
              <w:szCs w:val="22"/>
            </w:rPr>
            <w:tab/>
          </w:r>
          <w:r>
            <w:rPr>
              <w:rStyle w:val="77"/>
              <w:rFonts w:ascii="Times New Roman" w:hAnsi="Times New Roman"/>
              <w:u w:val="none"/>
            </w:rPr>
            <w:t>总则</w:t>
          </w:r>
          <w:r>
            <w:fldChar w:fldCharType="begin"/>
          </w:r>
          <w:r>
            <w:instrText xml:space="preserve">PAGEREF _Toc118891152 \h</w:instrText>
          </w:r>
          <w:r>
            <w:fldChar w:fldCharType="separate"/>
          </w:r>
          <w:r>
            <w:rPr>
              <w:rStyle w:val="77"/>
              <w:rFonts w:ascii="Times New Roman" w:hAnsi="Times New Roman"/>
            </w:rPr>
            <w:tab/>
          </w:r>
          <w:r>
            <w:rPr>
              <w:rStyle w:val="77"/>
              <w:rFonts w:ascii="Times New Roman" w:hAnsi="Times New Roman"/>
            </w:rPr>
            <w:t>3</w:t>
          </w:r>
          <w:r>
            <w:fldChar w:fldCharType="end"/>
          </w:r>
          <w:r>
            <w:fldChar w:fldCharType="end"/>
          </w:r>
        </w:p>
        <w:p w14:paraId="63B30190">
          <w:pPr>
            <w:pStyle w:val="23"/>
            <w:rPr>
              <w:rFonts w:ascii="Times New Roman" w:hAnsi="Times New Roman" w:eastAsiaTheme="minorEastAsia"/>
              <w:b w:val="0"/>
              <w:sz w:val="21"/>
              <w:szCs w:val="22"/>
            </w:rPr>
          </w:pPr>
          <w:r>
            <w:fldChar w:fldCharType="begin"/>
          </w:r>
          <w:r>
            <w:instrText xml:space="preserve"> HYPERLINK \l "_Toc118891153" \h </w:instrText>
          </w:r>
          <w:r>
            <w:fldChar w:fldCharType="separate"/>
          </w:r>
          <w:r>
            <w:rPr>
              <w:rStyle w:val="77"/>
              <w:rFonts w:ascii="Times New Roman" w:hAnsi="Times New Roman"/>
              <w:u w:val="none"/>
            </w:rPr>
            <w:t>第二章</w:t>
          </w:r>
          <w:r>
            <w:rPr>
              <w:rStyle w:val="77"/>
              <w:rFonts w:ascii="Times New Roman" w:hAnsi="Times New Roman" w:eastAsiaTheme="minorEastAsia"/>
              <w:b w:val="0"/>
              <w:sz w:val="21"/>
              <w:szCs w:val="22"/>
            </w:rPr>
            <w:tab/>
          </w:r>
          <w:r>
            <w:rPr>
              <w:rStyle w:val="77"/>
              <w:rFonts w:ascii="Times New Roman" w:hAnsi="Times New Roman"/>
              <w:u w:val="none"/>
            </w:rPr>
            <w:t>申请文件</w:t>
          </w:r>
          <w:r>
            <w:fldChar w:fldCharType="begin"/>
          </w:r>
          <w:r>
            <w:instrText xml:space="preserve">PAGEREF _Toc118891153 \h</w:instrText>
          </w:r>
          <w:r>
            <w:fldChar w:fldCharType="separate"/>
          </w:r>
          <w:r>
            <w:rPr>
              <w:rStyle w:val="77"/>
              <w:rFonts w:ascii="Times New Roman" w:hAnsi="Times New Roman"/>
            </w:rPr>
            <w:tab/>
          </w:r>
          <w:r>
            <w:rPr>
              <w:rStyle w:val="77"/>
              <w:rFonts w:ascii="Times New Roman" w:hAnsi="Times New Roman"/>
            </w:rPr>
            <w:t>4</w:t>
          </w:r>
          <w:r>
            <w:fldChar w:fldCharType="end"/>
          </w:r>
          <w:r>
            <w:fldChar w:fldCharType="end"/>
          </w:r>
        </w:p>
        <w:p w14:paraId="2E860165">
          <w:pPr>
            <w:pStyle w:val="27"/>
            <w:rPr>
              <w:rFonts w:ascii="Times New Roman" w:hAnsi="Times New Roman" w:eastAsiaTheme="minorEastAsia"/>
            </w:rPr>
          </w:pPr>
          <w:r>
            <w:fldChar w:fldCharType="begin"/>
          </w:r>
          <w:r>
            <w:instrText xml:space="preserve"> HYPERLINK \l "_Toc118891154" \h </w:instrText>
          </w:r>
          <w:r>
            <w:fldChar w:fldCharType="separate"/>
          </w:r>
          <w:r>
            <w:rPr>
              <w:rStyle w:val="77"/>
              <w:rFonts w:ascii="Times New Roman" w:hAnsi="Times New Roman"/>
              <w:u w:val="none"/>
            </w:rPr>
            <w:t>第一节</w:t>
          </w:r>
          <w:r>
            <w:rPr>
              <w:rStyle w:val="77"/>
              <w:rFonts w:ascii="Times New Roman" w:hAnsi="Times New Roman" w:eastAsiaTheme="minorEastAsia"/>
            </w:rPr>
            <w:tab/>
          </w:r>
          <w:r>
            <w:rPr>
              <w:rStyle w:val="77"/>
              <w:rFonts w:ascii="Times New Roman" w:hAnsi="Times New Roman"/>
              <w:u w:val="none"/>
            </w:rPr>
            <w:t>申请文件清单</w:t>
          </w:r>
          <w:r>
            <w:fldChar w:fldCharType="begin"/>
          </w:r>
          <w:r>
            <w:instrText xml:space="preserve">PAGEREF _Toc118891154 \h</w:instrText>
          </w:r>
          <w:r>
            <w:fldChar w:fldCharType="separate"/>
          </w:r>
          <w:r>
            <w:rPr>
              <w:rStyle w:val="77"/>
              <w:rFonts w:ascii="Times New Roman" w:hAnsi="Times New Roman"/>
            </w:rPr>
            <w:tab/>
          </w:r>
          <w:r>
            <w:rPr>
              <w:rStyle w:val="77"/>
              <w:rFonts w:ascii="Times New Roman" w:hAnsi="Times New Roman"/>
            </w:rPr>
            <w:t>4</w:t>
          </w:r>
          <w:r>
            <w:fldChar w:fldCharType="end"/>
          </w:r>
          <w:r>
            <w:fldChar w:fldCharType="end"/>
          </w:r>
        </w:p>
        <w:p w14:paraId="778C83F9">
          <w:pPr>
            <w:pStyle w:val="27"/>
            <w:rPr>
              <w:rFonts w:ascii="Times New Roman" w:hAnsi="Times New Roman" w:eastAsiaTheme="minorEastAsia"/>
            </w:rPr>
          </w:pPr>
          <w:r>
            <w:fldChar w:fldCharType="begin"/>
          </w:r>
          <w:r>
            <w:instrText xml:space="preserve"> HYPERLINK \l "_Toc118891155" \h </w:instrText>
          </w:r>
          <w:r>
            <w:fldChar w:fldCharType="separate"/>
          </w:r>
          <w:r>
            <w:rPr>
              <w:rStyle w:val="77"/>
              <w:rFonts w:ascii="Times New Roman" w:hAnsi="Times New Roman"/>
              <w:u w:val="none"/>
            </w:rPr>
            <w:t>第二节</w:t>
          </w:r>
          <w:r>
            <w:rPr>
              <w:rStyle w:val="77"/>
              <w:rFonts w:ascii="Times New Roman" w:hAnsi="Times New Roman" w:eastAsiaTheme="minorEastAsia"/>
            </w:rPr>
            <w:tab/>
          </w:r>
          <w:r>
            <w:rPr>
              <w:rStyle w:val="77"/>
              <w:rFonts w:ascii="Times New Roman" w:hAnsi="Times New Roman"/>
              <w:u w:val="none"/>
            </w:rPr>
            <w:t>财务报表有效期</w:t>
          </w:r>
          <w:r>
            <w:fldChar w:fldCharType="begin"/>
          </w:r>
          <w:r>
            <w:instrText xml:space="preserve">PAGEREF _Toc118891155 \h</w:instrText>
          </w:r>
          <w:r>
            <w:fldChar w:fldCharType="separate"/>
          </w:r>
          <w:r>
            <w:rPr>
              <w:rStyle w:val="77"/>
              <w:rFonts w:ascii="Times New Roman" w:hAnsi="Times New Roman"/>
            </w:rPr>
            <w:tab/>
          </w:r>
          <w:r>
            <w:rPr>
              <w:rStyle w:val="77"/>
              <w:rFonts w:ascii="Times New Roman" w:hAnsi="Times New Roman"/>
            </w:rPr>
            <w:t>6</w:t>
          </w:r>
          <w:r>
            <w:fldChar w:fldCharType="end"/>
          </w:r>
          <w:r>
            <w:fldChar w:fldCharType="end"/>
          </w:r>
        </w:p>
        <w:p w14:paraId="2805659D">
          <w:pPr>
            <w:pStyle w:val="23"/>
            <w:rPr>
              <w:rFonts w:ascii="Times New Roman" w:hAnsi="Times New Roman" w:eastAsiaTheme="minorEastAsia"/>
              <w:b w:val="0"/>
              <w:sz w:val="21"/>
              <w:szCs w:val="22"/>
            </w:rPr>
          </w:pPr>
          <w:r>
            <w:fldChar w:fldCharType="begin"/>
          </w:r>
          <w:r>
            <w:instrText xml:space="preserve"> HYPERLINK \l "_Toc118891156" \h </w:instrText>
          </w:r>
          <w:r>
            <w:fldChar w:fldCharType="separate"/>
          </w:r>
          <w:r>
            <w:rPr>
              <w:rStyle w:val="77"/>
              <w:rFonts w:ascii="Times New Roman" w:hAnsi="Times New Roman"/>
              <w:u w:val="none"/>
            </w:rPr>
            <w:t>第三章</w:t>
          </w:r>
          <w:r>
            <w:rPr>
              <w:rStyle w:val="77"/>
              <w:rFonts w:ascii="Times New Roman" w:hAnsi="Times New Roman" w:eastAsiaTheme="minorEastAsia"/>
              <w:b w:val="0"/>
              <w:sz w:val="21"/>
              <w:szCs w:val="22"/>
            </w:rPr>
            <w:tab/>
          </w:r>
          <w:r>
            <w:rPr>
              <w:rStyle w:val="77"/>
              <w:rFonts w:ascii="Times New Roman" w:hAnsi="Times New Roman"/>
              <w:u w:val="none"/>
            </w:rPr>
            <w:t>计划说明书编制要求</w:t>
          </w:r>
          <w:r>
            <w:fldChar w:fldCharType="begin"/>
          </w:r>
          <w:r>
            <w:instrText xml:space="preserve">PAGEREF _Toc118891156 \h</w:instrText>
          </w:r>
          <w:r>
            <w:fldChar w:fldCharType="separate"/>
          </w:r>
          <w:r>
            <w:rPr>
              <w:rStyle w:val="77"/>
              <w:rFonts w:ascii="Times New Roman" w:hAnsi="Times New Roman"/>
            </w:rPr>
            <w:tab/>
          </w:r>
          <w:r>
            <w:rPr>
              <w:rStyle w:val="77"/>
              <w:rFonts w:ascii="Times New Roman" w:hAnsi="Times New Roman"/>
            </w:rPr>
            <w:t>8</w:t>
          </w:r>
          <w:r>
            <w:fldChar w:fldCharType="end"/>
          </w:r>
          <w:r>
            <w:fldChar w:fldCharType="end"/>
          </w:r>
        </w:p>
        <w:p w14:paraId="0B864290">
          <w:pPr>
            <w:pStyle w:val="27"/>
            <w:rPr>
              <w:rFonts w:ascii="Times New Roman" w:hAnsi="Times New Roman" w:eastAsiaTheme="minorEastAsia"/>
            </w:rPr>
          </w:pPr>
          <w:r>
            <w:fldChar w:fldCharType="begin"/>
          </w:r>
          <w:r>
            <w:instrText xml:space="preserve"> HYPERLINK \l "_Toc118891157" \h </w:instrText>
          </w:r>
          <w:r>
            <w:fldChar w:fldCharType="separate"/>
          </w:r>
          <w:r>
            <w:rPr>
              <w:rStyle w:val="77"/>
              <w:rFonts w:ascii="Times New Roman" w:hAnsi="Times New Roman"/>
              <w:u w:val="none"/>
            </w:rPr>
            <w:t>第一节</w:t>
          </w:r>
          <w:r>
            <w:rPr>
              <w:rStyle w:val="77"/>
              <w:rFonts w:ascii="Times New Roman" w:hAnsi="Times New Roman" w:eastAsiaTheme="minorEastAsia"/>
            </w:rPr>
            <w:tab/>
          </w:r>
          <w:r>
            <w:rPr>
              <w:rStyle w:val="77"/>
              <w:rFonts w:ascii="Times New Roman" w:hAnsi="Times New Roman"/>
              <w:u w:val="none"/>
            </w:rPr>
            <w:t>总体要求</w:t>
          </w:r>
          <w:r>
            <w:fldChar w:fldCharType="begin"/>
          </w:r>
          <w:r>
            <w:instrText xml:space="preserve">PAGEREF _Toc118891157 \h</w:instrText>
          </w:r>
          <w:r>
            <w:fldChar w:fldCharType="separate"/>
          </w:r>
          <w:r>
            <w:rPr>
              <w:rStyle w:val="77"/>
              <w:rFonts w:ascii="Times New Roman" w:hAnsi="Times New Roman"/>
            </w:rPr>
            <w:tab/>
          </w:r>
          <w:r>
            <w:rPr>
              <w:rStyle w:val="77"/>
              <w:rFonts w:ascii="Times New Roman" w:hAnsi="Times New Roman"/>
            </w:rPr>
            <w:t>8</w:t>
          </w:r>
          <w:r>
            <w:fldChar w:fldCharType="end"/>
          </w:r>
          <w:r>
            <w:fldChar w:fldCharType="end"/>
          </w:r>
        </w:p>
        <w:p w14:paraId="2FD7E224">
          <w:pPr>
            <w:pStyle w:val="27"/>
            <w:rPr>
              <w:rFonts w:ascii="Times New Roman" w:hAnsi="Times New Roman" w:eastAsiaTheme="minorEastAsia"/>
            </w:rPr>
          </w:pPr>
          <w:r>
            <w:fldChar w:fldCharType="begin"/>
          </w:r>
          <w:r>
            <w:instrText xml:space="preserve"> HYPERLINK \l "_Toc118891158" \h </w:instrText>
          </w:r>
          <w:r>
            <w:fldChar w:fldCharType="separate"/>
          </w:r>
          <w:r>
            <w:rPr>
              <w:rStyle w:val="77"/>
              <w:rFonts w:ascii="Times New Roman" w:hAnsi="Times New Roman"/>
              <w:u w:val="none"/>
            </w:rPr>
            <w:t>第二节</w:t>
          </w:r>
          <w:r>
            <w:rPr>
              <w:rStyle w:val="77"/>
              <w:rFonts w:ascii="Times New Roman" w:hAnsi="Times New Roman" w:eastAsiaTheme="minorEastAsia"/>
            </w:rPr>
            <w:tab/>
          </w:r>
          <w:r>
            <w:rPr>
              <w:rStyle w:val="77"/>
              <w:rFonts w:ascii="Times New Roman" w:hAnsi="Times New Roman"/>
              <w:u w:val="none"/>
            </w:rPr>
            <w:t>当事人的权利和义务</w:t>
          </w:r>
          <w:r>
            <w:fldChar w:fldCharType="begin"/>
          </w:r>
          <w:r>
            <w:instrText xml:space="preserve">PAGEREF _Toc118891158 \h</w:instrText>
          </w:r>
          <w:r>
            <w:fldChar w:fldCharType="separate"/>
          </w:r>
          <w:r>
            <w:rPr>
              <w:rStyle w:val="77"/>
              <w:rFonts w:ascii="Times New Roman" w:hAnsi="Times New Roman"/>
            </w:rPr>
            <w:tab/>
          </w:r>
          <w:r>
            <w:rPr>
              <w:rStyle w:val="77"/>
              <w:rFonts w:ascii="Times New Roman" w:hAnsi="Times New Roman"/>
            </w:rPr>
            <w:t>11</w:t>
          </w:r>
          <w:r>
            <w:fldChar w:fldCharType="end"/>
          </w:r>
          <w:r>
            <w:fldChar w:fldCharType="end"/>
          </w:r>
        </w:p>
        <w:p w14:paraId="6D3D5837">
          <w:pPr>
            <w:pStyle w:val="27"/>
            <w:rPr>
              <w:rFonts w:ascii="Times New Roman" w:hAnsi="Times New Roman" w:eastAsiaTheme="minorEastAsia"/>
            </w:rPr>
          </w:pPr>
          <w:r>
            <w:fldChar w:fldCharType="begin"/>
          </w:r>
          <w:r>
            <w:instrText xml:space="preserve"> HYPERLINK \l "_Toc118891159" \h </w:instrText>
          </w:r>
          <w:r>
            <w:fldChar w:fldCharType="separate"/>
          </w:r>
          <w:r>
            <w:rPr>
              <w:rStyle w:val="77"/>
              <w:rFonts w:ascii="Times New Roman" w:hAnsi="Times New Roman"/>
              <w:u w:val="none"/>
            </w:rPr>
            <w:t>第三节</w:t>
          </w:r>
          <w:r>
            <w:rPr>
              <w:rStyle w:val="77"/>
              <w:rFonts w:ascii="Times New Roman" w:hAnsi="Times New Roman" w:eastAsiaTheme="minorEastAsia"/>
            </w:rPr>
            <w:tab/>
          </w:r>
          <w:r>
            <w:rPr>
              <w:rStyle w:val="77"/>
              <w:rFonts w:ascii="Times New Roman" w:hAnsi="Times New Roman"/>
              <w:u w:val="none"/>
            </w:rPr>
            <w:t>资产支持证券的基本情况</w:t>
          </w:r>
          <w:r>
            <w:fldChar w:fldCharType="begin"/>
          </w:r>
          <w:r>
            <w:instrText xml:space="preserve">PAGEREF _Toc118891159 \h</w:instrText>
          </w:r>
          <w:r>
            <w:fldChar w:fldCharType="separate"/>
          </w:r>
          <w:r>
            <w:rPr>
              <w:rStyle w:val="77"/>
              <w:rFonts w:ascii="Times New Roman" w:hAnsi="Times New Roman"/>
            </w:rPr>
            <w:tab/>
          </w:r>
          <w:r>
            <w:rPr>
              <w:rStyle w:val="77"/>
              <w:rFonts w:ascii="Times New Roman" w:hAnsi="Times New Roman"/>
            </w:rPr>
            <w:t>12</w:t>
          </w:r>
          <w:r>
            <w:fldChar w:fldCharType="end"/>
          </w:r>
          <w:r>
            <w:fldChar w:fldCharType="end"/>
          </w:r>
        </w:p>
        <w:p w14:paraId="61DC62C7">
          <w:pPr>
            <w:pStyle w:val="27"/>
            <w:rPr>
              <w:rFonts w:ascii="Times New Roman" w:hAnsi="Times New Roman" w:eastAsiaTheme="minorEastAsia"/>
            </w:rPr>
          </w:pPr>
          <w:r>
            <w:fldChar w:fldCharType="begin"/>
          </w:r>
          <w:r>
            <w:instrText xml:space="preserve"> HYPERLINK \l "_Toc118891160" \h </w:instrText>
          </w:r>
          <w:r>
            <w:fldChar w:fldCharType="separate"/>
          </w:r>
          <w:r>
            <w:rPr>
              <w:rStyle w:val="77"/>
              <w:rFonts w:ascii="Times New Roman" w:hAnsi="Times New Roman"/>
              <w:u w:val="none"/>
            </w:rPr>
            <w:t>第四节</w:t>
          </w:r>
          <w:r>
            <w:rPr>
              <w:rStyle w:val="77"/>
              <w:rFonts w:ascii="Times New Roman" w:hAnsi="Times New Roman" w:eastAsiaTheme="minorEastAsia"/>
            </w:rPr>
            <w:tab/>
          </w:r>
          <w:r>
            <w:rPr>
              <w:rStyle w:val="77"/>
              <w:rFonts w:ascii="Times New Roman" w:hAnsi="Times New Roman"/>
              <w:u w:val="none"/>
            </w:rPr>
            <w:t>专项计划的交易结构与业务参与人简介</w:t>
          </w:r>
          <w:r>
            <w:fldChar w:fldCharType="begin"/>
          </w:r>
          <w:r>
            <w:instrText xml:space="preserve">PAGEREF _Toc118891160 \h</w:instrText>
          </w:r>
          <w:r>
            <w:fldChar w:fldCharType="separate"/>
          </w:r>
          <w:r>
            <w:rPr>
              <w:rStyle w:val="77"/>
              <w:rFonts w:ascii="Times New Roman" w:hAnsi="Times New Roman"/>
            </w:rPr>
            <w:tab/>
          </w:r>
          <w:r>
            <w:rPr>
              <w:rStyle w:val="77"/>
              <w:rFonts w:ascii="Times New Roman" w:hAnsi="Times New Roman"/>
            </w:rPr>
            <w:t>13</w:t>
          </w:r>
          <w:r>
            <w:fldChar w:fldCharType="end"/>
          </w:r>
          <w:r>
            <w:fldChar w:fldCharType="end"/>
          </w:r>
        </w:p>
        <w:p w14:paraId="42999845">
          <w:pPr>
            <w:pStyle w:val="27"/>
            <w:rPr>
              <w:rFonts w:ascii="Times New Roman" w:hAnsi="Times New Roman" w:eastAsiaTheme="minorEastAsia"/>
            </w:rPr>
          </w:pPr>
          <w:r>
            <w:fldChar w:fldCharType="begin"/>
          </w:r>
          <w:r>
            <w:instrText xml:space="preserve"> HYPERLINK \l "_Toc118891161" \h </w:instrText>
          </w:r>
          <w:r>
            <w:fldChar w:fldCharType="separate"/>
          </w:r>
          <w:r>
            <w:rPr>
              <w:rStyle w:val="77"/>
              <w:rFonts w:ascii="Times New Roman" w:hAnsi="Times New Roman"/>
              <w:u w:val="none"/>
            </w:rPr>
            <w:t>第五节</w:t>
          </w:r>
          <w:r>
            <w:rPr>
              <w:rStyle w:val="77"/>
              <w:rFonts w:ascii="Times New Roman" w:hAnsi="Times New Roman" w:eastAsiaTheme="minorEastAsia"/>
            </w:rPr>
            <w:tab/>
          </w:r>
          <w:r>
            <w:rPr>
              <w:rStyle w:val="77"/>
              <w:rFonts w:ascii="Times New Roman" w:hAnsi="Times New Roman"/>
              <w:u w:val="none"/>
            </w:rPr>
            <w:t>信用增级和信用触发机制</w:t>
          </w:r>
          <w:r>
            <w:fldChar w:fldCharType="begin"/>
          </w:r>
          <w:r>
            <w:instrText xml:space="preserve">PAGEREF _Toc118891161 \h</w:instrText>
          </w:r>
          <w:r>
            <w:fldChar w:fldCharType="separate"/>
          </w:r>
          <w:r>
            <w:rPr>
              <w:rStyle w:val="77"/>
              <w:rFonts w:ascii="Times New Roman" w:hAnsi="Times New Roman"/>
            </w:rPr>
            <w:tab/>
          </w:r>
          <w:r>
            <w:rPr>
              <w:rStyle w:val="77"/>
              <w:rFonts w:ascii="Times New Roman" w:hAnsi="Times New Roman"/>
            </w:rPr>
            <w:t>14</w:t>
          </w:r>
          <w:r>
            <w:fldChar w:fldCharType="end"/>
          </w:r>
          <w:r>
            <w:fldChar w:fldCharType="end"/>
          </w:r>
        </w:p>
        <w:p w14:paraId="5D587521">
          <w:pPr>
            <w:pStyle w:val="27"/>
            <w:rPr>
              <w:rFonts w:ascii="Times New Roman" w:hAnsi="Times New Roman" w:eastAsiaTheme="minorEastAsia"/>
            </w:rPr>
          </w:pPr>
          <w:r>
            <w:fldChar w:fldCharType="begin"/>
          </w:r>
          <w:r>
            <w:instrText xml:space="preserve"> HYPERLINK \l "_Toc118891162" \h </w:instrText>
          </w:r>
          <w:r>
            <w:fldChar w:fldCharType="separate"/>
          </w:r>
          <w:r>
            <w:rPr>
              <w:rStyle w:val="77"/>
              <w:rFonts w:ascii="Times New Roman" w:hAnsi="Times New Roman"/>
              <w:u w:val="none"/>
            </w:rPr>
            <w:t>第六节</w:t>
          </w:r>
          <w:r>
            <w:rPr>
              <w:rStyle w:val="77"/>
              <w:rFonts w:ascii="Times New Roman" w:hAnsi="Times New Roman" w:eastAsiaTheme="minorEastAsia"/>
            </w:rPr>
            <w:tab/>
          </w:r>
          <w:r>
            <w:rPr>
              <w:rStyle w:val="77"/>
              <w:rFonts w:ascii="Times New Roman" w:hAnsi="Times New Roman"/>
              <w:u w:val="none"/>
            </w:rPr>
            <w:t>特定原始权益人、管理人和其他主要业务参与人情况</w:t>
          </w:r>
          <w:r>
            <w:fldChar w:fldCharType="begin"/>
          </w:r>
          <w:r>
            <w:instrText xml:space="preserve">PAGEREF _Toc118891162 \h</w:instrText>
          </w:r>
          <w:r>
            <w:fldChar w:fldCharType="separate"/>
          </w:r>
          <w:r>
            <w:rPr>
              <w:rStyle w:val="77"/>
              <w:rFonts w:ascii="Times New Roman" w:hAnsi="Times New Roman"/>
            </w:rPr>
            <w:tab/>
          </w:r>
          <w:r>
            <w:rPr>
              <w:rStyle w:val="77"/>
              <w:rFonts w:ascii="Times New Roman" w:hAnsi="Times New Roman"/>
            </w:rPr>
            <w:t>16</w:t>
          </w:r>
          <w:r>
            <w:fldChar w:fldCharType="end"/>
          </w:r>
          <w:r>
            <w:fldChar w:fldCharType="end"/>
          </w:r>
        </w:p>
        <w:p w14:paraId="34D62CAE">
          <w:pPr>
            <w:pStyle w:val="27"/>
            <w:rPr>
              <w:rFonts w:ascii="Times New Roman" w:hAnsi="Times New Roman" w:eastAsiaTheme="minorEastAsia"/>
            </w:rPr>
          </w:pPr>
          <w:r>
            <w:fldChar w:fldCharType="begin"/>
          </w:r>
          <w:r>
            <w:instrText xml:space="preserve"> HYPERLINK \l "_Toc118891163" \h </w:instrText>
          </w:r>
          <w:r>
            <w:fldChar w:fldCharType="separate"/>
          </w:r>
          <w:r>
            <w:rPr>
              <w:rStyle w:val="77"/>
              <w:rFonts w:ascii="Times New Roman" w:hAnsi="Times New Roman"/>
              <w:u w:val="none"/>
            </w:rPr>
            <w:t>第七节</w:t>
          </w:r>
          <w:r>
            <w:rPr>
              <w:rStyle w:val="77"/>
              <w:rFonts w:ascii="Times New Roman" w:hAnsi="Times New Roman" w:eastAsiaTheme="minorEastAsia"/>
            </w:rPr>
            <w:tab/>
          </w:r>
          <w:r>
            <w:rPr>
              <w:rStyle w:val="77"/>
              <w:rFonts w:ascii="Times New Roman" w:hAnsi="Times New Roman"/>
              <w:u w:val="none"/>
            </w:rPr>
            <w:t>基础资产情况及现金流预测分析</w:t>
          </w:r>
          <w:r>
            <w:fldChar w:fldCharType="begin"/>
          </w:r>
          <w:r>
            <w:instrText xml:space="preserve">PAGEREF _Toc118891163 \h</w:instrText>
          </w:r>
          <w:r>
            <w:fldChar w:fldCharType="separate"/>
          </w:r>
          <w:r>
            <w:rPr>
              <w:rStyle w:val="77"/>
              <w:rFonts w:ascii="Times New Roman" w:hAnsi="Times New Roman"/>
            </w:rPr>
            <w:tab/>
          </w:r>
          <w:r>
            <w:rPr>
              <w:rStyle w:val="77"/>
              <w:rFonts w:ascii="Times New Roman" w:hAnsi="Times New Roman"/>
            </w:rPr>
            <w:t>24</w:t>
          </w:r>
          <w:r>
            <w:fldChar w:fldCharType="end"/>
          </w:r>
          <w:r>
            <w:fldChar w:fldCharType="end"/>
          </w:r>
        </w:p>
        <w:p w14:paraId="7BA7AEEA">
          <w:pPr>
            <w:pStyle w:val="27"/>
            <w:rPr>
              <w:rFonts w:ascii="Times New Roman" w:hAnsi="Times New Roman" w:eastAsiaTheme="minorEastAsia"/>
            </w:rPr>
          </w:pPr>
          <w:r>
            <w:fldChar w:fldCharType="begin"/>
          </w:r>
          <w:r>
            <w:instrText xml:space="preserve"> HYPERLINK \l "_Toc118891164" \h </w:instrText>
          </w:r>
          <w:r>
            <w:fldChar w:fldCharType="separate"/>
          </w:r>
          <w:r>
            <w:rPr>
              <w:rStyle w:val="77"/>
              <w:rFonts w:ascii="Times New Roman" w:hAnsi="Times New Roman"/>
              <w:u w:val="none"/>
            </w:rPr>
            <w:t>第八节</w:t>
          </w:r>
          <w:r>
            <w:rPr>
              <w:rStyle w:val="77"/>
              <w:rFonts w:ascii="Times New Roman" w:hAnsi="Times New Roman" w:eastAsiaTheme="minorEastAsia"/>
            </w:rPr>
            <w:tab/>
          </w:r>
          <w:r>
            <w:rPr>
              <w:rStyle w:val="77"/>
              <w:rFonts w:ascii="Times New Roman" w:hAnsi="Times New Roman"/>
              <w:u w:val="none"/>
            </w:rPr>
            <w:t>专项计划现金流归集、投资及分配</w:t>
          </w:r>
          <w:r>
            <w:fldChar w:fldCharType="begin"/>
          </w:r>
          <w:r>
            <w:instrText xml:space="preserve">PAGEREF _Toc118891164 \h</w:instrText>
          </w:r>
          <w:r>
            <w:fldChar w:fldCharType="separate"/>
          </w:r>
          <w:r>
            <w:rPr>
              <w:rStyle w:val="77"/>
              <w:rFonts w:ascii="Times New Roman" w:hAnsi="Times New Roman"/>
            </w:rPr>
            <w:tab/>
          </w:r>
          <w:r>
            <w:rPr>
              <w:rStyle w:val="77"/>
              <w:rFonts w:ascii="Times New Roman" w:hAnsi="Times New Roman"/>
            </w:rPr>
            <w:t>28</w:t>
          </w:r>
          <w:r>
            <w:fldChar w:fldCharType="end"/>
          </w:r>
          <w:r>
            <w:fldChar w:fldCharType="end"/>
          </w:r>
        </w:p>
        <w:p w14:paraId="3D78B172">
          <w:pPr>
            <w:pStyle w:val="27"/>
            <w:rPr>
              <w:rFonts w:ascii="Times New Roman" w:hAnsi="Times New Roman" w:eastAsiaTheme="minorEastAsia"/>
            </w:rPr>
          </w:pPr>
          <w:r>
            <w:fldChar w:fldCharType="begin"/>
          </w:r>
          <w:r>
            <w:instrText xml:space="preserve"> HYPERLINK \l "_Toc118891165" \h </w:instrText>
          </w:r>
          <w:r>
            <w:fldChar w:fldCharType="separate"/>
          </w:r>
          <w:r>
            <w:rPr>
              <w:rStyle w:val="77"/>
              <w:rFonts w:ascii="Times New Roman" w:hAnsi="Times New Roman"/>
              <w:u w:val="none"/>
            </w:rPr>
            <w:t>第九节</w:t>
          </w:r>
          <w:r>
            <w:rPr>
              <w:rStyle w:val="77"/>
              <w:rFonts w:ascii="Times New Roman" w:hAnsi="Times New Roman" w:eastAsiaTheme="minorEastAsia"/>
            </w:rPr>
            <w:tab/>
          </w:r>
          <w:r>
            <w:rPr>
              <w:rStyle w:val="77"/>
              <w:rFonts w:ascii="Times New Roman" w:hAnsi="Times New Roman"/>
              <w:u w:val="none"/>
            </w:rPr>
            <w:t>专项计划资产的管理安排</w:t>
          </w:r>
          <w:r>
            <w:fldChar w:fldCharType="begin"/>
          </w:r>
          <w:r>
            <w:instrText xml:space="preserve">PAGEREF _Toc118891165 \h</w:instrText>
          </w:r>
          <w:r>
            <w:fldChar w:fldCharType="separate"/>
          </w:r>
          <w:r>
            <w:rPr>
              <w:rStyle w:val="77"/>
              <w:rFonts w:ascii="Times New Roman" w:hAnsi="Times New Roman"/>
            </w:rPr>
            <w:tab/>
          </w:r>
          <w:r>
            <w:rPr>
              <w:rStyle w:val="77"/>
              <w:rFonts w:ascii="Times New Roman" w:hAnsi="Times New Roman"/>
            </w:rPr>
            <w:t>29</w:t>
          </w:r>
          <w:r>
            <w:fldChar w:fldCharType="end"/>
          </w:r>
          <w:r>
            <w:fldChar w:fldCharType="end"/>
          </w:r>
        </w:p>
        <w:p w14:paraId="260E42FC">
          <w:pPr>
            <w:pStyle w:val="27"/>
            <w:rPr>
              <w:rFonts w:ascii="Times New Roman" w:hAnsi="Times New Roman" w:eastAsiaTheme="minorEastAsia"/>
            </w:rPr>
          </w:pPr>
          <w:r>
            <w:fldChar w:fldCharType="begin"/>
          </w:r>
          <w:r>
            <w:instrText xml:space="preserve"> HYPERLINK \l "_Toc118891166" \h </w:instrText>
          </w:r>
          <w:r>
            <w:fldChar w:fldCharType="separate"/>
          </w:r>
          <w:r>
            <w:rPr>
              <w:rStyle w:val="77"/>
              <w:rFonts w:ascii="Times New Roman" w:hAnsi="Times New Roman"/>
              <w:u w:val="none"/>
            </w:rPr>
            <w:t>第十节</w:t>
          </w:r>
          <w:r>
            <w:rPr>
              <w:rStyle w:val="77"/>
              <w:rFonts w:ascii="Times New Roman" w:hAnsi="Times New Roman" w:eastAsiaTheme="minorEastAsia"/>
            </w:rPr>
            <w:tab/>
          </w:r>
          <w:r>
            <w:rPr>
              <w:rStyle w:val="77"/>
              <w:rFonts w:ascii="Times New Roman" w:hAnsi="Times New Roman"/>
              <w:u w:val="none"/>
            </w:rPr>
            <w:t>原始权益人风险自留的相关情况</w:t>
          </w:r>
          <w:r>
            <w:fldChar w:fldCharType="begin"/>
          </w:r>
          <w:r>
            <w:instrText xml:space="preserve">PAGEREF _Toc118891166 \h</w:instrText>
          </w:r>
          <w:r>
            <w:fldChar w:fldCharType="separate"/>
          </w:r>
          <w:r>
            <w:rPr>
              <w:rStyle w:val="77"/>
              <w:rFonts w:ascii="Times New Roman" w:hAnsi="Times New Roman"/>
            </w:rPr>
            <w:tab/>
          </w:r>
          <w:r>
            <w:rPr>
              <w:rStyle w:val="77"/>
              <w:rFonts w:ascii="Times New Roman" w:hAnsi="Times New Roman"/>
            </w:rPr>
            <w:t>30</w:t>
          </w:r>
          <w:r>
            <w:fldChar w:fldCharType="end"/>
          </w:r>
          <w:r>
            <w:fldChar w:fldCharType="end"/>
          </w:r>
        </w:p>
        <w:p w14:paraId="7D53CA29">
          <w:pPr>
            <w:pStyle w:val="27"/>
            <w:rPr>
              <w:rFonts w:ascii="Times New Roman" w:hAnsi="Times New Roman" w:eastAsiaTheme="minorEastAsia"/>
            </w:rPr>
          </w:pPr>
          <w:r>
            <w:fldChar w:fldCharType="begin"/>
          </w:r>
          <w:r>
            <w:instrText xml:space="preserve"> HYPERLINK \l "_Toc118891167" \h </w:instrText>
          </w:r>
          <w:r>
            <w:fldChar w:fldCharType="separate"/>
          </w:r>
          <w:r>
            <w:rPr>
              <w:rStyle w:val="77"/>
              <w:rFonts w:ascii="Times New Roman" w:hAnsi="Times New Roman"/>
              <w:u w:val="none"/>
            </w:rPr>
            <w:t>第十一节</w:t>
          </w:r>
          <w:r>
            <w:rPr>
              <w:rStyle w:val="77"/>
              <w:rFonts w:ascii="Times New Roman" w:hAnsi="Times New Roman" w:eastAsiaTheme="minorEastAsia"/>
            </w:rPr>
            <w:tab/>
          </w:r>
          <w:r>
            <w:rPr>
              <w:rStyle w:val="77"/>
              <w:rFonts w:ascii="Times New Roman" w:hAnsi="Times New Roman"/>
              <w:u w:val="none"/>
            </w:rPr>
            <w:t>风险揭示与防范措施</w:t>
          </w:r>
          <w:r>
            <w:fldChar w:fldCharType="begin"/>
          </w:r>
          <w:r>
            <w:instrText xml:space="preserve">PAGEREF _Toc118891167 \h</w:instrText>
          </w:r>
          <w:r>
            <w:fldChar w:fldCharType="separate"/>
          </w:r>
          <w:r>
            <w:rPr>
              <w:rStyle w:val="77"/>
              <w:rFonts w:ascii="Times New Roman" w:hAnsi="Times New Roman"/>
            </w:rPr>
            <w:tab/>
          </w:r>
          <w:r>
            <w:rPr>
              <w:rStyle w:val="77"/>
              <w:rFonts w:ascii="Times New Roman" w:hAnsi="Times New Roman"/>
            </w:rPr>
            <w:t>30</w:t>
          </w:r>
          <w:r>
            <w:fldChar w:fldCharType="end"/>
          </w:r>
          <w:r>
            <w:fldChar w:fldCharType="end"/>
          </w:r>
        </w:p>
        <w:p w14:paraId="57B76DCB">
          <w:pPr>
            <w:pStyle w:val="27"/>
            <w:rPr>
              <w:rFonts w:ascii="Times New Roman" w:hAnsi="Times New Roman" w:eastAsiaTheme="minorEastAsia"/>
            </w:rPr>
          </w:pPr>
          <w:r>
            <w:fldChar w:fldCharType="begin"/>
          </w:r>
          <w:r>
            <w:instrText xml:space="preserve"> HYPERLINK \l "_Toc118891168" \h </w:instrText>
          </w:r>
          <w:r>
            <w:fldChar w:fldCharType="separate"/>
          </w:r>
          <w:r>
            <w:rPr>
              <w:rStyle w:val="77"/>
              <w:rFonts w:ascii="Times New Roman" w:hAnsi="Times New Roman"/>
              <w:u w:val="none"/>
            </w:rPr>
            <w:t>第十二节</w:t>
          </w:r>
          <w:r>
            <w:rPr>
              <w:rStyle w:val="77"/>
              <w:rFonts w:ascii="Times New Roman" w:hAnsi="Times New Roman" w:eastAsiaTheme="minorEastAsia"/>
            </w:rPr>
            <w:tab/>
          </w:r>
          <w:r>
            <w:rPr>
              <w:rStyle w:val="77"/>
              <w:rFonts w:ascii="Times New Roman" w:hAnsi="Times New Roman"/>
              <w:u w:val="none"/>
            </w:rPr>
            <w:t>专项计划的销售、设立及终止等事项</w:t>
          </w:r>
          <w:r>
            <w:fldChar w:fldCharType="begin"/>
          </w:r>
          <w:r>
            <w:instrText xml:space="preserve">PAGEREF _Toc118891168 \h</w:instrText>
          </w:r>
          <w:r>
            <w:fldChar w:fldCharType="separate"/>
          </w:r>
          <w:r>
            <w:rPr>
              <w:rStyle w:val="77"/>
              <w:rFonts w:ascii="Times New Roman" w:hAnsi="Times New Roman"/>
            </w:rPr>
            <w:tab/>
          </w:r>
          <w:r>
            <w:rPr>
              <w:rStyle w:val="77"/>
              <w:rFonts w:ascii="Times New Roman" w:hAnsi="Times New Roman"/>
            </w:rPr>
            <w:t>31</w:t>
          </w:r>
          <w:r>
            <w:fldChar w:fldCharType="end"/>
          </w:r>
          <w:r>
            <w:fldChar w:fldCharType="end"/>
          </w:r>
        </w:p>
        <w:p w14:paraId="4D6FE82F">
          <w:pPr>
            <w:pStyle w:val="27"/>
            <w:rPr>
              <w:rFonts w:ascii="Times New Roman" w:hAnsi="Times New Roman" w:eastAsiaTheme="minorEastAsia"/>
            </w:rPr>
          </w:pPr>
          <w:r>
            <w:fldChar w:fldCharType="begin"/>
          </w:r>
          <w:r>
            <w:instrText xml:space="preserve"> HYPERLINK \l "_Toc118891169" \h </w:instrText>
          </w:r>
          <w:r>
            <w:fldChar w:fldCharType="separate"/>
          </w:r>
          <w:r>
            <w:rPr>
              <w:rStyle w:val="77"/>
              <w:rFonts w:ascii="Times New Roman" w:hAnsi="Times New Roman"/>
              <w:u w:val="none"/>
            </w:rPr>
            <w:t>第十三节</w:t>
          </w:r>
          <w:r>
            <w:rPr>
              <w:rStyle w:val="77"/>
              <w:rFonts w:ascii="Times New Roman" w:hAnsi="Times New Roman" w:eastAsiaTheme="minorEastAsia"/>
            </w:rPr>
            <w:tab/>
          </w:r>
          <w:r>
            <w:rPr>
              <w:rStyle w:val="77"/>
              <w:rFonts w:ascii="Times New Roman" w:hAnsi="Times New Roman"/>
              <w:u w:val="none"/>
            </w:rPr>
            <w:t>资产支持证券的登记及转让安排</w:t>
          </w:r>
          <w:r>
            <w:fldChar w:fldCharType="begin"/>
          </w:r>
          <w:r>
            <w:instrText xml:space="preserve">PAGEREF _Toc118891169 \h</w:instrText>
          </w:r>
          <w:r>
            <w:fldChar w:fldCharType="separate"/>
          </w:r>
          <w:r>
            <w:rPr>
              <w:rStyle w:val="77"/>
              <w:rFonts w:ascii="Times New Roman" w:hAnsi="Times New Roman"/>
            </w:rPr>
            <w:tab/>
          </w:r>
          <w:r>
            <w:rPr>
              <w:rStyle w:val="77"/>
              <w:rFonts w:ascii="Times New Roman" w:hAnsi="Times New Roman"/>
            </w:rPr>
            <w:t>32</w:t>
          </w:r>
          <w:r>
            <w:fldChar w:fldCharType="end"/>
          </w:r>
          <w:r>
            <w:fldChar w:fldCharType="end"/>
          </w:r>
        </w:p>
        <w:p w14:paraId="43EDB150">
          <w:pPr>
            <w:pStyle w:val="27"/>
            <w:rPr>
              <w:rFonts w:ascii="Times New Roman" w:hAnsi="Times New Roman" w:eastAsiaTheme="minorEastAsia"/>
            </w:rPr>
          </w:pPr>
          <w:r>
            <w:fldChar w:fldCharType="begin"/>
          </w:r>
          <w:r>
            <w:instrText xml:space="preserve"> HYPERLINK \l "_Toc118891170" \h </w:instrText>
          </w:r>
          <w:r>
            <w:fldChar w:fldCharType="separate"/>
          </w:r>
          <w:r>
            <w:rPr>
              <w:rStyle w:val="77"/>
              <w:rFonts w:ascii="Times New Roman" w:hAnsi="Times New Roman"/>
              <w:u w:val="none"/>
            </w:rPr>
            <w:t>第十四节</w:t>
          </w:r>
          <w:r>
            <w:rPr>
              <w:rStyle w:val="77"/>
              <w:rFonts w:ascii="Times New Roman" w:hAnsi="Times New Roman" w:eastAsiaTheme="minorEastAsia"/>
            </w:rPr>
            <w:tab/>
          </w:r>
          <w:r>
            <w:rPr>
              <w:rStyle w:val="77"/>
              <w:rFonts w:ascii="Times New Roman" w:hAnsi="Times New Roman"/>
              <w:u w:val="none"/>
            </w:rPr>
            <w:t>信息披露安排</w:t>
          </w:r>
          <w:r>
            <w:fldChar w:fldCharType="begin"/>
          </w:r>
          <w:r>
            <w:instrText xml:space="preserve">PAGEREF _Toc118891170 \h</w:instrText>
          </w:r>
          <w:r>
            <w:fldChar w:fldCharType="separate"/>
          </w:r>
          <w:r>
            <w:rPr>
              <w:rStyle w:val="77"/>
              <w:rFonts w:ascii="Times New Roman" w:hAnsi="Times New Roman"/>
            </w:rPr>
            <w:tab/>
          </w:r>
          <w:r>
            <w:rPr>
              <w:rStyle w:val="77"/>
              <w:rFonts w:ascii="Times New Roman" w:hAnsi="Times New Roman"/>
            </w:rPr>
            <w:t>32</w:t>
          </w:r>
          <w:r>
            <w:fldChar w:fldCharType="end"/>
          </w:r>
          <w:r>
            <w:fldChar w:fldCharType="end"/>
          </w:r>
        </w:p>
        <w:p w14:paraId="0ECBFAA2">
          <w:pPr>
            <w:pStyle w:val="27"/>
            <w:rPr>
              <w:rFonts w:ascii="Times New Roman" w:hAnsi="Times New Roman" w:eastAsiaTheme="minorEastAsia"/>
            </w:rPr>
          </w:pPr>
          <w:r>
            <w:fldChar w:fldCharType="begin"/>
          </w:r>
          <w:r>
            <w:instrText xml:space="preserve"> HYPERLINK \l "_Toc118891171" \h </w:instrText>
          </w:r>
          <w:r>
            <w:fldChar w:fldCharType="separate"/>
          </w:r>
          <w:r>
            <w:rPr>
              <w:rStyle w:val="77"/>
              <w:rFonts w:ascii="Times New Roman" w:hAnsi="Times New Roman"/>
              <w:u w:val="none"/>
            </w:rPr>
            <w:t>第十五节</w:t>
          </w:r>
          <w:r>
            <w:rPr>
              <w:rStyle w:val="77"/>
              <w:rFonts w:ascii="Times New Roman" w:hAnsi="Times New Roman" w:eastAsiaTheme="minorEastAsia"/>
            </w:rPr>
            <w:tab/>
          </w:r>
          <w:r>
            <w:rPr>
              <w:rStyle w:val="77"/>
              <w:rFonts w:ascii="Times New Roman" w:hAnsi="Times New Roman"/>
              <w:u w:val="none"/>
            </w:rPr>
            <w:t>资产支持证券持有人会议相关安排</w:t>
          </w:r>
          <w:r>
            <w:fldChar w:fldCharType="begin"/>
          </w:r>
          <w:r>
            <w:instrText xml:space="preserve">PAGEREF _Toc118891171 \h</w:instrText>
          </w:r>
          <w:r>
            <w:fldChar w:fldCharType="separate"/>
          </w:r>
          <w:r>
            <w:rPr>
              <w:rStyle w:val="77"/>
              <w:rFonts w:ascii="Times New Roman" w:hAnsi="Times New Roman"/>
            </w:rPr>
            <w:tab/>
          </w:r>
          <w:r>
            <w:rPr>
              <w:rStyle w:val="77"/>
              <w:rFonts w:ascii="Times New Roman" w:hAnsi="Times New Roman"/>
            </w:rPr>
            <w:t>33</w:t>
          </w:r>
          <w:r>
            <w:fldChar w:fldCharType="end"/>
          </w:r>
          <w:r>
            <w:fldChar w:fldCharType="end"/>
          </w:r>
        </w:p>
        <w:p w14:paraId="0393F09E">
          <w:pPr>
            <w:pStyle w:val="27"/>
            <w:rPr>
              <w:rFonts w:ascii="Times New Roman" w:hAnsi="Times New Roman" w:eastAsiaTheme="minorEastAsia"/>
            </w:rPr>
          </w:pPr>
          <w:r>
            <w:fldChar w:fldCharType="begin"/>
          </w:r>
          <w:r>
            <w:instrText xml:space="preserve"> HYPERLINK \l "_Toc118891172" \h </w:instrText>
          </w:r>
          <w:r>
            <w:fldChar w:fldCharType="separate"/>
          </w:r>
          <w:r>
            <w:rPr>
              <w:rStyle w:val="77"/>
              <w:rFonts w:ascii="Times New Roman" w:hAnsi="Times New Roman"/>
              <w:u w:val="none"/>
            </w:rPr>
            <w:t>第十六节</w:t>
          </w:r>
          <w:r>
            <w:rPr>
              <w:rStyle w:val="77"/>
              <w:rFonts w:ascii="Times New Roman" w:hAnsi="Times New Roman" w:eastAsiaTheme="minorEastAsia"/>
            </w:rPr>
            <w:tab/>
          </w:r>
          <w:r>
            <w:rPr>
              <w:rStyle w:val="77"/>
              <w:rFonts w:ascii="Times New Roman" w:hAnsi="Times New Roman"/>
              <w:u w:val="none"/>
            </w:rPr>
            <w:t>主要交易文件摘要</w:t>
          </w:r>
          <w:r>
            <w:fldChar w:fldCharType="begin"/>
          </w:r>
          <w:r>
            <w:instrText xml:space="preserve">PAGEREF _Toc118891172 \h</w:instrText>
          </w:r>
          <w:r>
            <w:fldChar w:fldCharType="separate"/>
          </w:r>
          <w:r>
            <w:rPr>
              <w:rStyle w:val="77"/>
              <w:rFonts w:ascii="Times New Roman" w:hAnsi="Times New Roman"/>
            </w:rPr>
            <w:tab/>
          </w:r>
          <w:r>
            <w:rPr>
              <w:rStyle w:val="77"/>
              <w:rFonts w:ascii="Times New Roman" w:hAnsi="Times New Roman"/>
            </w:rPr>
            <w:t>33</w:t>
          </w:r>
          <w:r>
            <w:fldChar w:fldCharType="end"/>
          </w:r>
          <w:r>
            <w:fldChar w:fldCharType="end"/>
          </w:r>
        </w:p>
        <w:p w14:paraId="5F3B63D6">
          <w:pPr>
            <w:pStyle w:val="27"/>
            <w:rPr>
              <w:rFonts w:ascii="Times New Roman" w:hAnsi="Times New Roman" w:eastAsiaTheme="minorEastAsia"/>
            </w:rPr>
          </w:pPr>
          <w:r>
            <w:fldChar w:fldCharType="begin"/>
          </w:r>
          <w:r>
            <w:instrText xml:space="preserve"> HYPERLINK \l "_Toc118891173" \h </w:instrText>
          </w:r>
          <w:r>
            <w:fldChar w:fldCharType="separate"/>
          </w:r>
          <w:r>
            <w:rPr>
              <w:rStyle w:val="77"/>
              <w:rFonts w:ascii="Times New Roman" w:hAnsi="Times New Roman"/>
              <w:u w:val="none"/>
            </w:rPr>
            <w:t>第十七节</w:t>
          </w:r>
          <w:r>
            <w:rPr>
              <w:rStyle w:val="77"/>
              <w:rFonts w:ascii="Times New Roman" w:hAnsi="Times New Roman" w:eastAsiaTheme="minorEastAsia"/>
            </w:rPr>
            <w:tab/>
          </w:r>
          <w:r>
            <w:rPr>
              <w:rStyle w:val="77"/>
              <w:rFonts w:ascii="Times New Roman" w:hAnsi="Times New Roman"/>
              <w:u w:val="none"/>
            </w:rPr>
            <w:t>主要参与人重大利益关系说明</w:t>
          </w:r>
          <w:r>
            <w:fldChar w:fldCharType="begin"/>
          </w:r>
          <w:r>
            <w:instrText xml:space="preserve">PAGEREF _Toc118891173 \h</w:instrText>
          </w:r>
          <w:r>
            <w:fldChar w:fldCharType="separate"/>
          </w:r>
          <w:r>
            <w:rPr>
              <w:rStyle w:val="77"/>
              <w:rFonts w:ascii="Times New Roman" w:hAnsi="Times New Roman"/>
            </w:rPr>
            <w:tab/>
          </w:r>
          <w:r>
            <w:rPr>
              <w:rStyle w:val="77"/>
              <w:rFonts w:ascii="Times New Roman" w:hAnsi="Times New Roman"/>
            </w:rPr>
            <w:t>33</w:t>
          </w:r>
          <w:r>
            <w:fldChar w:fldCharType="end"/>
          </w:r>
          <w:r>
            <w:fldChar w:fldCharType="end"/>
          </w:r>
        </w:p>
        <w:p w14:paraId="72638272">
          <w:pPr>
            <w:pStyle w:val="27"/>
            <w:rPr>
              <w:rFonts w:ascii="Times New Roman" w:hAnsi="Times New Roman" w:eastAsiaTheme="minorEastAsia"/>
            </w:rPr>
          </w:pPr>
          <w:r>
            <w:fldChar w:fldCharType="begin"/>
          </w:r>
          <w:r>
            <w:instrText xml:space="preserve"> HYPERLINK \l "_Toc118891174" \h </w:instrText>
          </w:r>
          <w:r>
            <w:fldChar w:fldCharType="separate"/>
          </w:r>
          <w:r>
            <w:rPr>
              <w:rStyle w:val="77"/>
              <w:rFonts w:ascii="Times New Roman" w:hAnsi="Times New Roman"/>
              <w:u w:val="none"/>
            </w:rPr>
            <w:t>第十八节</w:t>
          </w:r>
          <w:r>
            <w:rPr>
              <w:rStyle w:val="77"/>
              <w:rFonts w:ascii="Times New Roman" w:hAnsi="Times New Roman" w:eastAsiaTheme="minorEastAsia"/>
            </w:rPr>
            <w:tab/>
          </w:r>
          <w:r>
            <w:rPr>
              <w:rStyle w:val="77"/>
              <w:rFonts w:ascii="Times New Roman" w:hAnsi="Times New Roman"/>
              <w:u w:val="none"/>
            </w:rPr>
            <w:t>管理人变更安排</w:t>
          </w:r>
          <w:r>
            <w:fldChar w:fldCharType="begin"/>
          </w:r>
          <w:r>
            <w:instrText xml:space="preserve">PAGEREF _Toc118891174 \h</w:instrText>
          </w:r>
          <w:r>
            <w:fldChar w:fldCharType="separate"/>
          </w:r>
          <w:r>
            <w:rPr>
              <w:rStyle w:val="77"/>
              <w:rFonts w:ascii="Times New Roman" w:hAnsi="Times New Roman"/>
            </w:rPr>
            <w:tab/>
          </w:r>
          <w:r>
            <w:rPr>
              <w:rStyle w:val="77"/>
              <w:rFonts w:ascii="Times New Roman" w:hAnsi="Times New Roman"/>
            </w:rPr>
            <w:t>34</w:t>
          </w:r>
          <w:r>
            <w:fldChar w:fldCharType="end"/>
          </w:r>
          <w:r>
            <w:fldChar w:fldCharType="end"/>
          </w:r>
        </w:p>
        <w:p w14:paraId="0FFDDCBA">
          <w:pPr>
            <w:pStyle w:val="27"/>
            <w:rPr>
              <w:rFonts w:ascii="Times New Roman" w:hAnsi="Times New Roman" w:eastAsiaTheme="minorEastAsia"/>
            </w:rPr>
          </w:pPr>
          <w:r>
            <w:fldChar w:fldCharType="begin"/>
          </w:r>
          <w:r>
            <w:instrText xml:space="preserve"> HYPERLINK \l "_Toc118891175" \h </w:instrText>
          </w:r>
          <w:r>
            <w:fldChar w:fldCharType="separate"/>
          </w:r>
          <w:r>
            <w:rPr>
              <w:rStyle w:val="77"/>
              <w:rFonts w:ascii="Times New Roman" w:hAnsi="Times New Roman"/>
              <w:u w:val="none"/>
            </w:rPr>
            <w:t>第十九节</w:t>
          </w:r>
          <w:r>
            <w:rPr>
              <w:rStyle w:val="77"/>
              <w:rFonts w:ascii="Times New Roman" w:hAnsi="Times New Roman" w:eastAsiaTheme="minorEastAsia"/>
            </w:rPr>
            <w:tab/>
          </w:r>
          <w:r>
            <w:rPr>
              <w:rStyle w:val="77"/>
              <w:rFonts w:ascii="Times New Roman" w:hAnsi="Times New Roman"/>
              <w:u w:val="none"/>
            </w:rPr>
            <w:t>违约责任与争议解决</w:t>
          </w:r>
          <w:r>
            <w:fldChar w:fldCharType="begin"/>
          </w:r>
          <w:r>
            <w:instrText xml:space="preserve">PAGEREF _Toc118891175 \h</w:instrText>
          </w:r>
          <w:r>
            <w:fldChar w:fldCharType="separate"/>
          </w:r>
          <w:r>
            <w:rPr>
              <w:rStyle w:val="77"/>
              <w:rFonts w:ascii="Times New Roman" w:hAnsi="Times New Roman"/>
            </w:rPr>
            <w:tab/>
          </w:r>
          <w:r>
            <w:rPr>
              <w:rStyle w:val="77"/>
              <w:rFonts w:ascii="Times New Roman" w:hAnsi="Times New Roman"/>
            </w:rPr>
            <w:t>34</w:t>
          </w:r>
          <w:r>
            <w:fldChar w:fldCharType="end"/>
          </w:r>
          <w:r>
            <w:fldChar w:fldCharType="end"/>
          </w:r>
        </w:p>
        <w:p w14:paraId="7B911621">
          <w:pPr>
            <w:pStyle w:val="27"/>
            <w:rPr>
              <w:rFonts w:ascii="Times New Roman" w:hAnsi="Times New Roman" w:eastAsiaTheme="minorEastAsia"/>
            </w:rPr>
          </w:pPr>
          <w:r>
            <w:fldChar w:fldCharType="begin"/>
          </w:r>
          <w:r>
            <w:instrText xml:space="preserve"> HYPERLINK \l "_Toc118891176" \h </w:instrText>
          </w:r>
          <w:r>
            <w:fldChar w:fldCharType="separate"/>
          </w:r>
          <w:r>
            <w:rPr>
              <w:rStyle w:val="77"/>
              <w:rFonts w:ascii="Times New Roman" w:hAnsi="Times New Roman"/>
              <w:u w:val="none"/>
            </w:rPr>
            <w:t>第二十节</w:t>
          </w:r>
          <w:r>
            <w:rPr>
              <w:rStyle w:val="77"/>
              <w:rFonts w:ascii="Times New Roman" w:hAnsi="Times New Roman" w:eastAsiaTheme="minorEastAsia"/>
            </w:rPr>
            <w:tab/>
          </w:r>
          <w:r>
            <w:rPr>
              <w:rStyle w:val="77"/>
              <w:rFonts w:ascii="Times New Roman" w:hAnsi="Times New Roman"/>
              <w:u w:val="none"/>
            </w:rPr>
            <w:t>备查文件存放及查阅方式</w:t>
          </w:r>
          <w:r>
            <w:fldChar w:fldCharType="begin"/>
          </w:r>
          <w:r>
            <w:instrText xml:space="preserve">PAGEREF _Toc118891176 \h</w:instrText>
          </w:r>
          <w:r>
            <w:fldChar w:fldCharType="separate"/>
          </w:r>
          <w:r>
            <w:rPr>
              <w:rStyle w:val="77"/>
              <w:rFonts w:ascii="Times New Roman" w:hAnsi="Times New Roman"/>
            </w:rPr>
            <w:tab/>
          </w:r>
          <w:r>
            <w:rPr>
              <w:rStyle w:val="77"/>
              <w:rFonts w:ascii="Times New Roman" w:hAnsi="Times New Roman"/>
            </w:rPr>
            <w:t>34</w:t>
          </w:r>
          <w:r>
            <w:fldChar w:fldCharType="end"/>
          </w:r>
          <w:r>
            <w:fldChar w:fldCharType="end"/>
          </w:r>
        </w:p>
        <w:p w14:paraId="58F5E524">
          <w:pPr>
            <w:pStyle w:val="23"/>
            <w:rPr>
              <w:rFonts w:ascii="Times New Roman" w:hAnsi="Times New Roman" w:eastAsiaTheme="minorEastAsia"/>
              <w:b w:val="0"/>
              <w:sz w:val="21"/>
              <w:szCs w:val="22"/>
            </w:rPr>
          </w:pPr>
          <w:r>
            <w:fldChar w:fldCharType="begin"/>
          </w:r>
          <w:r>
            <w:instrText xml:space="preserve"> HYPERLINK \l "_Toc118891177" \h </w:instrText>
          </w:r>
          <w:r>
            <w:fldChar w:fldCharType="separate"/>
          </w:r>
          <w:r>
            <w:rPr>
              <w:rStyle w:val="77"/>
              <w:rFonts w:ascii="Times New Roman" w:hAnsi="Times New Roman"/>
              <w:u w:val="none"/>
            </w:rPr>
            <w:t>第四章</w:t>
          </w:r>
          <w:r>
            <w:rPr>
              <w:rStyle w:val="77"/>
              <w:rFonts w:ascii="Times New Roman" w:hAnsi="Times New Roman" w:eastAsiaTheme="minorEastAsia"/>
              <w:b w:val="0"/>
              <w:sz w:val="21"/>
              <w:szCs w:val="22"/>
            </w:rPr>
            <w:tab/>
          </w:r>
          <w:r>
            <w:rPr>
              <w:rStyle w:val="77"/>
              <w:rFonts w:ascii="Times New Roman" w:hAnsi="Times New Roman"/>
              <w:u w:val="none"/>
            </w:rPr>
            <w:t>基础资产信息披露要求</w:t>
          </w:r>
          <w:r>
            <w:fldChar w:fldCharType="begin"/>
          </w:r>
          <w:r>
            <w:instrText xml:space="preserve">PAGEREF _Toc118891177 \h</w:instrText>
          </w:r>
          <w:r>
            <w:fldChar w:fldCharType="separate"/>
          </w:r>
          <w:r>
            <w:rPr>
              <w:rStyle w:val="77"/>
              <w:rFonts w:ascii="Times New Roman" w:hAnsi="Times New Roman"/>
            </w:rPr>
            <w:tab/>
          </w:r>
          <w:r>
            <w:rPr>
              <w:rStyle w:val="77"/>
              <w:rFonts w:ascii="Times New Roman" w:hAnsi="Times New Roman"/>
            </w:rPr>
            <w:t>36</w:t>
          </w:r>
          <w:r>
            <w:fldChar w:fldCharType="end"/>
          </w:r>
          <w:r>
            <w:fldChar w:fldCharType="end"/>
          </w:r>
        </w:p>
        <w:p w14:paraId="7F4D21CC">
          <w:pPr>
            <w:pStyle w:val="27"/>
            <w:rPr>
              <w:rFonts w:ascii="Times New Roman" w:hAnsi="Times New Roman" w:eastAsiaTheme="minorEastAsia"/>
            </w:rPr>
          </w:pPr>
          <w:r>
            <w:fldChar w:fldCharType="begin"/>
          </w:r>
          <w:r>
            <w:instrText xml:space="preserve"> HYPERLINK \l "_Toc118891178" \h </w:instrText>
          </w:r>
          <w:r>
            <w:fldChar w:fldCharType="separate"/>
          </w:r>
          <w:r>
            <w:rPr>
              <w:rStyle w:val="77"/>
              <w:rFonts w:ascii="Times New Roman" w:hAnsi="Times New Roman"/>
              <w:u w:val="none"/>
            </w:rPr>
            <w:t>第一节</w:t>
          </w:r>
          <w:r>
            <w:rPr>
              <w:rStyle w:val="77"/>
              <w:rFonts w:ascii="Times New Roman" w:hAnsi="Times New Roman" w:eastAsiaTheme="minorEastAsia"/>
            </w:rPr>
            <w:tab/>
          </w:r>
          <w:r>
            <w:rPr>
              <w:rStyle w:val="77"/>
              <w:rFonts w:ascii="Times New Roman" w:hAnsi="Times New Roman"/>
              <w:u w:val="none"/>
            </w:rPr>
            <w:t>债权类</w:t>
          </w:r>
          <w:r>
            <w:fldChar w:fldCharType="begin"/>
          </w:r>
          <w:r>
            <w:instrText xml:space="preserve">PAGEREF _Toc118891178 \h</w:instrText>
          </w:r>
          <w:r>
            <w:fldChar w:fldCharType="separate"/>
          </w:r>
          <w:r>
            <w:rPr>
              <w:rStyle w:val="77"/>
              <w:rFonts w:ascii="Times New Roman" w:hAnsi="Times New Roman"/>
            </w:rPr>
            <w:tab/>
          </w:r>
          <w:r>
            <w:rPr>
              <w:rStyle w:val="77"/>
              <w:rFonts w:ascii="Times New Roman" w:hAnsi="Times New Roman"/>
            </w:rPr>
            <w:t>36</w:t>
          </w:r>
          <w:r>
            <w:fldChar w:fldCharType="end"/>
          </w:r>
          <w:r>
            <w:fldChar w:fldCharType="end"/>
          </w:r>
        </w:p>
        <w:p w14:paraId="13BDC737">
          <w:pPr>
            <w:pStyle w:val="27"/>
            <w:rPr>
              <w:rFonts w:ascii="Times New Roman" w:hAnsi="Times New Roman" w:eastAsiaTheme="minorEastAsia"/>
            </w:rPr>
          </w:pPr>
          <w:r>
            <w:fldChar w:fldCharType="begin"/>
          </w:r>
          <w:r>
            <w:instrText xml:space="preserve"> HYPERLINK \l "_Toc118891179" \h </w:instrText>
          </w:r>
          <w:r>
            <w:fldChar w:fldCharType="separate"/>
          </w:r>
          <w:r>
            <w:rPr>
              <w:rStyle w:val="77"/>
              <w:rFonts w:ascii="Times New Roman" w:hAnsi="Times New Roman"/>
              <w:u w:val="none"/>
            </w:rPr>
            <w:t>第二节</w:t>
          </w:r>
          <w:r>
            <w:rPr>
              <w:rStyle w:val="77"/>
              <w:rFonts w:ascii="Times New Roman" w:hAnsi="Times New Roman" w:eastAsiaTheme="minorEastAsia"/>
            </w:rPr>
            <w:tab/>
          </w:r>
          <w:r>
            <w:rPr>
              <w:rStyle w:val="77"/>
              <w:rFonts w:ascii="Times New Roman" w:hAnsi="Times New Roman"/>
              <w:u w:val="none"/>
            </w:rPr>
            <w:t>未来经营收入类</w:t>
          </w:r>
          <w:r>
            <w:fldChar w:fldCharType="begin"/>
          </w:r>
          <w:r>
            <w:instrText xml:space="preserve">PAGEREF _Toc118891179 \h</w:instrText>
          </w:r>
          <w:r>
            <w:fldChar w:fldCharType="separate"/>
          </w:r>
          <w:r>
            <w:rPr>
              <w:rStyle w:val="77"/>
              <w:rFonts w:ascii="Times New Roman" w:hAnsi="Times New Roman"/>
            </w:rPr>
            <w:tab/>
          </w:r>
          <w:r>
            <w:rPr>
              <w:rStyle w:val="77"/>
              <w:rFonts w:ascii="Times New Roman" w:hAnsi="Times New Roman"/>
            </w:rPr>
            <w:t>41</w:t>
          </w:r>
          <w:r>
            <w:fldChar w:fldCharType="end"/>
          </w:r>
          <w:r>
            <w:fldChar w:fldCharType="end"/>
          </w:r>
        </w:p>
        <w:p w14:paraId="19DA98CB">
          <w:pPr>
            <w:pStyle w:val="27"/>
            <w:rPr>
              <w:rFonts w:ascii="Times New Roman" w:hAnsi="Times New Roman" w:eastAsiaTheme="minorEastAsia"/>
            </w:rPr>
          </w:pPr>
          <w:r>
            <w:fldChar w:fldCharType="begin"/>
          </w:r>
          <w:r>
            <w:instrText xml:space="preserve"> HYPERLINK \l "_Toc118891180" \h </w:instrText>
          </w:r>
          <w:r>
            <w:fldChar w:fldCharType="separate"/>
          </w:r>
          <w:r>
            <w:rPr>
              <w:rStyle w:val="77"/>
              <w:rFonts w:ascii="Times New Roman" w:hAnsi="Times New Roman"/>
              <w:u w:val="none"/>
            </w:rPr>
            <w:t>第三节</w:t>
          </w:r>
          <w:r>
            <w:rPr>
              <w:rStyle w:val="77"/>
              <w:rFonts w:ascii="Times New Roman" w:hAnsi="Times New Roman" w:eastAsiaTheme="minorEastAsia"/>
            </w:rPr>
            <w:tab/>
          </w:r>
          <w:r>
            <w:rPr>
              <w:rStyle w:val="77"/>
              <w:rFonts w:ascii="Times New Roman" w:hAnsi="Times New Roman"/>
              <w:u w:val="none"/>
            </w:rPr>
            <w:t>不动产抵押贷款</w:t>
          </w:r>
          <w:r>
            <w:fldChar w:fldCharType="begin"/>
          </w:r>
          <w:r>
            <w:instrText xml:space="preserve">PAGEREF _Toc118891180 \h</w:instrText>
          </w:r>
          <w:r>
            <w:fldChar w:fldCharType="separate"/>
          </w:r>
          <w:r>
            <w:rPr>
              <w:rStyle w:val="77"/>
              <w:rFonts w:ascii="Times New Roman" w:hAnsi="Times New Roman"/>
            </w:rPr>
            <w:tab/>
          </w:r>
          <w:r>
            <w:rPr>
              <w:rStyle w:val="77"/>
              <w:rFonts w:ascii="Times New Roman" w:hAnsi="Times New Roman"/>
            </w:rPr>
            <w:t>48</w:t>
          </w:r>
          <w:r>
            <w:fldChar w:fldCharType="end"/>
          </w:r>
          <w:r>
            <w:fldChar w:fldCharType="end"/>
          </w:r>
        </w:p>
        <w:p w14:paraId="49DC728E">
          <w:pPr>
            <w:pStyle w:val="23"/>
            <w:rPr>
              <w:rFonts w:ascii="Times New Roman" w:hAnsi="Times New Roman" w:eastAsiaTheme="minorEastAsia"/>
              <w:b w:val="0"/>
              <w:sz w:val="21"/>
              <w:szCs w:val="22"/>
            </w:rPr>
          </w:pPr>
          <w:r>
            <w:fldChar w:fldCharType="begin"/>
          </w:r>
          <w:r>
            <w:instrText xml:space="preserve"> HYPERLINK \l "_Toc118891181" \h </w:instrText>
          </w:r>
          <w:r>
            <w:fldChar w:fldCharType="separate"/>
          </w:r>
          <w:r>
            <w:rPr>
              <w:rStyle w:val="77"/>
              <w:rFonts w:ascii="Times New Roman" w:hAnsi="Times New Roman"/>
              <w:u w:val="none"/>
            </w:rPr>
            <w:t>第五章</w:t>
          </w:r>
          <w:r>
            <w:rPr>
              <w:rStyle w:val="77"/>
              <w:rFonts w:ascii="Times New Roman" w:hAnsi="Times New Roman" w:eastAsiaTheme="minorEastAsia"/>
              <w:b w:val="0"/>
              <w:sz w:val="21"/>
              <w:szCs w:val="22"/>
            </w:rPr>
            <w:tab/>
          </w:r>
          <w:r>
            <w:rPr>
              <w:rStyle w:val="77"/>
              <w:rFonts w:ascii="Times New Roman" w:hAnsi="Times New Roman"/>
              <w:u w:val="none"/>
            </w:rPr>
            <w:t>证券服务机构相关报告编制要求</w:t>
          </w:r>
          <w:r>
            <w:fldChar w:fldCharType="begin"/>
          </w:r>
          <w:r>
            <w:instrText xml:space="preserve">PAGEREF _Toc118891181 \h</w:instrText>
          </w:r>
          <w:r>
            <w:fldChar w:fldCharType="separate"/>
          </w:r>
          <w:r>
            <w:rPr>
              <w:rStyle w:val="77"/>
              <w:rFonts w:ascii="Times New Roman" w:hAnsi="Times New Roman"/>
            </w:rPr>
            <w:tab/>
          </w:r>
          <w:r>
            <w:rPr>
              <w:rStyle w:val="77"/>
              <w:rFonts w:ascii="Times New Roman" w:hAnsi="Times New Roman"/>
            </w:rPr>
            <w:t>50</w:t>
          </w:r>
          <w:r>
            <w:fldChar w:fldCharType="end"/>
          </w:r>
          <w:r>
            <w:fldChar w:fldCharType="end"/>
          </w:r>
        </w:p>
        <w:p w14:paraId="12DB7276">
          <w:pPr>
            <w:pStyle w:val="27"/>
            <w:rPr>
              <w:rFonts w:ascii="Times New Roman" w:hAnsi="Times New Roman" w:eastAsiaTheme="minorEastAsia"/>
            </w:rPr>
          </w:pPr>
          <w:r>
            <w:fldChar w:fldCharType="begin"/>
          </w:r>
          <w:r>
            <w:instrText xml:space="preserve"> HYPERLINK \l "_Toc118891182" \h </w:instrText>
          </w:r>
          <w:r>
            <w:fldChar w:fldCharType="separate"/>
          </w:r>
          <w:r>
            <w:rPr>
              <w:rStyle w:val="77"/>
              <w:rFonts w:ascii="Times New Roman" w:hAnsi="Times New Roman"/>
              <w:u w:val="none"/>
            </w:rPr>
            <w:t>第一节</w:t>
          </w:r>
          <w:r>
            <w:rPr>
              <w:rStyle w:val="77"/>
              <w:rFonts w:ascii="Times New Roman" w:hAnsi="Times New Roman" w:eastAsiaTheme="minorEastAsia"/>
            </w:rPr>
            <w:tab/>
          </w:r>
          <w:r>
            <w:rPr>
              <w:rStyle w:val="77"/>
              <w:rFonts w:ascii="Times New Roman" w:hAnsi="Times New Roman"/>
              <w:u w:val="none"/>
            </w:rPr>
            <w:t>法律意见书</w:t>
          </w:r>
          <w:r>
            <w:fldChar w:fldCharType="begin"/>
          </w:r>
          <w:r>
            <w:instrText xml:space="preserve">PAGEREF _Toc118891182 \h</w:instrText>
          </w:r>
          <w:r>
            <w:fldChar w:fldCharType="separate"/>
          </w:r>
          <w:r>
            <w:rPr>
              <w:rStyle w:val="77"/>
              <w:rFonts w:ascii="Times New Roman" w:hAnsi="Times New Roman"/>
            </w:rPr>
            <w:tab/>
          </w:r>
          <w:r>
            <w:rPr>
              <w:rStyle w:val="77"/>
              <w:rFonts w:ascii="Times New Roman" w:hAnsi="Times New Roman"/>
            </w:rPr>
            <w:t>50</w:t>
          </w:r>
          <w:r>
            <w:fldChar w:fldCharType="end"/>
          </w:r>
          <w:r>
            <w:fldChar w:fldCharType="end"/>
          </w:r>
        </w:p>
        <w:p w14:paraId="082AF816">
          <w:pPr>
            <w:pStyle w:val="27"/>
            <w:rPr>
              <w:rFonts w:ascii="Times New Roman" w:hAnsi="Times New Roman" w:eastAsiaTheme="minorEastAsia"/>
            </w:rPr>
          </w:pPr>
          <w:r>
            <w:fldChar w:fldCharType="begin"/>
          </w:r>
          <w:r>
            <w:instrText xml:space="preserve"> HYPERLINK \l "_Toc118891183" \h </w:instrText>
          </w:r>
          <w:r>
            <w:fldChar w:fldCharType="separate"/>
          </w:r>
          <w:r>
            <w:rPr>
              <w:rStyle w:val="77"/>
              <w:rFonts w:ascii="Times New Roman" w:hAnsi="Times New Roman"/>
              <w:u w:val="none"/>
            </w:rPr>
            <w:t>第二节</w:t>
          </w:r>
          <w:r>
            <w:rPr>
              <w:rStyle w:val="77"/>
              <w:rFonts w:ascii="Times New Roman" w:hAnsi="Times New Roman"/>
              <w:u w:val="none"/>
            </w:rPr>
            <w:tab/>
          </w:r>
          <w:r>
            <w:rPr>
              <w:rStyle w:val="77"/>
              <w:rFonts w:ascii="Times New Roman" w:hAnsi="Times New Roman"/>
              <w:u w:val="none"/>
            </w:rPr>
            <w:t>信用评级报告（如有）</w:t>
          </w:r>
          <w:r>
            <w:fldChar w:fldCharType="begin"/>
          </w:r>
          <w:r>
            <w:instrText xml:space="preserve">PAGEREF _Toc118891183 \h</w:instrText>
          </w:r>
          <w:r>
            <w:fldChar w:fldCharType="separate"/>
          </w:r>
          <w:r>
            <w:rPr>
              <w:rStyle w:val="77"/>
              <w:rFonts w:ascii="Times New Roman" w:hAnsi="Times New Roman"/>
            </w:rPr>
            <w:tab/>
          </w:r>
          <w:r>
            <w:rPr>
              <w:rStyle w:val="77"/>
              <w:rFonts w:ascii="Times New Roman" w:hAnsi="Times New Roman"/>
            </w:rPr>
            <w:t>53</w:t>
          </w:r>
          <w:r>
            <w:fldChar w:fldCharType="end"/>
          </w:r>
          <w:r>
            <w:fldChar w:fldCharType="end"/>
          </w:r>
        </w:p>
        <w:p w14:paraId="73CED845">
          <w:pPr>
            <w:pStyle w:val="27"/>
            <w:rPr>
              <w:rFonts w:ascii="Times New Roman" w:hAnsi="Times New Roman" w:eastAsiaTheme="minorEastAsia"/>
            </w:rPr>
          </w:pPr>
          <w:r>
            <w:fldChar w:fldCharType="begin"/>
          </w:r>
          <w:r>
            <w:instrText xml:space="preserve"> HYPERLINK \l "_Toc118891184" \h </w:instrText>
          </w:r>
          <w:r>
            <w:fldChar w:fldCharType="separate"/>
          </w:r>
          <w:r>
            <w:rPr>
              <w:rStyle w:val="77"/>
              <w:rFonts w:ascii="Times New Roman" w:hAnsi="Times New Roman"/>
              <w:kern w:val="0"/>
              <w:u w:val="none"/>
            </w:rPr>
            <w:t>第三节</w:t>
          </w:r>
          <w:r>
            <w:rPr>
              <w:rStyle w:val="77"/>
              <w:rFonts w:ascii="Times New Roman" w:hAnsi="Times New Roman"/>
              <w:kern w:val="0"/>
              <w:u w:val="none"/>
            </w:rPr>
            <w:tab/>
          </w:r>
          <w:r>
            <w:rPr>
              <w:rStyle w:val="77"/>
              <w:rFonts w:ascii="Times New Roman" w:hAnsi="Times New Roman"/>
              <w:kern w:val="0"/>
              <w:u w:val="none"/>
            </w:rPr>
            <w:t>现金流预测报告和资产评估报告</w:t>
          </w:r>
          <w:r>
            <w:fldChar w:fldCharType="begin"/>
          </w:r>
          <w:r>
            <w:instrText xml:space="preserve">PAGEREF _Toc118891184 \h</w:instrText>
          </w:r>
          <w:r>
            <w:fldChar w:fldCharType="separate"/>
          </w:r>
          <w:r>
            <w:rPr>
              <w:rStyle w:val="77"/>
              <w:rFonts w:ascii="Times New Roman" w:hAnsi="Times New Roman"/>
            </w:rPr>
            <w:tab/>
          </w:r>
          <w:r>
            <w:rPr>
              <w:rStyle w:val="77"/>
              <w:rFonts w:ascii="Times New Roman" w:hAnsi="Times New Roman"/>
            </w:rPr>
            <w:t>54</w:t>
          </w:r>
          <w:r>
            <w:fldChar w:fldCharType="end"/>
          </w:r>
          <w:r>
            <w:fldChar w:fldCharType="end"/>
          </w:r>
        </w:p>
        <w:p w14:paraId="434A69E5">
          <w:pPr>
            <w:pStyle w:val="23"/>
            <w:rPr>
              <w:rFonts w:ascii="Times New Roman" w:hAnsi="Times New Roman" w:eastAsiaTheme="minorEastAsia"/>
              <w:b w:val="0"/>
              <w:sz w:val="21"/>
              <w:szCs w:val="22"/>
            </w:rPr>
          </w:pPr>
          <w:r>
            <w:fldChar w:fldCharType="begin"/>
          </w:r>
          <w:r>
            <w:instrText xml:space="preserve"> HYPERLINK \l "_Toc118891185" \h </w:instrText>
          </w:r>
          <w:r>
            <w:fldChar w:fldCharType="separate"/>
          </w:r>
          <w:r>
            <w:rPr>
              <w:rStyle w:val="77"/>
              <w:rFonts w:ascii="Times New Roman" w:hAnsi="Times New Roman"/>
              <w:u w:val="none"/>
            </w:rPr>
            <w:t>第六章</w:t>
          </w:r>
          <w:r>
            <w:rPr>
              <w:rStyle w:val="77"/>
              <w:rFonts w:ascii="Times New Roman" w:hAnsi="Times New Roman" w:eastAsiaTheme="minorEastAsia"/>
              <w:b w:val="0"/>
              <w:sz w:val="21"/>
              <w:szCs w:val="22"/>
            </w:rPr>
            <w:tab/>
          </w:r>
          <w:r>
            <w:rPr>
              <w:rStyle w:val="77"/>
              <w:rFonts w:ascii="Times New Roman" w:hAnsi="Times New Roman"/>
              <w:u w:val="none"/>
            </w:rPr>
            <w:t>附则</w:t>
          </w:r>
          <w:r>
            <w:fldChar w:fldCharType="begin"/>
          </w:r>
          <w:r>
            <w:instrText xml:space="preserve">PAGEREF _Toc118891185 \h</w:instrText>
          </w:r>
          <w:r>
            <w:fldChar w:fldCharType="separate"/>
          </w:r>
          <w:r>
            <w:rPr>
              <w:rStyle w:val="77"/>
              <w:rFonts w:ascii="Times New Roman" w:hAnsi="Times New Roman"/>
            </w:rPr>
            <w:tab/>
          </w:r>
          <w:r>
            <w:rPr>
              <w:rStyle w:val="77"/>
              <w:rFonts w:ascii="Times New Roman" w:hAnsi="Times New Roman"/>
            </w:rPr>
            <w:t>55</w:t>
          </w:r>
          <w:r>
            <w:fldChar w:fldCharType="end"/>
          </w:r>
          <w:r>
            <w:fldChar w:fldCharType="end"/>
          </w:r>
        </w:p>
        <w:p w14:paraId="405AC276">
          <w:pPr>
            <w:pStyle w:val="23"/>
            <w:rPr>
              <w:rFonts w:ascii="Times New Roman" w:hAnsi="Times New Roman" w:eastAsiaTheme="minorEastAsia"/>
              <w:b w:val="0"/>
              <w:sz w:val="21"/>
              <w:szCs w:val="22"/>
            </w:rPr>
          </w:pPr>
          <w:r>
            <w:fldChar w:fldCharType="begin"/>
          </w:r>
          <w:r>
            <w:instrText xml:space="preserve"> HYPERLINK \l "_Toc118891186" \h </w:instrText>
          </w:r>
          <w:r>
            <w:fldChar w:fldCharType="separate"/>
          </w:r>
          <w:r>
            <w:rPr>
              <w:rStyle w:val="77"/>
              <w:rFonts w:ascii="Times New Roman" w:hAnsi="Times New Roman"/>
              <w:u w:val="none"/>
            </w:rPr>
            <w:t>附件</w:t>
          </w:r>
          <w:r>
            <w:fldChar w:fldCharType="begin"/>
          </w:r>
          <w:r>
            <w:instrText xml:space="preserve">PAGEREF _Toc118891186 \h</w:instrText>
          </w:r>
          <w:r>
            <w:fldChar w:fldCharType="separate"/>
          </w:r>
          <w:r>
            <w:rPr>
              <w:rStyle w:val="77"/>
              <w:rFonts w:ascii="Times New Roman" w:hAnsi="Times New Roman"/>
            </w:rPr>
            <w:tab/>
          </w:r>
          <w:r>
            <w:rPr>
              <w:rStyle w:val="77"/>
              <w:rFonts w:ascii="Times New Roman" w:hAnsi="Times New Roman"/>
            </w:rPr>
            <w:tab/>
          </w:r>
          <w:r>
            <w:rPr>
              <w:rStyle w:val="77"/>
              <w:rFonts w:ascii="Times New Roman" w:hAnsi="Times New Roman"/>
            </w:rPr>
            <w:t>56</w:t>
          </w:r>
          <w:r>
            <w:fldChar w:fldCharType="end"/>
          </w:r>
          <w:r>
            <w:fldChar w:fldCharType="end"/>
          </w:r>
        </w:p>
        <w:p w14:paraId="43D3BC9D">
          <w:pPr>
            <w:pStyle w:val="27"/>
            <w:rPr>
              <w:rFonts w:ascii="Times New Roman" w:hAnsi="Times New Roman" w:eastAsiaTheme="minorEastAsia"/>
            </w:rPr>
          </w:pPr>
          <w:r>
            <w:fldChar w:fldCharType="begin"/>
          </w:r>
          <w:r>
            <w:instrText xml:space="preserve"> HYPERLINK \l "_Toc118891187" \h </w:instrText>
          </w:r>
          <w:r>
            <w:fldChar w:fldCharType="separate"/>
          </w:r>
          <w:r>
            <w:rPr>
              <w:rStyle w:val="77"/>
              <w:rFonts w:ascii="Times New Roman" w:hAnsi="Times New Roman"/>
              <w:iCs/>
              <w:u w:val="none"/>
            </w:rPr>
            <w:t>附件1：资产支持证券挂牌转让申请材料清单</w:t>
          </w:r>
          <w:r>
            <w:fldChar w:fldCharType="begin"/>
          </w:r>
          <w:r>
            <w:instrText xml:space="preserve">PAGEREF _Toc118891187 \h</w:instrText>
          </w:r>
          <w:r>
            <w:fldChar w:fldCharType="separate"/>
          </w:r>
          <w:r>
            <w:rPr>
              <w:rStyle w:val="77"/>
              <w:rFonts w:ascii="Times New Roman" w:hAnsi="Times New Roman"/>
            </w:rPr>
            <w:tab/>
          </w:r>
          <w:r>
            <w:rPr>
              <w:rStyle w:val="77"/>
              <w:rFonts w:ascii="Times New Roman" w:hAnsi="Times New Roman"/>
            </w:rPr>
            <w:t>56</w:t>
          </w:r>
          <w:r>
            <w:fldChar w:fldCharType="end"/>
          </w:r>
          <w:r>
            <w:fldChar w:fldCharType="end"/>
          </w:r>
        </w:p>
        <w:p w14:paraId="065B0631">
          <w:pPr>
            <w:pStyle w:val="27"/>
            <w:rPr>
              <w:rFonts w:ascii="Times New Roman" w:hAnsi="Times New Roman" w:eastAsiaTheme="minorEastAsia"/>
            </w:rPr>
          </w:pPr>
          <w:r>
            <w:fldChar w:fldCharType="begin"/>
          </w:r>
          <w:r>
            <w:instrText xml:space="preserve"> HYPERLINK \l "_Toc118891188" \h </w:instrText>
          </w:r>
          <w:r>
            <w:fldChar w:fldCharType="separate"/>
          </w:r>
          <w:r>
            <w:rPr>
              <w:rStyle w:val="77"/>
              <w:rFonts w:ascii="Times New Roman" w:hAnsi="Times New Roman"/>
              <w:iCs/>
              <w:u w:val="none"/>
            </w:rPr>
            <w:t>附件2：资产支持证券挂牌转让申请书</w:t>
          </w:r>
          <w:r>
            <w:fldChar w:fldCharType="begin"/>
          </w:r>
          <w:r>
            <w:instrText xml:space="preserve">PAGEREF _Toc118891188 \h</w:instrText>
          </w:r>
          <w:r>
            <w:fldChar w:fldCharType="separate"/>
          </w:r>
          <w:r>
            <w:rPr>
              <w:rStyle w:val="77"/>
              <w:rFonts w:ascii="Times New Roman" w:hAnsi="Times New Roman"/>
            </w:rPr>
            <w:tab/>
          </w:r>
          <w:r>
            <w:rPr>
              <w:rStyle w:val="77"/>
              <w:rFonts w:ascii="Times New Roman" w:hAnsi="Times New Roman"/>
            </w:rPr>
            <w:t>62</w:t>
          </w:r>
          <w:r>
            <w:fldChar w:fldCharType="end"/>
          </w:r>
          <w:r>
            <w:fldChar w:fldCharType="end"/>
          </w:r>
        </w:p>
        <w:p w14:paraId="0071B5FC">
          <w:pPr>
            <w:pStyle w:val="27"/>
            <w:rPr>
              <w:rFonts w:ascii="Times New Roman" w:hAnsi="Times New Roman" w:eastAsiaTheme="minorEastAsia"/>
            </w:rPr>
          </w:pPr>
          <w:r>
            <w:fldChar w:fldCharType="begin"/>
          </w:r>
          <w:r>
            <w:instrText xml:space="preserve"> HYPERLINK \l "_Toc118891189" \h </w:instrText>
          </w:r>
          <w:r>
            <w:fldChar w:fldCharType="separate"/>
          </w:r>
          <w:r>
            <w:rPr>
              <w:rStyle w:val="77"/>
              <w:rFonts w:ascii="Times New Roman" w:hAnsi="Times New Roman"/>
              <w:iCs/>
              <w:u w:val="none"/>
              <w:lang w:bidi="en-US"/>
            </w:rPr>
            <w:t>附件3：《</w:t>
          </w:r>
          <w:r>
            <w:rPr>
              <w:rStyle w:val="77"/>
              <w:rFonts w:ascii="Times New Roman" w:hAnsi="Times New Roman"/>
              <w:u w:val="none"/>
            </w:rPr>
            <w:t>管理人的合规审查意见</w:t>
          </w:r>
          <w:r>
            <w:rPr>
              <w:rStyle w:val="77"/>
              <w:rFonts w:ascii="Times New Roman" w:hAnsi="Times New Roman"/>
              <w:iCs/>
              <w:u w:val="none"/>
              <w:lang w:bidi="en-US"/>
            </w:rPr>
            <w:t>》参考格式</w:t>
          </w:r>
          <w:r>
            <w:fldChar w:fldCharType="begin"/>
          </w:r>
          <w:r>
            <w:instrText xml:space="preserve">PAGEREF _Toc118891189 \h</w:instrText>
          </w:r>
          <w:r>
            <w:fldChar w:fldCharType="separate"/>
          </w:r>
          <w:r>
            <w:rPr>
              <w:rStyle w:val="77"/>
              <w:rFonts w:ascii="Times New Roman" w:hAnsi="Times New Roman"/>
            </w:rPr>
            <w:tab/>
          </w:r>
          <w:r>
            <w:rPr>
              <w:rStyle w:val="77"/>
              <w:rFonts w:ascii="Times New Roman" w:hAnsi="Times New Roman"/>
            </w:rPr>
            <w:t>82</w:t>
          </w:r>
          <w:r>
            <w:fldChar w:fldCharType="end"/>
          </w:r>
          <w:r>
            <w:fldChar w:fldCharType="end"/>
          </w:r>
        </w:p>
        <w:p w14:paraId="56C63BAC">
          <w:pPr>
            <w:pStyle w:val="27"/>
            <w:rPr>
              <w:rFonts w:ascii="Times New Roman" w:hAnsi="Times New Roman" w:eastAsiaTheme="minorEastAsia"/>
            </w:rPr>
          </w:pPr>
          <w:r>
            <w:fldChar w:fldCharType="begin"/>
          </w:r>
          <w:r>
            <w:instrText xml:space="preserve"> HYPERLINK \l "_Toc118891190" \h </w:instrText>
          </w:r>
          <w:r>
            <w:fldChar w:fldCharType="separate"/>
          </w:r>
          <w:r>
            <w:rPr>
              <w:rStyle w:val="77"/>
              <w:rFonts w:ascii="Times New Roman" w:hAnsi="Times New Roman"/>
              <w:iCs/>
              <w:u w:val="none"/>
              <w:lang w:bidi="en-US"/>
            </w:rPr>
            <w:t>附件4：资产支持专项计划挂牌转让申请承诺履行事项登记表</w:t>
          </w:r>
          <w:r>
            <w:fldChar w:fldCharType="begin"/>
          </w:r>
          <w:r>
            <w:instrText xml:space="preserve">PAGEREF _Toc118891190 \h</w:instrText>
          </w:r>
          <w:r>
            <w:fldChar w:fldCharType="separate"/>
          </w:r>
          <w:r>
            <w:rPr>
              <w:rStyle w:val="77"/>
              <w:rFonts w:ascii="Times New Roman" w:hAnsi="Times New Roman"/>
            </w:rPr>
            <w:tab/>
          </w:r>
          <w:r>
            <w:rPr>
              <w:rStyle w:val="77"/>
              <w:rFonts w:ascii="Times New Roman" w:hAnsi="Times New Roman"/>
            </w:rPr>
            <w:t>85</w:t>
          </w:r>
          <w:r>
            <w:fldChar w:fldCharType="end"/>
          </w:r>
          <w:r>
            <w:fldChar w:fldCharType="end"/>
          </w:r>
        </w:p>
        <w:p w14:paraId="10BB37C7">
          <w:pPr>
            <w:pStyle w:val="27"/>
            <w:rPr>
              <w:rFonts w:ascii="Times New Roman" w:hAnsi="Times New Roman" w:eastAsiaTheme="minorEastAsia"/>
            </w:rPr>
          </w:pPr>
          <w:r>
            <w:fldChar w:fldCharType="begin"/>
          </w:r>
          <w:r>
            <w:instrText xml:space="preserve"> HYPERLINK \l "_Toc118891191" \h </w:instrText>
          </w:r>
          <w:r>
            <w:fldChar w:fldCharType="separate"/>
          </w:r>
          <w:r>
            <w:rPr>
              <w:rStyle w:val="77"/>
              <w:rFonts w:ascii="Times New Roman" w:hAnsi="Times New Roman"/>
              <w:iCs/>
              <w:u w:val="none"/>
              <w:lang w:bidi="en-US"/>
            </w:rPr>
            <w:t>附件5：</w:t>
          </w:r>
          <w:r>
            <w:rPr>
              <w:rStyle w:val="77"/>
              <w:rFonts w:ascii="Times New Roman" w:hAnsi="Times New Roman"/>
              <w:u w:val="none"/>
            </w:rPr>
            <w:t>多期申报差异说明</w:t>
          </w:r>
          <w:r>
            <w:fldChar w:fldCharType="begin"/>
          </w:r>
          <w:r>
            <w:instrText xml:space="preserve">PAGEREF _Toc118891191 \h</w:instrText>
          </w:r>
          <w:r>
            <w:fldChar w:fldCharType="separate"/>
          </w:r>
          <w:r>
            <w:rPr>
              <w:rStyle w:val="77"/>
              <w:rFonts w:ascii="Times New Roman" w:hAnsi="Times New Roman"/>
            </w:rPr>
            <w:tab/>
          </w:r>
          <w:r>
            <w:rPr>
              <w:rStyle w:val="77"/>
              <w:rFonts w:ascii="Times New Roman" w:hAnsi="Times New Roman"/>
            </w:rPr>
            <w:t>86</w:t>
          </w:r>
          <w:r>
            <w:fldChar w:fldCharType="end"/>
          </w:r>
          <w:r>
            <w:fldChar w:fldCharType="end"/>
          </w:r>
        </w:p>
        <w:p w14:paraId="520322C3">
          <w:pPr>
            <w:pStyle w:val="27"/>
            <w:rPr>
              <w:rFonts w:ascii="Times New Roman" w:hAnsi="Times New Roman" w:eastAsiaTheme="minorEastAsia"/>
            </w:rPr>
          </w:pPr>
          <w:r>
            <w:fldChar w:fldCharType="begin"/>
          </w:r>
          <w:r>
            <w:instrText xml:space="preserve"> HYPERLINK \l "_Toc118891192" \h </w:instrText>
          </w:r>
          <w:r>
            <w:fldChar w:fldCharType="separate"/>
          </w:r>
          <w:r>
            <w:rPr>
              <w:rStyle w:val="77"/>
              <w:rFonts w:ascii="Times New Roman" w:hAnsi="Times New Roman"/>
              <w:iCs/>
              <w:u w:val="none"/>
            </w:rPr>
            <w:t>附件6：</w:t>
          </w:r>
          <w:r>
            <w:rPr>
              <w:rStyle w:val="77"/>
              <w:rFonts w:ascii="Times New Roman" w:hAnsi="Times New Roman"/>
              <w:u w:val="none"/>
            </w:rPr>
            <w:t>信息披露豁免申请</w:t>
          </w:r>
          <w:r>
            <w:fldChar w:fldCharType="begin"/>
          </w:r>
          <w:r>
            <w:instrText xml:space="preserve">PAGEREF _Toc118891192 \h</w:instrText>
          </w:r>
          <w:r>
            <w:fldChar w:fldCharType="separate"/>
          </w:r>
          <w:r>
            <w:rPr>
              <w:rStyle w:val="77"/>
              <w:rFonts w:ascii="Times New Roman" w:hAnsi="Times New Roman"/>
            </w:rPr>
            <w:tab/>
          </w:r>
          <w:r>
            <w:rPr>
              <w:rStyle w:val="77"/>
              <w:rFonts w:ascii="Times New Roman" w:hAnsi="Times New Roman"/>
            </w:rPr>
            <w:t>87</w:t>
          </w:r>
          <w:r>
            <w:fldChar w:fldCharType="end"/>
          </w:r>
          <w:r>
            <w:fldChar w:fldCharType="end"/>
          </w:r>
        </w:p>
        <w:p w14:paraId="2ADAB1F6">
          <w:pPr>
            <w:pStyle w:val="27"/>
            <w:rPr>
              <w:rFonts w:ascii="Times New Roman" w:hAnsi="Times New Roman" w:eastAsiaTheme="minorEastAsia"/>
            </w:rPr>
          </w:pPr>
          <w:r>
            <w:fldChar w:fldCharType="begin"/>
          </w:r>
          <w:r>
            <w:instrText xml:space="preserve"> HYPERLINK \l "_Toc118891193" \h </w:instrText>
          </w:r>
          <w:r>
            <w:fldChar w:fldCharType="separate"/>
          </w:r>
          <w:r>
            <w:rPr>
              <w:rStyle w:val="77"/>
              <w:rFonts w:ascii="Times New Roman" w:hAnsi="Times New Roman"/>
              <w:iCs/>
              <w:u w:val="none"/>
            </w:rPr>
            <w:t>附件7：报告期各期末全口径有息债务情况披露格式</w:t>
          </w:r>
          <w:r>
            <w:fldChar w:fldCharType="begin"/>
          </w:r>
          <w:r>
            <w:instrText xml:space="preserve">PAGEREF _Toc118891193 \h</w:instrText>
          </w:r>
          <w:r>
            <w:fldChar w:fldCharType="separate"/>
          </w:r>
          <w:r>
            <w:rPr>
              <w:rStyle w:val="77"/>
              <w:rFonts w:ascii="Times New Roman" w:hAnsi="Times New Roman"/>
            </w:rPr>
            <w:tab/>
          </w:r>
          <w:r>
            <w:rPr>
              <w:rStyle w:val="77"/>
              <w:rFonts w:ascii="Times New Roman" w:hAnsi="Times New Roman"/>
            </w:rPr>
            <w:t>88</w:t>
          </w:r>
          <w:r>
            <w:fldChar w:fldCharType="end"/>
          </w:r>
          <w:r>
            <w:fldChar w:fldCharType="end"/>
          </w:r>
        </w:p>
        <w:p w14:paraId="572410D6">
          <w:pPr>
            <w:rPr>
              <w:rFonts w:ascii="Times New Roman" w:hAnsi="Times New Roman"/>
            </w:rPr>
          </w:pPr>
          <w:r>
            <w:rPr>
              <w:rFonts w:ascii="Times New Roman" w:hAnsi="Times New Roman"/>
            </w:rPr>
            <w:fldChar w:fldCharType="end"/>
          </w:r>
        </w:p>
      </w:sdtContent>
    </w:sdt>
    <w:p w14:paraId="0A40D590">
      <w:pPr>
        <w:pStyle w:val="55"/>
        <w:ind w:left="1080" w:firstLine="0"/>
        <w:rPr>
          <w:rFonts w:ascii="Times New Roman" w:hAnsi="Times New Roman" w:eastAsia="仿宋_GB2312"/>
          <w:b/>
          <w:sz w:val="30"/>
          <w:szCs w:val="30"/>
        </w:rPr>
      </w:pPr>
    </w:p>
    <w:p w14:paraId="4F209DCC">
      <w:pPr>
        <w:pStyle w:val="55"/>
        <w:ind w:left="1080" w:firstLine="0"/>
        <w:rPr>
          <w:rFonts w:ascii="Times New Roman" w:hAnsi="Times New Roman" w:eastAsia="仿宋_GB2312"/>
          <w:b/>
          <w:sz w:val="30"/>
          <w:szCs w:val="30"/>
        </w:rPr>
      </w:pPr>
    </w:p>
    <w:p w14:paraId="15744C1F">
      <w:pPr>
        <w:pStyle w:val="55"/>
        <w:ind w:left="1080" w:firstLine="0"/>
        <w:rPr>
          <w:rFonts w:ascii="Times New Roman" w:hAnsi="Times New Roman" w:eastAsia="仿宋_GB2312"/>
          <w:b/>
          <w:sz w:val="30"/>
          <w:szCs w:val="30"/>
        </w:rPr>
      </w:pPr>
    </w:p>
    <w:p w14:paraId="0992916B">
      <w:pPr>
        <w:pStyle w:val="55"/>
        <w:ind w:left="1080" w:firstLine="0"/>
        <w:rPr>
          <w:rFonts w:ascii="Times New Roman" w:hAnsi="Times New Roman" w:eastAsia="仿宋_GB2312"/>
          <w:b/>
          <w:sz w:val="30"/>
          <w:szCs w:val="30"/>
        </w:rPr>
      </w:pPr>
    </w:p>
    <w:p w14:paraId="79D80EB7">
      <w:pPr>
        <w:pStyle w:val="55"/>
        <w:ind w:left="1080" w:firstLine="0"/>
        <w:rPr>
          <w:rFonts w:ascii="Times New Roman" w:hAnsi="Times New Roman" w:eastAsia="仿宋_GB2312"/>
          <w:b/>
          <w:sz w:val="30"/>
          <w:szCs w:val="30"/>
        </w:rPr>
      </w:pPr>
    </w:p>
    <w:p w14:paraId="0E32AE3D">
      <w:pPr>
        <w:pStyle w:val="55"/>
        <w:ind w:left="1080" w:firstLine="0"/>
        <w:rPr>
          <w:rFonts w:ascii="Times New Roman" w:hAnsi="Times New Roman" w:eastAsia="仿宋_GB2312"/>
          <w:b/>
          <w:sz w:val="30"/>
          <w:szCs w:val="30"/>
        </w:rPr>
      </w:pPr>
    </w:p>
    <w:p w14:paraId="5B9E8468">
      <w:pPr>
        <w:pStyle w:val="55"/>
        <w:ind w:left="1080" w:firstLine="0"/>
        <w:rPr>
          <w:rFonts w:ascii="Times New Roman" w:hAnsi="Times New Roman" w:eastAsia="仿宋_GB2312"/>
          <w:b/>
          <w:sz w:val="30"/>
          <w:szCs w:val="30"/>
        </w:rPr>
      </w:pPr>
    </w:p>
    <w:p w14:paraId="7723A833">
      <w:pPr>
        <w:pStyle w:val="55"/>
        <w:ind w:left="1080" w:firstLine="0"/>
        <w:rPr>
          <w:rFonts w:ascii="Times New Roman" w:hAnsi="Times New Roman" w:eastAsia="仿宋_GB2312"/>
          <w:b/>
          <w:sz w:val="30"/>
          <w:szCs w:val="30"/>
        </w:rPr>
      </w:pPr>
    </w:p>
    <w:p w14:paraId="5A92F951">
      <w:pPr>
        <w:pStyle w:val="55"/>
        <w:ind w:left="1080" w:firstLine="0"/>
        <w:rPr>
          <w:rFonts w:ascii="Times New Roman" w:hAnsi="Times New Roman" w:eastAsia="仿宋_GB2312"/>
          <w:b/>
          <w:sz w:val="30"/>
          <w:szCs w:val="30"/>
        </w:rPr>
      </w:pPr>
    </w:p>
    <w:p w14:paraId="345F1A9A">
      <w:pPr>
        <w:pStyle w:val="55"/>
        <w:ind w:left="1080" w:firstLine="0"/>
        <w:rPr>
          <w:rFonts w:ascii="Times New Roman" w:hAnsi="Times New Roman" w:eastAsia="仿宋_GB2312"/>
          <w:b/>
          <w:sz w:val="30"/>
          <w:szCs w:val="30"/>
        </w:rPr>
      </w:pPr>
    </w:p>
    <w:p w14:paraId="3FCCA401">
      <w:pPr>
        <w:pStyle w:val="55"/>
        <w:ind w:left="1080" w:firstLine="0"/>
        <w:rPr>
          <w:rFonts w:ascii="Times New Roman" w:hAnsi="Times New Roman" w:eastAsia="仿宋_GB2312"/>
          <w:b/>
          <w:sz w:val="30"/>
          <w:szCs w:val="30"/>
        </w:rPr>
      </w:pPr>
    </w:p>
    <w:p w14:paraId="3C2DA2BC">
      <w:pPr>
        <w:pStyle w:val="55"/>
        <w:ind w:left="1080" w:firstLine="0"/>
        <w:rPr>
          <w:rFonts w:ascii="Times New Roman" w:hAnsi="Times New Roman" w:eastAsia="仿宋_GB2312"/>
          <w:b/>
          <w:sz w:val="30"/>
          <w:szCs w:val="30"/>
        </w:rPr>
      </w:pPr>
    </w:p>
    <w:p w14:paraId="57EDC874">
      <w:pPr>
        <w:pStyle w:val="55"/>
        <w:ind w:left="1080" w:firstLine="0"/>
        <w:rPr>
          <w:rFonts w:ascii="Times New Roman" w:hAnsi="Times New Roman" w:eastAsia="仿宋_GB2312"/>
          <w:b/>
          <w:sz w:val="30"/>
          <w:szCs w:val="30"/>
        </w:rPr>
      </w:pPr>
    </w:p>
    <w:p w14:paraId="503B5606">
      <w:pPr>
        <w:pStyle w:val="55"/>
        <w:ind w:left="1080" w:firstLine="0"/>
        <w:rPr>
          <w:rFonts w:ascii="Times New Roman" w:hAnsi="Times New Roman" w:eastAsia="仿宋_GB2312"/>
          <w:b/>
          <w:sz w:val="30"/>
          <w:szCs w:val="30"/>
        </w:rPr>
      </w:pPr>
    </w:p>
    <w:p w14:paraId="6E69D8B7">
      <w:pPr>
        <w:pStyle w:val="55"/>
        <w:ind w:left="1080" w:firstLine="0"/>
        <w:rPr>
          <w:rFonts w:ascii="Times New Roman" w:hAnsi="Times New Roman" w:eastAsia="仿宋_GB2312"/>
          <w:b/>
          <w:sz w:val="30"/>
          <w:szCs w:val="30"/>
        </w:rPr>
      </w:pPr>
    </w:p>
    <w:p w14:paraId="1358B853">
      <w:pPr>
        <w:pStyle w:val="3"/>
        <w:spacing w:line="600" w:lineRule="exact"/>
        <w:rPr>
          <w:rFonts w:ascii="Times New Roman" w:hAnsi="Times New Roman"/>
        </w:rPr>
      </w:pPr>
      <w:bookmarkStart w:id="3" w:name="_Toc118891152"/>
      <w:r>
        <w:rPr>
          <w:rFonts w:ascii="Times New Roman" w:hAnsi="Times New Roman"/>
        </w:rPr>
        <w:t>第一章</w:t>
      </w:r>
      <w:r>
        <w:rPr>
          <w:rFonts w:ascii="Times New Roman" w:hAnsi="Times New Roman"/>
        </w:rPr>
        <w:tab/>
      </w:r>
      <w:r>
        <w:rPr>
          <w:rFonts w:ascii="Times New Roman" w:hAnsi="Times New Roman"/>
        </w:rPr>
        <w:t>总则</w:t>
      </w:r>
      <w:bookmarkEnd w:id="3"/>
    </w:p>
    <w:p w14:paraId="4328F8AB">
      <w:pPr>
        <w:pStyle w:val="85"/>
        <w:spacing w:line="600" w:lineRule="exact"/>
        <w:ind w:firstLine="602"/>
        <w:jc w:val="both"/>
        <w:rPr>
          <w:rFonts w:ascii="Times New Roman" w:hAnsi="Times New Roman" w:cs="Times New Roman"/>
          <w:sz w:val="30"/>
          <w:szCs w:val="30"/>
        </w:rPr>
      </w:pPr>
      <w:r>
        <w:rPr>
          <w:rFonts w:ascii="Times New Roman" w:hAnsi="Times New Roman" w:cs="Times New Roman"/>
          <w:b/>
          <w:bCs/>
          <w:sz w:val="30"/>
          <w:szCs w:val="30"/>
        </w:rPr>
        <w:t xml:space="preserve">1.1 </w:t>
      </w:r>
      <w:r>
        <w:rPr>
          <w:rFonts w:ascii="Times New Roman" w:hAnsi="Times New Roman" w:cs="Times New Roman"/>
          <w:color w:val="auto"/>
          <w:kern w:val="2"/>
          <w:sz w:val="30"/>
          <w:szCs w:val="30"/>
        </w:rPr>
        <w:t>为了规范资产支持证券挂牌条件确认业务，便于专项计划管理人（以下简称管理人）、证券服务机构等资产支持证券业务参与人（以下简称业务参与人）编制、提交申请文件，提高挂牌条件确认工作效率，上海证券交易所（以下简称本所）根据《证券公司及基金管理公司子公司资产证券化业务管理规定》（以下简称《管理规定》）、《证券公司及基金管理公司子公司资产证券化业务信息披露指引》（以下简称《信息披露指引》）等法律、行政法规、部门规章和规范性文件（以下统称法律法规），以及本所相关业务规则，制定本指引。</w:t>
      </w:r>
    </w:p>
    <w:p w14:paraId="46817209">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1.2 </w:t>
      </w:r>
      <w:r>
        <w:rPr>
          <w:rFonts w:ascii="Times New Roman" w:hAnsi="Times New Roman" w:eastAsia="仿宋_GB2312"/>
          <w:sz w:val="30"/>
          <w:szCs w:val="30"/>
        </w:rPr>
        <w:t>资产支持证券在本所挂牌转让的申请文件编制，适用本指引。本指引未尽事宜，按照中国证监会有关规定和本所相关业务规则执行。</w:t>
      </w:r>
    </w:p>
    <w:p w14:paraId="3ED6F733">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中国证监会、本所对资产支持证券特定品种或特定资产类型另有规定的，从其规定。</w:t>
      </w:r>
    </w:p>
    <w:p w14:paraId="6ED8C497">
      <w:pPr>
        <w:pStyle w:val="85"/>
        <w:spacing w:line="600" w:lineRule="exact"/>
        <w:ind w:firstLine="602"/>
        <w:jc w:val="both"/>
        <w:rPr>
          <w:rFonts w:ascii="Times New Roman" w:hAnsi="Times New Roman" w:cs="Times New Roman"/>
          <w:sz w:val="30"/>
          <w:szCs w:val="30"/>
        </w:rPr>
      </w:pPr>
      <w:r>
        <w:rPr>
          <w:rFonts w:ascii="Times New Roman" w:hAnsi="Times New Roman" w:cs="Times New Roman"/>
          <w:b/>
          <w:bCs/>
          <w:sz w:val="30"/>
          <w:szCs w:val="30"/>
        </w:rPr>
        <w:t xml:space="preserve">1.3 </w:t>
      </w:r>
      <w:r>
        <w:rPr>
          <w:rFonts w:ascii="Times New Roman" w:hAnsi="Times New Roman" w:cs="Times New Roman"/>
          <w:color w:val="auto"/>
          <w:kern w:val="2"/>
          <w:sz w:val="30"/>
          <w:szCs w:val="30"/>
        </w:rPr>
        <w:t>业务参与人</w:t>
      </w:r>
      <w:r>
        <w:rPr>
          <w:rFonts w:ascii="Times New Roman" w:hAnsi="Times New Roman" w:cs="Times New Roman"/>
          <w:sz w:val="30"/>
          <w:szCs w:val="30"/>
        </w:rPr>
        <w:t>应当按照法律法规、本指引以及本所其他业务规则的规定编制申请文件，全面履行披露义务，所披露的信息应当真实、准确、完整，简明清晰，通俗易懂，不存在虚假记载、误导性陈述或者重大遗漏。</w:t>
      </w:r>
    </w:p>
    <w:p w14:paraId="64762163">
      <w:pPr>
        <w:pStyle w:val="85"/>
        <w:spacing w:line="600" w:lineRule="exact"/>
        <w:ind w:firstLine="600"/>
        <w:jc w:val="both"/>
        <w:rPr>
          <w:rFonts w:ascii="Times New Roman" w:hAnsi="Times New Roman" w:cs="Times New Roman"/>
          <w:sz w:val="30"/>
          <w:szCs w:val="30"/>
        </w:rPr>
      </w:pPr>
      <w:r>
        <w:rPr>
          <w:rFonts w:ascii="Times New Roman" w:hAnsi="Times New Roman" w:cs="Times New Roman"/>
          <w:color w:val="auto"/>
          <w:kern w:val="2"/>
          <w:sz w:val="30"/>
          <w:szCs w:val="30"/>
        </w:rPr>
        <w:t>业务参与人</w:t>
      </w:r>
      <w:r>
        <w:rPr>
          <w:rFonts w:ascii="Times New Roman" w:hAnsi="Times New Roman" w:cs="Times New Roman"/>
          <w:sz w:val="30"/>
          <w:szCs w:val="30"/>
        </w:rPr>
        <w:t>应当妥善保存客户委托文件、核查和验证资料、工作底稿，以及与质量控制、内部管理、业务经营有关的信息和资料。</w:t>
      </w:r>
    </w:p>
    <w:p w14:paraId="51210AD2">
      <w:pPr>
        <w:pStyle w:val="85"/>
        <w:spacing w:line="600" w:lineRule="exact"/>
        <w:ind w:firstLine="602"/>
        <w:jc w:val="both"/>
        <w:rPr>
          <w:rFonts w:ascii="Times New Roman" w:hAnsi="Times New Roman" w:cs="Times New Roman"/>
          <w:sz w:val="30"/>
          <w:szCs w:val="30"/>
        </w:rPr>
      </w:pPr>
      <w:r>
        <w:rPr>
          <w:rFonts w:ascii="Times New Roman" w:hAnsi="Times New Roman" w:cs="Times New Roman"/>
          <w:b/>
          <w:bCs/>
          <w:sz w:val="30"/>
          <w:szCs w:val="30"/>
        </w:rPr>
        <w:t xml:space="preserve">1.4 </w:t>
      </w:r>
      <w:r>
        <w:rPr>
          <w:rFonts w:ascii="Times New Roman" w:hAnsi="Times New Roman" w:cs="Times New Roman"/>
          <w:sz w:val="30"/>
          <w:szCs w:val="30"/>
        </w:rPr>
        <w:t>申请文件前后、各项申请文件之间、本次申请文件与已披露的同一份信息披露文件之间的重要信息披露内容应当保持一致。申请文件有外文文本的，应当确保中、外文本内容一致，并在相关申请文件中声明，中、外文本的理解上发生歧义时，以中文文本为准。</w:t>
      </w:r>
    </w:p>
    <w:p w14:paraId="2C173148">
      <w:pPr>
        <w:pStyle w:val="3"/>
        <w:spacing w:line="600" w:lineRule="exact"/>
        <w:rPr>
          <w:rFonts w:ascii="Times New Roman" w:hAnsi="Times New Roman"/>
        </w:rPr>
      </w:pPr>
      <w:bookmarkStart w:id="4" w:name="_Toc118891153"/>
      <w:r>
        <w:rPr>
          <w:rFonts w:ascii="Times New Roman" w:hAnsi="Times New Roman"/>
        </w:rPr>
        <w:t>第二章</w:t>
      </w:r>
      <w:r>
        <w:rPr>
          <w:rFonts w:ascii="Times New Roman" w:hAnsi="Times New Roman"/>
        </w:rPr>
        <w:tab/>
      </w:r>
      <w:r>
        <w:rPr>
          <w:rFonts w:ascii="Times New Roman" w:hAnsi="Times New Roman"/>
        </w:rPr>
        <w:t>申请文件</w:t>
      </w:r>
      <w:bookmarkEnd w:id="0"/>
      <w:bookmarkEnd w:id="4"/>
    </w:p>
    <w:p w14:paraId="0C815568">
      <w:pPr>
        <w:pStyle w:val="4"/>
        <w:rPr>
          <w:rFonts w:ascii="Times New Roman" w:hAnsi="Times New Roman"/>
          <w:b w:val="0"/>
          <w:bCs w:val="0"/>
          <w:szCs w:val="30"/>
          <w:shd w:val="clear" w:fill="auto"/>
        </w:rPr>
      </w:pPr>
      <w:bookmarkStart w:id="5" w:name="_Toc118891154"/>
      <w:r>
        <w:rPr>
          <w:rFonts w:ascii="Times New Roman" w:hAnsi="Times New Roman"/>
          <w:szCs w:val="30"/>
          <w:shd w:val="clear" w:fill="auto"/>
        </w:rPr>
        <w:t>第一节</w:t>
      </w:r>
      <w:r>
        <w:rPr>
          <w:rFonts w:ascii="Times New Roman" w:hAnsi="Times New Roman"/>
          <w:szCs w:val="30"/>
          <w:shd w:val="clear" w:fill="auto"/>
        </w:rPr>
        <w:tab/>
      </w:r>
      <w:r>
        <w:rPr>
          <w:rFonts w:ascii="Times New Roman" w:hAnsi="Times New Roman"/>
          <w:szCs w:val="30"/>
          <w:shd w:val="clear" w:fill="auto"/>
        </w:rPr>
        <w:t>申请文件清单</w:t>
      </w:r>
      <w:bookmarkEnd w:id="5"/>
    </w:p>
    <w:p w14:paraId="08A3F4B6">
      <w:pPr>
        <w:snapToGrid w:val="0"/>
        <w:spacing w:line="600" w:lineRule="exact"/>
        <w:ind w:firstLine="602"/>
        <w:rPr>
          <w:rFonts w:ascii="Times New Roman" w:hAnsi="Times New Roman"/>
          <w:szCs w:val="30"/>
        </w:rPr>
      </w:pPr>
      <w:r>
        <w:rPr>
          <w:rFonts w:ascii="Times New Roman" w:hAnsi="Times New Roman" w:eastAsia="仿宋_GB2312"/>
          <w:b/>
          <w:bCs/>
          <w:sz w:val="30"/>
          <w:szCs w:val="30"/>
        </w:rPr>
        <w:t xml:space="preserve">2.1.1 </w:t>
      </w:r>
      <w:r>
        <w:rPr>
          <w:rFonts w:ascii="Times New Roman" w:hAnsi="Times New Roman" w:eastAsia="仿宋_GB2312"/>
          <w:bCs/>
          <w:color w:val="0D0D0D"/>
          <w:kern w:val="0"/>
          <w:sz w:val="30"/>
          <w:szCs w:val="30"/>
        </w:rPr>
        <w:t>资产支持证券拟在本所挂牌转让的，管理人应当向本所提交下列挂牌条件确认申请文件</w:t>
      </w:r>
      <w:r>
        <w:rPr>
          <w:rFonts w:ascii="Times New Roman" w:hAnsi="Times New Roman" w:eastAsia="仿宋_GB2312"/>
          <w:sz w:val="30"/>
          <w:szCs w:val="30"/>
        </w:rPr>
        <w:t>（清单详见附件1）</w:t>
      </w:r>
      <w:r>
        <w:rPr>
          <w:rFonts w:ascii="Times New Roman" w:hAnsi="Times New Roman" w:eastAsia="仿宋_GB2312"/>
          <w:bCs/>
          <w:color w:val="0D0D0D"/>
          <w:kern w:val="0"/>
          <w:sz w:val="30"/>
          <w:szCs w:val="30"/>
        </w:rPr>
        <w:t>：</w:t>
      </w:r>
    </w:p>
    <w:p w14:paraId="6F4AF74E">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（一）</w:t>
      </w:r>
      <w:r>
        <w:rPr>
          <w:rFonts w:ascii="Times New Roman" w:hAnsi="Times New Roman" w:eastAsia="仿宋_GB2312"/>
          <w:sz w:val="30"/>
          <w:szCs w:val="30"/>
        </w:rPr>
        <w:t>挂牌转让申请书（格式见附件2）；</w:t>
      </w:r>
    </w:p>
    <w:p w14:paraId="09CD693B">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w:t>
      </w:r>
      <w:r>
        <w:rPr>
          <w:rFonts w:ascii="Times New Roman" w:hAnsi="Times New Roman" w:eastAsia="仿宋_GB2312"/>
          <w:sz w:val="30"/>
          <w:szCs w:val="30"/>
        </w:rPr>
        <w:t>资产支持专项计划</w:t>
      </w:r>
      <w:r>
        <w:rPr>
          <w:rFonts w:ascii="Times New Roman" w:hAnsi="Times New Roman" w:eastAsia="仿宋_GB2312"/>
          <w:bCs/>
          <w:color w:val="0D0D0D"/>
          <w:kern w:val="0"/>
          <w:sz w:val="30"/>
          <w:szCs w:val="30"/>
        </w:rPr>
        <w:t>（以下简称专项计划）</w:t>
      </w:r>
      <w:r>
        <w:rPr>
          <w:rFonts w:ascii="Times New Roman" w:hAnsi="Times New Roman" w:eastAsia="仿宋_GB2312"/>
          <w:sz w:val="30"/>
          <w:szCs w:val="30"/>
        </w:rPr>
        <w:t>说明书；</w:t>
      </w:r>
    </w:p>
    <w:p w14:paraId="5F588B3F">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（三）</w:t>
      </w:r>
      <w:r>
        <w:rPr>
          <w:rFonts w:ascii="Times New Roman" w:hAnsi="Times New Roman" w:eastAsia="仿宋_GB2312"/>
          <w:sz w:val="30"/>
          <w:szCs w:val="30"/>
        </w:rPr>
        <w:t>法律意见书；</w:t>
      </w:r>
    </w:p>
    <w:p w14:paraId="662A5E85">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（四）</w:t>
      </w:r>
      <w:r>
        <w:rPr>
          <w:rFonts w:ascii="Times New Roman" w:hAnsi="Times New Roman" w:eastAsia="仿宋_GB2312"/>
          <w:sz w:val="30"/>
          <w:szCs w:val="30"/>
        </w:rPr>
        <w:t>信用评级报告（如有）；</w:t>
      </w:r>
    </w:p>
    <w:p w14:paraId="68851EA8">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（五）</w:t>
      </w:r>
      <w:r>
        <w:rPr>
          <w:rFonts w:ascii="Times New Roman" w:hAnsi="Times New Roman" w:eastAsia="仿宋_GB2312"/>
          <w:sz w:val="30"/>
          <w:szCs w:val="30"/>
        </w:rPr>
        <w:t>主要交易合同文本，包括但不限于专项计划标准条款（如有）、基础资产买卖协议、托管协议、监管协议（如有）、资产服务协议（如有）、其他补充合同（如有）；</w:t>
      </w:r>
    </w:p>
    <w:p w14:paraId="5F4DBF1B">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（六）</w:t>
      </w:r>
      <w:r>
        <w:rPr>
          <w:rFonts w:ascii="Times New Roman" w:hAnsi="Times New Roman" w:eastAsia="仿宋_GB2312"/>
          <w:sz w:val="30"/>
          <w:szCs w:val="30"/>
        </w:rPr>
        <w:t>特定原始权益人最近三年（未满三年的自成立之日起）经审计的财务报告、最近一期财务报告或者财务报表；</w:t>
      </w:r>
    </w:p>
    <w:p w14:paraId="70D7FE60">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（七）</w:t>
      </w:r>
      <w:r>
        <w:rPr>
          <w:rFonts w:ascii="Times New Roman" w:hAnsi="Times New Roman" w:eastAsia="仿宋_GB2312"/>
          <w:sz w:val="30"/>
          <w:szCs w:val="30"/>
        </w:rPr>
        <w:t>增信机构最近一年经审计的财务报告、最近一期财务报告或者财务报表（如有）；</w:t>
      </w:r>
    </w:p>
    <w:p w14:paraId="68EBD19F">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（八）</w:t>
      </w:r>
      <w:r>
        <w:rPr>
          <w:rFonts w:ascii="Times New Roman" w:hAnsi="Times New Roman" w:eastAsia="仿宋_GB2312"/>
          <w:sz w:val="30"/>
          <w:szCs w:val="30"/>
        </w:rPr>
        <w:t>关于专项计划会计处理意见的说明（如有）；</w:t>
      </w:r>
    </w:p>
    <w:p w14:paraId="0D0386A8">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（九）</w:t>
      </w:r>
      <w:r>
        <w:rPr>
          <w:rFonts w:ascii="Times New Roman" w:hAnsi="Times New Roman" w:eastAsia="仿宋_GB2312"/>
          <w:sz w:val="30"/>
          <w:szCs w:val="30"/>
        </w:rPr>
        <w:t>基础资产评估报告（如有），基础资产或底层资产涉及不动产的，应当提供房地产估价报告或资产评估报告；</w:t>
      </w:r>
    </w:p>
    <w:p w14:paraId="704C989B">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w:t>
      </w:r>
      <w:r>
        <w:rPr>
          <w:rFonts w:ascii="Times New Roman" w:hAnsi="Times New Roman" w:eastAsia="仿宋_GB2312"/>
          <w:sz w:val="30"/>
          <w:szCs w:val="30"/>
        </w:rPr>
        <w:t>现金流预测报告（如有）；</w:t>
      </w:r>
    </w:p>
    <w:p w14:paraId="3DAC282C">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（十一）</w:t>
      </w:r>
      <w:r>
        <w:rPr>
          <w:rFonts w:ascii="Times New Roman" w:hAnsi="Times New Roman" w:eastAsia="仿宋_GB2312"/>
          <w:sz w:val="30"/>
          <w:szCs w:val="30"/>
        </w:rPr>
        <w:t>差额支付承诺函、担保合同或担保函等增信文件，以及增信机构就提供增信获得的授权文件（如有）；</w:t>
      </w:r>
    </w:p>
    <w:p w14:paraId="65891895">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（十二）</w:t>
      </w:r>
      <w:r>
        <w:rPr>
          <w:rFonts w:ascii="Times New Roman" w:hAnsi="Times New Roman" w:eastAsia="仿宋_GB2312"/>
          <w:sz w:val="30"/>
          <w:szCs w:val="30"/>
        </w:rPr>
        <w:t>尽职调查报告；</w:t>
      </w:r>
    </w:p>
    <w:p w14:paraId="1D2DA67E">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（十三）</w:t>
      </w:r>
      <w:r>
        <w:rPr>
          <w:rFonts w:ascii="Times New Roman" w:hAnsi="Times New Roman" w:eastAsia="仿宋_GB2312"/>
          <w:sz w:val="30"/>
          <w:szCs w:val="30"/>
        </w:rPr>
        <w:t>管理人的合规审查意见（格式见附件3）；</w:t>
      </w:r>
    </w:p>
    <w:p w14:paraId="3260EA67">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（十四）</w:t>
      </w:r>
      <w:r>
        <w:rPr>
          <w:rFonts w:ascii="Times New Roman" w:hAnsi="Times New Roman" w:eastAsia="仿宋_GB2312"/>
          <w:sz w:val="30"/>
          <w:szCs w:val="30"/>
        </w:rPr>
        <w:t>原始权益人有权机构作出的决议及相关主管部门（如有）的批准文件；</w:t>
      </w:r>
    </w:p>
    <w:p w14:paraId="1C25DFD0">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color w:val="000000"/>
          <w:sz w:val="30"/>
          <w:szCs w:val="30"/>
        </w:rPr>
      </w:pPr>
      <w:r>
        <w:rPr>
          <w:rFonts w:ascii="Times New Roman" w:hAnsi="Times New Roman" w:eastAsia="仿宋_GB2312" w:cs="Times New Roman"/>
          <w:color w:val="auto"/>
          <w:kern w:val="2"/>
          <w:sz w:val="30"/>
          <w:szCs w:val="30"/>
          <w:lang w:val="en-US" w:eastAsia="zh-CN" w:bidi="ar-SA"/>
        </w:rPr>
        <w:t>（十五）</w:t>
      </w:r>
      <w:r>
        <w:rPr>
          <w:rFonts w:ascii="Times New Roman" w:hAnsi="Times New Roman" w:eastAsia="仿宋_GB2312"/>
          <w:sz w:val="30"/>
          <w:szCs w:val="30"/>
        </w:rPr>
        <w:t>第三方评估意见或认证报告（如有）；</w:t>
      </w:r>
    </w:p>
    <w:p w14:paraId="632865F1">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color w:val="000000"/>
          <w:sz w:val="30"/>
          <w:szCs w:val="30"/>
        </w:rPr>
      </w:pPr>
      <w:r>
        <w:rPr>
          <w:rFonts w:ascii="Times New Roman" w:hAnsi="Times New Roman" w:eastAsia="仿宋_GB2312" w:cs="Times New Roman"/>
          <w:color w:val="auto"/>
          <w:kern w:val="2"/>
          <w:sz w:val="30"/>
          <w:szCs w:val="30"/>
          <w:lang w:val="en-US" w:eastAsia="zh-CN" w:bidi="ar-SA"/>
        </w:rPr>
        <w:t>（十六）</w:t>
      </w:r>
      <w:r>
        <w:rPr>
          <w:rFonts w:ascii="Times New Roman" w:hAnsi="Times New Roman" w:eastAsia="仿宋_GB2312"/>
          <w:color w:val="000000"/>
          <w:sz w:val="30"/>
          <w:szCs w:val="30"/>
        </w:rPr>
        <w:t>特定行业主管部门出具的监管意见书（如有）；</w:t>
      </w:r>
    </w:p>
    <w:p w14:paraId="307C9CAF">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（十七）</w:t>
      </w:r>
      <w:r>
        <w:rPr>
          <w:rFonts w:ascii="Times New Roman" w:hAnsi="Times New Roman" w:eastAsia="仿宋_GB2312"/>
          <w:color w:val="000000"/>
          <w:sz w:val="30"/>
          <w:szCs w:val="30"/>
        </w:rPr>
        <w:t>资产支持专项计划挂牌转让申请承诺</w:t>
      </w:r>
      <w:r>
        <w:rPr>
          <w:rFonts w:ascii="Times New Roman" w:hAnsi="Times New Roman" w:eastAsia="仿宋_GB2312"/>
          <w:sz w:val="30"/>
          <w:szCs w:val="30"/>
        </w:rPr>
        <w:t>履行事项登记表（如有）（格式见附件4）；</w:t>
      </w:r>
    </w:p>
    <w:p w14:paraId="0D241F4F">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（十八）</w:t>
      </w:r>
      <w:r>
        <w:rPr>
          <w:rFonts w:ascii="Times New Roman" w:hAnsi="Times New Roman" w:eastAsia="仿宋_GB2312"/>
          <w:sz w:val="30"/>
          <w:szCs w:val="30"/>
        </w:rPr>
        <w:t>基础资产未被列入负面清单的专项说明；</w:t>
      </w:r>
    </w:p>
    <w:p w14:paraId="3E91E3FE">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（十九）</w:t>
      </w:r>
      <w:r>
        <w:rPr>
          <w:rFonts w:ascii="Times New Roman" w:hAnsi="Times New Roman" w:eastAsia="仿宋_GB2312"/>
          <w:sz w:val="30"/>
          <w:szCs w:val="30"/>
        </w:rPr>
        <w:t>多期申报差异说明（如有）（格式见附件5）；</w:t>
      </w:r>
    </w:p>
    <w:p w14:paraId="4E49C89D">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（二十）</w:t>
      </w:r>
      <w:r>
        <w:rPr>
          <w:rFonts w:ascii="Times New Roman" w:hAnsi="Times New Roman" w:eastAsia="仿宋_GB2312"/>
          <w:sz w:val="30"/>
          <w:szCs w:val="30"/>
        </w:rPr>
        <w:t>管理人关于申请文件不适用情况的说明（如有）；</w:t>
      </w:r>
    </w:p>
    <w:p w14:paraId="0DF7AB27">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（二十一）</w:t>
      </w:r>
      <w:r>
        <w:rPr>
          <w:rFonts w:ascii="Times New Roman" w:hAnsi="Times New Roman" w:eastAsia="仿宋_GB2312"/>
          <w:sz w:val="30"/>
          <w:szCs w:val="30"/>
        </w:rPr>
        <w:t>信息披露豁免申请（如有）（格式见附件6）；</w:t>
      </w:r>
    </w:p>
    <w:p w14:paraId="5CB8C76D">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（二十二）</w:t>
      </w:r>
      <w:r>
        <w:rPr>
          <w:rFonts w:ascii="Times New Roman" w:hAnsi="Times New Roman" w:eastAsia="仿宋_GB2312"/>
          <w:sz w:val="30"/>
          <w:szCs w:val="30"/>
        </w:rPr>
        <w:t>律师对报送的电子申请文件和预留原件一致性出具的鉴证意见；</w:t>
      </w:r>
    </w:p>
    <w:p w14:paraId="3AB5C74E">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（二十三）</w:t>
      </w:r>
      <w:r>
        <w:rPr>
          <w:rFonts w:ascii="Times New Roman" w:hAnsi="Times New Roman" w:eastAsia="仿宋_GB2312"/>
          <w:sz w:val="30"/>
          <w:szCs w:val="30"/>
        </w:rPr>
        <w:t>廉洁从业承诺函；</w:t>
      </w:r>
    </w:p>
    <w:p w14:paraId="73E10C73">
      <w:pPr>
        <w:pStyle w:val="81"/>
        <w:numPr>
          <w:ilvl w:val="3"/>
          <w:numId w:val="0"/>
        </w:numPr>
        <w:tabs>
          <w:tab w:val="left" w:pos="846"/>
        </w:tabs>
        <w:snapToGrid w:val="0"/>
        <w:spacing w:line="600" w:lineRule="exact"/>
        <w:ind w:left="0" w:leftChars="0" w:firstLine="60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（二十四）</w:t>
      </w:r>
      <w:r>
        <w:rPr>
          <w:rFonts w:ascii="Times New Roman" w:hAnsi="Times New Roman" w:eastAsia="仿宋_GB2312"/>
          <w:sz w:val="30"/>
          <w:szCs w:val="30"/>
        </w:rPr>
        <w:t>本所要求的其他文件。</w:t>
      </w:r>
    </w:p>
    <w:p w14:paraId="51DB57BC">
      <w:pPr>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2.1.2 </w:t>
      </w:r>
      <w:r>
        <w:rPr>
          <w:rFonts w:ascii="Times New Roman" w:hAnsi="Times New Roman" w:eastAsia="仿宋_GB2312"/>
          <w:bCs/>
          <w:sz w:val="30"/>
          <w:szCs w:val="30"/>
        </w:rPr>
        <w:t>业务参与人应当严格按照本指引的要求报送申请文件。本指引相关要求对业务参与人确不适用的，业务参与人可以根据实际情况进行调整，并在报送时说明调整适用的理由。本所认为调整理由不成立的，业务参与人应当按照规定报送申请文件。</w:t>
      </w:r>
    </w:p>
    <w:p w14:paraId="6E611CA0">
      <w:pPr>
        <w:pStyle w:val="4"/>
        <w:rPr>
          <w:rFonts w:ascii="Times New Roman" w:hAnsi="Times New Roman"/>
          <w:b w:val="0"/>
          <w:bCs w:val="0"/>
          <w:szCs w:val="30"/>
          <w:shd w:val="clear" w:fill="auto"/>
        </w:rPr>
      </w:pPr>
      <w:bookmarkStart w:id="6" w:name="_Toc118891155"/>
      <w:r>
        <w:rPr>
          <w:rFonts w:ascii="Times New Roman" w:hAnsi="Times New Roman"/>
          <w:szCs w:val="30"/>
          <w:shd w:val="clear" w:fill="auto"/>
        </w:rPr>
        <w:t>第二节</w:t>
      </w:r>
      <w:r>
        <w:rPr>
          <w:rFonts w:ascii="Times New Roman" w:hAnsi="Times New Roman"/>
          <w:szCs w:val="30"/>
          <w:shd w:val="clear" w:fill="auto"/>
        </w:rPr>
        <w:tab/>
      </w:r>
      <w:r>
        <w:rPr>
          <w:rFonts w:ascii="Times New Roman" w:hAnsi="Times New Roman"/>
          <w:szCs w:val="30"/>
          <w:shd w:val="clear" w:fill="auto"/>
        </w:rPr>
        <w:t>财务报表有效期</w:t>
      </w:r>
      <w:bookmarkEnd w:id="6"/>
    </w:p>
    <w:p w14:paraId="51DB518A">
      <w:pPr>
        <w:pStyle w:val="2"/>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2.2.1 </w:t>
      </w:r>
      <w:r>
        <w:rPr>
          <w:rFonts w:ascii="Times New Roman" w:hAnsi="Times New Roman" w:eastAsia="仿宋_GB2312"/>
          <w:bCs/>
          <w:sz w:val="30"/>
          <w:szCs w:val="30"/>
        </w:rPr>
        <w:t>特定原始权益人、增信机构编制的财务报告应当符合《企业会计准则》、国家相关会计制度的要求。上市公司编制的财务报告还应当符合《公开发行证券的公司信息披露编报规则第15号——财务报告的一般规定》。中国证监会对非上市公众公司财务报告披露另有规定的，从其规定。</w:t>
      </w:r>
    </w:p>
    <w:p w14:paraId="236445F0">
      <w:pPr>
        <w:pStyle w:val="2"/>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2.2.2 </w:t>
      </w:r>
      <w:r>
        <w:rPr>
          <w:rFonts w:ascii="Times New Roman" w:hAnsi="Times New Roman" w:eastAsia="仿宋_GB2312"/>
          <w:bCs/>
          <w:sz w:val="30"/>
          <w:szCs w:val="30"/>
        </w:rPr>
        <w:t>财务报表应当以年度末、半年度末或者季度末为截止日。计划说明书引用的特定原始权益人、增信机构的财务报表在其最近一期截止日后六个月内有效，特别情况下可申请适当延长有效期，延长期限不超过一个月，中国证监会或者本所对财务报表有效期另有规定的除外。</w:t>
      </w:r>
    </w:p>
    <w:p w14:paraId="67B0C63E">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存在影响公司经营或者偿债能力等重大不利变化且预计影响发行条件的，财务报表有效期不得延长。</w:t>
      </w:r>
    </w:p>
    <w:p w14:paraId="0614533B">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特定原始权益人、增信机构于财务报表有效期到期前五日内新申报资产支持证券的，原则上应当使用最新一期财务报表编制申请文件。本所在审项目在财务报表有效期到期日起十五日内接到本所封卷通知的，管理人可以向本所申请适当延长财务报表有效期，延长时间最多不超过一个月。延期申请应当于封卷时一并提交，本所将视情况决定是否同意该申请。未经同意的，需补充提交最新一期财务报表，并同步更新其他申报文件。</w:t>
      </w:r>
    </w:p>
    <w:p w14:paraId="010BF1A0">
      <w:pPr>
        <w:pStyle w:val="2"/>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2.2.3 </w:t>
      </w:r>
      <w:r>
        <w:rPr>
          <w:rFonts w:ascii="Times New Roman" w:hAnsi="Times New Roman" w:eastAsia="仿宋_GB2312"/>
          <w:bCs/>
          <w:sz w:val="30"/>
          <w:szCs w:val="30"/>
        </w:rPr>
        <w:t>按照本指引规定申请延长财务报表有效期的，管理人应当在申请中说明下列情况：</w:t>
      </w:r>
    </w:p>
    <w:p w14:paraId="3D34F55E">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（一）特定原始权益人、增信机构最新一期财务报表的主要财务数据和财务指标（如无法提供，请说明原因）；</w:t>
      </w:r>
    </w:p>
    <w:p w14:paraId="2C59DDD2">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（二）特定原始权益人、增信机构最新一期生产经营是否正常，业绩较上年同期是否出现大幅下滑或者亏损；</w:t>
      </w:r>
    </w:p>
    <w:p w14:paraId="0BA85E95">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（三）是否存在影响特定原始权益人、增信机构经营、偿付能力或者资产支持证券投资者利益的其他不利变化；</w:t>
      </w:r>
    </w:p>
    <w:p w14:paraId="4F1D5FA5">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（四）资产支持证券是否仍符合本所挂牌转让条件；</w:t>
      </w:r>
    </w:p>
    <w:p w14:paraId="28B4E2B7">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（五）延期理由以及期限。</w:t>
      </w:r>
    </w:p>
    <w:p w14:paraId="0020B249">
      <w:pPr>
        <w:pStyle w:val="2"/>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2.2.4 </w:t>
      </w:r>
      <w:r>
        <w:rPr>
          <w:rFonts w:ascii="Times New Roman" w:hAnsi="Times New Roman" w:eastAsia="仿宋_GB2312"/>
          <w:bCs/>
          <w:sz w:val="30"/>
          <w:szCs w:val="30"/>
        </w:rPr>
        <w:t>特定原始权益人、增信机构已在本所或者其他市场披露最新一期财务报表的，管理人应当提供最新一期财务报表，并同步更新计划说明书。不存在重大不利变化或者其他特殊情形的，可以按照下列要求简要披露或者索引式披露：</w:t>
      </w:r>
    </w:p>
    <w:p w14:paraId="3ED88E35">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（一）在计划说明书“重大事项提示”以及其他相关章节中，披露最新一期财务报表主营业务收入、净利润、总资产、净资产等主要财务数据和财务指标；</w:t>
      </w:r>
    </w:p>
    <w:p w14:paraId="49BBFE0A">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（二）在计划说明书中通过增加附件或者索引的方式补充披露最新一期财务报表。</w:t>
      </w:r>
    </w:p>
    <w:p w14:paraId="2D4B3BB2">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已在本所或者其他市场披露经审计的年度财务报告的，应当提供该报告，并同步更新全套申报文件。</w:t>
      </w:r>
    </w:p>
    <w:p w14:paraId="61D355AD">
      <w:pPr>
        <w:pStyle w:val="2"/>
        <w:spacing w:line="600" w:lineRule="exact"/>
        <w:ind w:firstLine="602"/>
        <w:rPr>
          <w:rFonts w:ascii="Times New Roman" w:hAnsi="Times New Roman"/>
        </w:rPr>
      </w:pPr>
      <w:r>
        <w:rPr>
          <w:rFonts w:ascii="Times New Roman" w:hAnsi="Times New Roman" w:eastAsia="仿宋_GB2312"/>
          <w:b/>
          <w:bCs/>
          <w:sz w:val="30"/>
          <w:szCs w:val="30"/>
        </w:rPr>
        <w:t xml:space="preserve">2.2.5 </w:t>
      </w:r>
      <w:r>
        <w:rPr>
          <w:rFonts w:ascii="Times New Roman" w:hAnsi="Times New Roman" w:eastAsia="仿宋_GB2312"/>
          <w:bCs/>
          <w:sz w:val="30"/>
          <w:szCs w:val="30"/>
        </w:rPr>
        <w:t>特定原始权益人、增信机构为境外上市公司或者其合并报表范围内重要子公司为境外上市公司，上市地监管规则不强制要求披露季度财务报表的，可豁免提供季度财务报表，但仍应当严格遵守财务报表有效期相关规定。</w:t>
      </w:r>
    </w:p>
    <w:p w14:paraId="0EAB26D4">
      <w:pPr>
        <w:pStyle w:val="3"/>
        <w:spacing w:line="600" w:lineRule="exact"/>
        <w:ind w:firstLine="602"/>
        <w:rPr>
          <w:rFonts w:ascii="Times New Roman" w:hAnsi="Times New Roman"/>
        </w:rPr>
      </w:pPr>
      <w:bookmarkStart w:id="7" w:name="_Toc118891156"/>
      <w:r>
        <w:rPr>
          <w:rFonts w:ascii="Times New Roman" w:hAnsi="Times New Roman"/>
        </w:rPr>
        <w:t>第三章</w:t>
      </w:r>
      <w:r>
        <w:rPr>
          <w:rFonts w:ascii="Times New Roman" w:hAnsi="Times New Roman"/>
        </w:rPr>
        <w:tab/>
      </w:r>
      <w:r>
        <w:rPr>
          <w:rFonts w:ascii="Times New Roman" w:hAnsi="Times New Roman"/>
        </w:rPr>
        <w:t>计划说明书编制要求</w:t>
      </w:r>
      <w:bookmarkEnd w:id="7"/>
    </w:p>
    <w:p w14:paraId="0951D4A9">
      <w:pPr>
        <w:pStyle w:val="4"/>
        <w:rPr>
          <w:rFonts w:ascii="Times New Roman" w:hAnsi="Times New Roman"/>
          <w:szCs w:val="30"/>
          <w:shd w:val="clear" w:fill="auto"/>
        </w:rPr>
      </w:pPr>
      <w:bookmarkStart w:id="8" w:name="_Toc118891157"/>
      <w:r>
        <w:rPr>
          <w:rFonts w:ascii="Times New Roman" w:hAnsi="Times New Roman"/>
          <w:szCs w:val="30"/>
          <w:shd w:val="clear" w:fill="auto"/>
        </w:rPr>
        <w:t>第一节</w:t>
      </w:r>
      <w:r>
        <w:rPr>
          <w:rFonts w:ascii="Times New Roman" w:hAnsi="Times New Roman"/>
          <w:szCs w:val="30"/>
          <w:shd w:val="clear" w:fill="auto"/>
        </w:rPr>
        <w:tab/>
      </w:r>
      <w:r>
        <w:rPr>
          <w:rFonts w:ascii="Times New Roman" w:hAnsi="Times New Roman"/>
          <w:szCs w:val="30"/>
          <w:shd w:val="clear" w:fill="auto"/>
        </w:rPr>
        <w:t>总体要求</w:t>
      </w:r>
      <w:bookmarkEnd w:id="8"/>
    </w:p>
    <w:p w14:paraId="2CE28D6F">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3.1.1 </w:t>
      </w:r>
      <w:r>
        <w:rPr>
          <w:rFonts w:ascii="Times New Roman" w:hAnsi="Times New Roman" w:eastAsia="仿宋_GB2312"/>
          <w:sz w:val="30"/>
          <w:szCs w:val="30"/>
        </w:rPr>
        <w:t>管理人应当按照《信息披露指引》、中国证券投资基金业协会《资产支持专项计划说明书内容与格式指引（试行）》和本指引的要求编制计划说明书。本指引是计划说明书信息披露的最低要求，不论是否有明确规定，凡对投资者作出价值判断和投资决策有重大影响的信息，均应披露。</w:t>
      </w:r>
    </w:p>
    <w:p w14:paraId="66F87E7D">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本指引部分具体要求对专项计划确不适用的，管理人可以根据实际情况，在不影响披露内容完整性的前提下作适当调整，但应当在提交申请时作书面说明。</w:t>
      </w:r>
    </w:p>
    <w:p w14:paraId="355999F1">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3.1.2 </w:t>
      </w:r>
      <w:r>
        <w:rPr>
          <w:rFonts w:ascii="Times New Roman" w:hAnsi="Times New Roman" w:eastAsia="仿宋_GB2312"/>
          <w:sz w:val="30"/>
          <w:szCs w:val="30"/>
        </w:rPr>
        <w:t>计划说明书的编制应当符合下列要求：</w:t>
      </w:r>
    </w:p>
    <w:p w14:paraId="3DCE5EED">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（一）遵循重要性原则，重点披露影响投资者价值判断、投资决策和投资者权益保护的重要事项；</w:t>
      </w:r>
    </w:p>
    <w:p w14:paraId="242B56CE">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（二）使用通俗易懂的事实描述性语言，不得有祝贺性、广告性、恭维性或诋毁性的词句，尽量使用图表、图片或者其他较为直观的披露方式，具有可读性和可理解性；</w:t>
      </w:r>
    </w:p>
    <w:p w14:paraId="43D3A8B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（三）引用的信息应当有明确的时间范围和资料来源，应当有充分、客观、公正的依据；</w:t>
      </w:r>
    </w:p>
    <w:p w14:paraId="634B7A2E">
      <w:pPr>
        <w:spacing w:line="600" w:lineRule="exact"/>
        <w:ind w:firstLine="600"/>
        <w:rPr>
          <w:rFonts w:ascii="Times New Roman" w:hAnsi="Times New Roman" w:eastAsia="仿宋_GB2312"/>
        </w:rPr>
      </w:pPr>
      <w:r>
        <w:rPr>
          <w:rFonts w:ascii="Times New Roman" w:hAnsi="Times New Roman" w:eastAsia="仿宋_GB2312"/>
          <w:sz w:val="30"/>
          <w:szCs w:val="30"/>
        </w:rPr>
        <w:t>（四）引用的数字应当采用阿拉伯数字，货币金额除特别说明外，应当指人民币金额，并注明金额单位。</w:t>
      </w:r>
    </w:p>
    <w:p w14:paraId="6DF567A4">
      <w:pPr>
        <w:pStyle w:val="2"/>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3.1.3 </w:t>
      </w:r>
      <w:r>
        <w:rPr>
          <w:rFonts w:ascii="Times New Roman" w:hAnsi="Times New Roman" w:eastAsia="仿宋_GB2312"/>
          <w:bCs/>
          <w:sz w:val="30"/>
          <w:szCs w:val="30"/>
        </w:rPr>
        <w:t>管理人在制作、修改计划说明书等挂牌条件确认申请文件或者反馈回复时，拟披露的信息属于国家秘密、</w:t>
      </w:r>
      <w:r>
        <w:rPr>
          <w:rFonts w:ascii="Times New Roman" w:hAnsi="Times New Roman" w:eastAsia="仿宋_GB2312"/>
          <w:sz w:val="30"/>
          <w:szCs w:val="30"/>
          <w:lang w:bidi="en-US"/>
        </w:rPr>
        <w:t>永久性商业秘密或商业敏感信息，或者本所认可的其他情形，</w:t>
      </w:r>
      <w:r>
        <w:rPr>
          <w:rFonts w:ascii="Times New Roman" w:hAnsi="Times New Roman" w:eastAsia="仿宋_GB2312"/>
          <w:bCs/>
          <w:sz w:val="30"/>
          <w:szCs w:val="30"/>
        </w:rPr>
        <w:t>披露</w:t>
      </w:r>
      <w:r>
        <w:rPr>
          <w:rFonts w:ascii="Times New Roman" w:hAnsi="Times New Roman" w:eastAsia="仿宋_GB2312"/>
          <w:sz w:val="30"/>
          <w:szCs w:val="30"/>
          <w:lang w:bidi="en-US"/>
        </w:rPr>
        <w:t>或者履行相关义务</w:t>
      </w:r>
      <w:r>
        <w:rPr>
          <w:rFonts w:ascii="Times New Roman" w:hAnsi="Times New Roman" w:eastAsia="仿宋_GB2312"/>
          <w:bCs/>
          <w:sz w:val="30"/>
          <w:szCs w:val="30"/>
        </w:rPr>
        <w:t>可能导致其违反国家有关保密法律法规规定或者严重损害公司利益的，管理人可以向本所提交《</w:t>
      </w:r>
      <w:r>
        <w:rPr>
          <w:rFonts w:ascii="Times New Roman" w:hAnsi="Times New Roman" w:eastAsia="仿宋_GB2312"/>
          <w:sz w:val="30"/>
          <w:szCs w:val="30"/>
        </w:rPr>
        <w:t>信息披露豁免申请</w:t>
      </w:r>
      <w:r>
        <w:rPr>
          <w:rFonts w:ascii="Times New Roman" w:hAnsi="Times New Roman" w:eastAsia="仿宋_GB2312"/>
          <w:bCs/>
          <w:sz w:val="30"/>
          <w:szCs w:val="30"/>
        </w:rPr>
        <w:t>》，说明豁免披露的原因并承诺已披露的信息符合相关保密法律法规的规定。</w:t>
      </w:r>
    </w:p>
    <w:p w14:paraId="04379281">
      <w:pPr>
        <w:pStyle w:val="2"/>
        <w:spacing w:line="600" w:lineRule="exact"/>
        <w:ind w:firstLine="600"/>
        <w:rPr>
          <w:rFonts w:ascii="Times New Roman" w:hAnsi="Times New Roman" w:eastAsia="仿宋_GB2312"/>
          <w:sz w:val="30"/>
          <w:szCs w:val="30"/>
        </w:rPr>
      </w:pPr>
      <w:r>
        <w:rPr>
          <w:rFonts w:ascii="Times New Roman" w:hAnsi="Times New Roman" w:eastAsia="仿宋_GB2312"/>
          <w:bCs/>
          <w:sz w:val="30"/>
          <w:szCs w:val="30"/>
        </w:rPr>
        <w:t>管理人不得泄露国家秘密，也不得滥用豁免披露而影响信息披露的真实、准确、完整。本所认为豁免披露理由不成立的，管理人应当按照规定予以披露。</w:t>
      </w:r>
    </w:p>
    <w:p w14:paraId="53346B03">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3.1.4 </w:t>
      </w:r>
      <w:r>
        <w:rPr>
          <w:rFonts w:ascii="Times New Roman" w:hAnsi="Times New Roman" w:eastAsia="仿宋_GB2312"/>
          <w:sz w:val="30"/>
          <w:szCs w:val="30"/>
        </w:rPr>
        <w:t>在不影响信息披露的完整性并保证阅读方便的前提下，管理人可以采用相互引证的方法，对计划说明书前后文进行适当的简化处理。</w:t>
      </w:r>
    </w:p>
    <w:p w14:paraId="450D25C2">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原始权益人、增信机构已在其他公开发行证券的信息披露文件中披露过的信息，不存在重大不利变化或其他特殊情形的，管理人可以采用索引的方法进行披露，以免重复。索引的内容也是计划说明书的组成部分，业务参与人及其相关人员应对其承担相应的法律责任。</w:t>
      </w:r>
    </w:p>
    <w:p w14:paraId="2C9B1CA0">
      <w:pPr>
        <w:tabs>
          <w:tab w:val="left" w:pos="0"/>
          <w:tab w:val="left" w:pos="425"/>
          <w:tab w:val="left" w:pos="709"/>
          <w:tab w:val="left" w:pos="1260"/>
          <w:tab w:val="left" w:pos="1418"/>
        </w:tabs>
        <w:snapToGrid w:val="0"/>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3.1.5 </w:t>
      </w:r>
      <w:r>
        <w:rPr>
          <w:rFonts w:ascii="Times New Roman" w:hAnsi="Times New Roman" w:eastAsia="仿宋_GB2312"/>
          <w:sz w:val="30"/>
          <w:szCs w:val="30"/>
        </w:rPr>
        <w:t>计划说明书文本封面应当标有“XX资产支持专项计划说明书”字样。封面下端应当标明管理人的全称、签署日期以及相关机构签章。</w:t>
      </w:r>
    </w:p>
    <w:p w14:paraId="3123DA9D">
      <w:pPr>
        <w:tabs>
          <w:tab w:val="left" w:pos="0"/>
        </w:tabs>
        <w:snapToGrid w:val="0"/>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3.1.6 </w:t>
      </w:r>
      <w:r>
        <w:rPr>
          <w:rFonts w:ascii="Times New Roman" w:hAnsi="Times New Roman" w:eastAsia="仿宋_GB2312"/>
          <w:sz w:val="30"/>
          <w:szCs w:val="30"/>
        </w:rPr>
        <w:t>专项计划项目命名应当符合下列要求：</w:t>
      </w:r>
    </w:p>
    <w:p w14:paraId="6113D572">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（一）项目名称明确、简短、不易产生歧义和误导；</w:t>
      </w:r>
    </w:p>
    <w:p w14:paraId="53494959">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（二）项目名称可以按照管理人、原始权益人简称、基础资产类型、年份（如2022年）、期数（如第1-10期）的顺序进行命名，中间需要连接符的均以“－”体现；</w:t>
      </w:r>
    </w:p>
    <w:p w14:paraId="56A8ADAD">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（三）项目名称中不应当出现特殊符号、字母等，如“”、＆、【】、N、X等字样；</w:t>
      </w:r>
    </w:p>
    <w:p w14:paraId="307120F6">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（四）项目名称中包含其他机构简称的，该机构应当为专项计划业务参与人，且于名称中的排序应当在管理人简称之后；</w:t>
      </w:r>
    </w:p>
    <w:p w14:paraId="66BB55A8">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（五）专项计划基础资产对应特定财产的（如商业物业、基础设施等），可以该财产名称替代基础资产类型；</w:t>
      </w:r>
    </w:p>
    <w:p w14:paraId="10213463">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（六）专项计划名称涉及特定品种的，管理人应当根据相关规则要求披露认定依据；</w:t>
      </w:r>
    </w:p>
    <w:p w14:paraId="067337CB">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（七）在本所申报的专项计划名称不得与其他市场的产品名称重复。</w:t>
      </w:r>
    </w:p>
    <w:p w14:paraId="290F22B9">
      <w:pPr>
        <w:pStyle w:val="2"/>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3.1.7 </w:t>
      </w:r>
      <w:r>
        <w:rPr>
          <w:rFonts w:ascii="Times New Roman" w:hAnsi="Times New Roman" w:eastAsia="仿宋_GB2312"/>
          <w:sz w:val="30"/>
          <w:szCs w:val="30"/>
        </w:rPr>
        <w:t>管理人应当在计划说明书的扉页提示投资者：“资产支持证券仅代表专项计划权益的相应份额，不属于管理人或者其他任何服务机构的负债。中国证券投资基金业协会对本期专项计划的备案、上海证券交易所同意本期资产支持证券的挂牌转让，并不代表对本期证券的投资风险、价值或收益作出任何判断或保证。投资者应当认真阅读有关信息披露文件，进行独立的投资判断，自行承担投资风险。”</w:t>
      </w:r>
    </w:p>
    <w:p w14:paraId="0658A74A">
      <w:pPr>
        <w:tabs>
          <w:tab w:val="left" w:pos="0"/>
        </w:tabs>
        <w:snapToGrid w:val="0"/>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3.1.8 </w:t>
      </w:r>
      <w:r>
        <w:rPr>
          <w:rFonts w:ascii="Times New Roman" w:hAnsi="Times New Roman" w:eastAsia="仿宋_GB2312"/>
          <w:sz w:val="30"/>
          <w:szCs w:val="30"/>
        </w:rPr>
        <w:t>计划说明书扉页应当就下列可能严重影响资产支持证券偿付的风险事项作“重大事项提示”，提醒投资者关注：</w:t>
      </w:r>
    </w:p>
    <w:p w14:paraId="51E63890">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（一）基础资产、底层资产（如有）、相关资产（如有）权属存在抵押、质押、查封、冻结、其他类型或性质的权利限制，或转让存在不利影响的事项；</w:t>
      </w:r>
    </w:p>
    <w:p w14:paraId="1E2BBDDD">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（二）基础资产、底层资产（如有）历史现金流波动较大，或者基础资产相关业务的经营情况可能恶化；</w:t>
      </w:r>
    </w:p>
    <w:p w14:paraId="12E2AB7E">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（三）特定原始权益人、重要现金流提供方、增信机构等经营状况、财务状况、偿付能力指标较差或下降趋势明显；</w:t>
      </w:r>
    </w:p>
    <w:p w14:paraId="26B5FC09">
      <w:pPr>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（四）特定原始权益人、重要现金流提供方、增信机构等存在重大不良信用记录、重大违法违规或者重大未决诉讼事项；</w:t>
      </w:r>
    </w:p>
    <w:p w14:paraId="6B734FB4">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（五）对投资者判断资产支持证券价值、投资决策和投资者权益存在重大影响的其他事项。</w:t>
      </w:r>
    </w:p>
    <w:p w14:paraId="1CBF6458">
      <w:pPr>
        <w:pStyle w:val="2"/>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3.1.9 </w:t>
      </w:r>
      <w:r>
        <w:rPr>
          <w:rFonts w:ascii="Times New Roman" w:hAnsi="Times New Roman" w:eastAsia="仿宋_GB2312"/>
          <w:sz w:val="30"/>
          <w:szCs w:val="30"/>
        </w:rPr>
        <w:t>计划说明书应当设置目录和释义。目录应当标明各章、节的标题以及相应的页码，内容编排应当逻辑清晰。释义应在目录次页排印，对计划说明书中的有关机构简称、代称、专有名词、专业名词进行准确、简要定义。</w:t>
      </w:r>
    </w:p>
    <w:p w14:paraId="3A654F3F">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计划说明书与标准条款等其他申请文件关于同一简称、代称、专有名词、专业名词的定义应当保持一致。</w:t>
      </w:r>
    </w:p>
    <w:p w14:paraId="624A6163">
      <w:pPr>
        <w:pStyle w:val="4"/>
        <w:rPr>
          <w:rFonts w:ascii="Times New Roman" w:hAnsi="Times New Roman"/>
          <w:szCs w:val="30"/>
          <w:shd w:val="clear" w:fill="auto"/>
        </w:rPr>
      </w:pPr>
      <w:bookmarkStart w:id="9" w:name="_Toc110445489"/>
      <w:bookmarkEnd w:id="9"/>
      <w:bookmarkStart w:id="10" w:name="_Toc118891158"/>
      <w:r>
        <w:rPr>
          <w:rFonts w:ascii="Times New Roman" w:hAnsi="Times New Roman"/>
          <w:szCs w:val="30"/>
          <w:shd w:val="clear" w:fill="auto"/>
        </w:rPr>
        <w:t>第二节</w:t>
      </w:r>
      <w:r>
        <w:rPr>
          <w:rFonts w:ascii="Times New Roman" w:hAnsi="Times New Roman"/>
          <w:szCs w:val="30"/>
          <w:shd w:val="clear" w:fill="auto"/>
        </w:rPr>
        <w:tab/>
      </w:r>
      <w:r>
        <w:rPr>
          <w:rFonts w:ascii="Times New Roman" w:hAnsi="Times New Roman"/>
          <w:szCs w:val="30"/>
          <w:shd w:val="clear" w:fill="auto"/>
        </w:rPr>
        <w:t>当事人的权利和义务</w:t>
      </w:r>
      <w:bookmarkEnd w:id="10"/>
    </w:p>
    <w:p w14:paraId="222DB96A">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3.2 </w:t>
      </w:r>
      <w:r>
        <w:rPr>
          <w:rFonts w:ascii="Times New Roman" w:hAnsi="Times New Roman" w:eastAsia="仿宋_GB2312"/>
          <w:sz w:val="30"/>
          <w:szCs w:val="30"/>
        </w:rPr>
        <w:t>计划说明书应当披露资产支持证券持有人、管理人、托管人以及其他业务参与人的权利与义务。</w:t>
      </w:r>
    </w:p>
    <w:p w14:paraId="3DC1D9B8">
      <w:pPr>
        <w:pStyle w:val="4"/>
        <w:rPr>
          <w:rFonts w:ascii="Times New Roman" w:hAnsi="Times New Roman"/>
          <w:szCs w:val="30"/>
          <w:shd w:val="clear" w:fill="auto"/>
        </w:rPr>
      </w:pPr>
      <w:bookmarkStart w:id="11" w:name="_Toc118891159"/>
      <w:r>
        <w:rPr>
          <w:rFonts w:ascii="Times New Roman" w:hAnsi="Times New Roman"/>
          <w:szCs w:val="30"/>
          <w:shd w:val="clear" w:fill="auto"/>
        </w:rPr>
        <w:t>第三节</w:t>
      </w:r>
      <w:r>
        <w:rPr>
          <w:rFonts w:ascii="Times New Roman" w:hAnsi="Times New Roman"/>
          <w:szCs w:val="30"/>
          <w:shd w:val="clear" w:fill="auto"/>
        </w:rPr>
        <w:tab/>
      </w:r>
      <w:r>
        <w:rPr>
          <w:rFonts w:ascii="Times New Roman" w:hAnsi="Times New Roman"/>
          <w:szCs w:val="30"/>
          <w:shd w:val="clear" w:fill="auto"/>
        </w:rPr>
        <w:t>资产支持证券的基本情况</w:t>
      </w:r>
      <w:bookmarkEnd w:id="11"/>
    </w:p>
    <w:p w14:paraId="0BDD303A">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3.3.1 </w:t>
      </w:r>
      <w:r>
        <w:rPr>
          <w:rFonts w:ascii="Times New Roman" w:hAnsi="Times New Roman" w:eastAsia="仿宋_GB2312"/>
          <w:sz w:val="30"/>
          <w:szCs w:val="30"/>
        </w:rPr>
        <w:t>计划说明书应当披露资产支持证券下列基本情况：</w:t>
      </w:r>
    </w:p>
    <w:p w14:paraId="32EF719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（一）专项计划名称、发行规模、品种、期限、预期收益率及其调整机制、风险自留安排；</w:t>
      </w:r>
    </w:p>
    <w:p w14:paraId="43F389A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（二）收益分配方式以及分配频率，并以列表形式披露资产支持证券本金与收益偿付时点、分配金额、相关选择权的行权时点和行权方式等具体内容</w:t>
      </w:r>
      <w:r>
        <w:rPr>
          <w:rFonts w:ascii="Times New Roman" w:hAnsi="Times New Roman" w:eastAsia="仿宋_GB2312"/>
          <w:kern w:val="0"/>
          <w:sz w:val="30"/>
          <w:szCs w:val="30"/>
        </w:rPr>
        <w:t>；</w:t>
      </w:r>
    </w:p>
    <w:p w14:paraId="48D47DE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（三）基础资产循环购买安排（如有）、回售赎回安排（如有）、开放退出安排（如有）、优先收购安排（如有）等特殊条款；</w:t>
      </w:r>
    </w:p>
    <w:p w14:paraId="17CAB566">
      <w:pPr>
        <w:spacing w:line="600" w:lineRule="exact"/>
        <w:ind w:firstLine="600"/>
        <w:rPr>
          <w:rFonts w:ascii="Times New Roman" w:hAnsi="Times New Roman" w:eastAsia="仿宋_GB2312"/>
          <w:kern w:val="0"/>
          <w:sz w:val="30"/>
          <w:szCs w:val="30"/>
        </w:rPr>
      </w:pPr>
      <w:r>
        <w:rPr>
          <w:rFonts w:ascii="Times New Roman" w:hAnsi="Times New Roman" w:eastAsia="仿宋_GB2312"/>
          <w:sz w:val="30"/>
          <w:szCs w:val="30"/>
        </w:rPr>
        <w:t>（四）资信评级状况（如有）以及登记、托管、交易场所等。</w:t>
      </w:r>
    </w:p>
    <w:p w14:paraId="6EF5969B">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3.3.2 </w:t>
      </w:r>
      <w:r>
        <w:rPr>
          <w:rFonts w:ascii="Times New Roman" w:hAnsi="Times New Roman" w:eastAsia="仿宋_GB2312"/>
          <w:sz w:val="30"/>
          <w:szCs w:val="30"/>
        </w:rPr>
        <w:t>管理人应当在计划说明书以及相关申请文件中披露专项计划是否分期发行。分期发行的，还应当披露下列分期发行安排：</w:t>
      </w:r>
    </w:p>
    <w:p w14:paraId="712E5D4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（一）申请总规模、发行期数、各期发行规模以及期限、证券分层、证券评级</w:t>
      </w:r>
      <w:r>
        <w:rPr>
          <w:rFonts w:ascii="Times New Roman" w:hAnsi="Times New Roman" w:eastAsia="仿宋_GB2312"/>
          <w:bCs/>
          <w:sz w:val="30"/>
          <w:szCs w:val="30"/>
        </w:rPr>
        <w:t>（如有）</w:t>
      </w:r>
      <w:r>
        <w:rPr>
          <w:rFonts w:ascii="Times New Roman" w:hAnsi="Times New Roman" w:eastAsia="仿宋_GB2312"/>
          <w:sz w:val="30"/>
          <w:szCs w:val="30"/>
        </w:rPr>
        <w:t>；</w:t>
      </w:r>
    </w:p>
    <w:p w14:paraId="30C2B5A2">
      <w:pPr>
        <w:tabs>
          <w:tab w:val="left" w:pos="0"/>
          <w:tab w:val="left" w:pos="709"/>
          <w:tab w:val="left" w:pos="1260"/>
        </w:tabs>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（二）基础资产合格标准、拟入池资产概况、各期尽职调查安排和增信措施；</w:t>
      </w:r>
    </w:p>
    <w:p w14:paraId="3518D1A7">
      <w:pPr>
        <w:tabs>
          <w:tab w:val="left" w:pos="0"/>
          <w:tab w:val="left" w:pos="709"/>
          <w:tab w:val="left" w:pos="1260"/>
        </w:tabs>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（三）各期证券在循环购买、存续期限、证券分层以及相关业务参与人等方面是否存在差异性安排等。</w:t>
      </w:r>
    </w:p>
    <w:p w14:paraId="0E2F19BA">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3.3.3 </w:t>
      </w:r>
      <w:r>
        <w:rPr>
          <w:rFonts w:ascii="Times New Roman" w:hAnsi="Times New Roman" w:eastAsia="仿宋_GB2312"/>
          <w:sz w:val="30"/>
          <w:szCs w:val="30"/>
        </w:rPr>
        <w:t>资产支持证券设置赎回选择权的，计划说明书应当约定行使赎回权的时间、赎回价格、赎回条件，并明确相关业务参与人在满足赎回条件时，是否行使赎回权以及行使赎回权的程序、赎回登记日、赎回价格、付款方法、付款时间等赎回安排。</w:t>
      </w:r>
    </w:p>
    <w:p w14:paraId="683D870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资产支持证券设置投资者回售权的，计划说明书应当约定投资者可以行使回售权的时间、回售价格，并明确回售权行使后，回售程序、回售申报期、回售价格、付款方法、付款时间等回售安排。</w:t>
      </w:r>
    </w:p>
    <w:p w14:paraId="77959995">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资产支持证券设置赎回或回售条款的，管理人应当充分揭示赎回或回售条款对资产支持证券期限、利率以及偿付产生不确定性的风险。</w:t>
      </w:r>
    </w:p>
    <w:p w14:paraId="5CA82E7A">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3.3.4 </w:t>
      </w:r>
      <w:r>
        <w:rPr>
          <w:rFonts w:ascii="Times New Roman" w:hAnsi="Times New Roman" w:eastAsia="仿宋_GB2312"/>
          <w:sz w:val="30"/>
          <w:szCs w:val="30"/>
        </w:rPr>
        <w:t>资产支持证券设置票面利率调整选择权的，计划说明书应当约定票面利率调整的具体方式、调整后利率的适用期间、相关业务参与人权利与义务、相关业务参与人未行权的法律后果等事项。</w:t>
      </w:r>
    </w:p>
    <w:p w14:paraId="4556930F">
      <w:pPr>
        <w:pStyle w:val="4"/>
        <w:rPr>
          <w:rFonts w:ascii="Times New Roman" w:hAnsi="Times New Roman"/>
          <w:szCs w:val="30"/>
          <w:shd w:val="clear" w:fill="auto"/>
        </w:rPr>
      </w:pPr>
      <w:bookmarkStart w:id="12" w:name="_Toc110445492"/>
      <w:bookmarkEnd w:id="12"/>
      <w:bookmarkStart w:id="13" w:name="_Toc118891160"/>
      <w:r>
        <w:rPr>
          <w:rFonts w:ascii="Times New Roman" w:hAnsi="Times New Roman"/>
          <w:szCs w:val="30"/>
          <w:shd w:val="clear" w:fill="auto"/>
        </w:rPr>
        <w:t>第四节</w:t>
      </w:r>
      <w:r>
        <w:rPr>
          <w:rFonts w:ascii="Times New Roman" w:hAnsi="Times New Roman"/>
          <w:b w:val="0"/>
          <w:szCs w:val="30"/>
          <w:shd w:val="clear" w:fill="auto"/>
        </w:rPr>
        <w:tab/>
      </w:r>
      <w:r>
        <w:rPr>
          <w:rFonts w:ascii="Times New Roman" w:hAnsi="Times New Roman"/>
          <w:szCs w:val="30"/>
          <w:shd w:val="clear" w:fill="auto"/>
        </w:rPr>
        <w:t>专项计划的交易结构与业务参与人简介</w:t>
      </w:r>
      <w:bookmarkEnd w:id="13"/>
    </w:p>
    <w:p w14:paraId="624FAFDA">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3.4.1 </w:t>
      </w:r>
      <w:r>
        <w:rPr>
          <w:rFonts w:ascii="Times New Roman" w:hAnsi="Times New Roman" w:eastAsia="仿宋_GB2312"/>
          <w:sz w:val="30"/>
          <w:szCs w:val="30"/>
        </w:rPr>
        <w:t>计划说明书应当披露下列业务参与人的名称、法定代表人、住所、办公地址、联系人、联系方式等信息：</w:t>
      </w:r>
    </w:p>
    <w:p w14:paraId="33442856">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（一）</w:t>
      </w:r>
      <w:r>
        <w:rPr>
          <w:rFonts w:ascii="Times New Roman" w:hAnsi="Times New Roman" w:eastAsia="仿宋_GB2312"/>
          <w:sz w:val="30"/>
          <w:szCs w:val="30"/>
        </w:rPr>
        <w:t>管理人；</w:t>
      </w:r>
    </w:p>
    <w:p w14:paraId="6E4DDE7C">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（二）</w:t>
      </w:r>
      <w:r>
        <w:rPr>
          <w:rFonts w:ascii="Times New Roman" w:hAnsi="Times New Roman" w:eastAsia="仿宋_GB2312"/>
          <w:sz w:val="30"/>
          <w:szCs w:val="30"/>
        </w:rPr>
        <w:t>原始权益人；</w:t>
      </w:r>
    </w:p>
    <w:p w14:paraId="63DE993A">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（三）</w:t>
      </w:r>
      <w:r>
        <w:rPr>
          <w:rFonts w:ascii="Times New Roman" w:hAnsi="Times New Roman" w:eastAsia="仿宋_GB2312"/>
          <w:sz w:val="30"/>
          <w:szCs w:val="30"/>
        </w:rPr>
        <w:t>资产服务机构；</w:t>
      </w:r>
    </w:p>
    <w:p w14:paraId="6ED78541">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（四）</w:t>
      </w:r>
      <w:r>
        <w:rPr>
          <w:rFonts w:ascii="Times New Roman" w:hAnsi="Times New Roman" w:eastAsia="仿宋_GB2312"/>
          <w:sz w:val="30"/>
          <w:szCs w:val="30"/>
        </w:rPr>
        <w:t>增信机构（如有）；</w:t>
      </w:r>
    </w:p>
    <w:p w14:paraId="71E2542B">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（五）</w:t>
      </w:r>
      <w:r>
        <w:rPr>
          <w:rFonts w:ascii="Times New Roman" w:hAnsi="Times New Roman" w:eastAsia="仿宋_GB2312"/>
          <w:sz w:val="30"/>
          <w:szCs w:val="30"/>
        </w:rPr>
        <w:t>托管人、监管银行（如有）；</w:t>
      </w:r>
    </w:p>
    <w:p w14:paraId="4315B1B0">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（六）</w:t>
      </w:r>
      <w:r>
        <w:rPr>
          <w:rFonts w:ascii="Times New Roman" w:hAnsi="Times New Roman" w:eastAsia="仿宋_GB2312"/>
          <w:sz w:val="30"/>
          <w:szCs w:val="30"/>
        </w:rPr>
        <w:t>律师事务所；</w:t>
      </w:r>
    </w:p>
    <w:p w14:paraId="49494941">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（七）</w:t>
      </w:r>
      <w:r>
        <w:rPr>
          <w:rFonts w:ascii="Times New Roman" w:hAnsi="Times New Roman" w:eastAsia="仿宋_GB2312"/>
          <w:sz w:val="30"/>
          <w:szCs w:val="30"/>
        </w:rPr>
        <w:t>会计师事务所；</w:t>
      </w:r>
    </w:p>
    <w:p w14:paraId="7F25CC91">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（八）</w:t>
      </w:r>
      <w:r>
        <w:rPr>
          <w:rFonts w:ascii="Times New Roman" w:hAnsi="Times New Roman" w:eastAsia="仿宋_GB2312"/>
          <w:sz w:val="30"/>
          <w:szCs w:val="30"/>
        </w:rPr>
        <w:t>资信评级机构（如有）；</w:t>
      </w:r>
    </w:p>
    <w:p w14:paraId="1DBB5877">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（九）</w:t>
      </w:r>
      <w:r>
        <w:rPr>
          <w:rFonts w:ascii="Times New Roman" w:hAnsi="Times New Roman" w:eastAsia="仿宋_GB2312"/>
          <w:sz w:val="30"/>
          <w:szCs w:val="30"/>
        </w:rPr>
        <w:t>现金流预测机构（如有）、资产评估机构（如有）；</w:t>
      </w:r>
    </w:p>
    <w:p w14:paraId="083463B9">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w:t>
      </w:r>
      <w:r>
        <w:rPr>
          <w:rFonts w:ascii="Times New Roman" w:hAnsi="Times New Roman" w:eastAsia="仿宋_GB2312"/>
          <w:sz w:val="30"/>
          <w:szCs w:val="30"/>
        </w:rPr>
        <w:t>登记、托管、结算机构；</w:t>
      </w:r>
    </w:p>
    <w:p w14:paraId="5D7535BA">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（十一）</w:t>
      </w:r>
      <w:r>
        <w:rPr>
          <w:rFonts w:ascii="Times New Roman" w:hAnsi="Times New Roman" w:eastAsia="仿宋_GB2312"/>
          <w:sz w:val="30"/>
          <w:szCs w:val="30"/>
        </w:rPr>
        <w:t>财务顾问（如有）、推广机构、销售机构；</w:t>
      </w:r>
    </w:p>
    <w:p w14:paraId="53F184A6">
      <w:pPr>
        <w:pStyle w:val="55"/>
        <w:numPr>
          <w:ilvl w:val="0"/>
          <w:numId w:val="0"/>
        </w:numPr>
        <w:tabs>
          <w:tab w:val="left" w:pos="1418"/>
        </w:tabs>
        <w:spacing w:line="600" w:lineRule="exact"/>
        <w:ind w:left="0" w:leftChars="0" w:firstLine="420" w:firstLineChars="0"/>
        <w:rPr>
          <w:rFonts w:ascii="Times New Roman" w:hAnsi="Times New Roman" w:eastAsia="仿宋_GB2312"/>
          <w:sz w:val="30"/>
          <w:szCs w:val="30"/>
        </w:rPr>
      </w:pPr>
      <w:r>
        <w:rPr>
          <w:rFonts w:ascii="Times New Roman" w:hAnsi="Times New Roman" w:eastAsia="仿宋_GB2312" w:cs="Times New Roman"/>
          <w:color w:val="auto"/>
          <w:kern w:val="2"/>
          <w:sz w:val="30"/>
          <w:szCs w:val="30"/>
          <w:lang w:val="en-US" w:eastAsia="zh-CN" w:bidi="ar-SA"/>
        </w:rPr>
        <w:t>（十二）</w:t>
      </w:r>
      <w:r>
        <w:rPr>
          <w:rFonts w:ascii="Times New Roman" w:hAnsi="Times New Roman" w:eastAsia="仿宋_GB2312"/>
          <w:sz w:val="30"/>
          <w:szCs w:val="30"/>
        </w:rPr>
        <w:t>其他与资产支持证券发行有关的机构。</w:t>
      </w:r>
    </w:p>
    <w:p w14:paraId="3CAA9A9E">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3.4.2 </w:t>
      </w:r>
      <w:r>
        <w:rPr>
          <w:rFonts w:ascii="Times New Roman" w:hAnsi="Times New Roman" w:eastAsia="仿宋_GB2312"/>
          <w:sz w:val="30"/>
          <w:szCs w:val="30"/>
        </w:rPr>
        <w:t>计划说明书应当披露专项计划的交易流程和交易结构，明确业务参与人的角色和权利义务关系。</w:t>
      </w:r>
    </w:p>
    <w:p w14:paraId="0010C02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基础资产为信托受益权或其他资产管理产品份额的，还应当穿透至底层资产，披露其形成过程、担保权益以及其他权利（如有）和交易安排。</w:t>
      </w:r>
    </w:p>
    <w:p w14:paraId="027A0DC9">
      <w:pPr>
        <w:pStyle w:val="2"/>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3.4.3 </w:t>
      </w:r>
      <w:r>
        <w:rPr>
          <w:rFonts w:ascii="Times New Roman" w:hAnsi="Times New Roman" w:eastAsia="仿宋_GB2312"/>
          <w:sz w:val="30"/>
          <w:szCs w:val="30"/>
        </w:rPr>
        <w:t>管理人应当根据《关于加强证券公司在投资银行类业务中聘请第三方等廉洁从业风险防控的意见》（中国证监会公告〔2018〕22号）相关规定，披露聘请第三方的有关情况。</w:t>
      </w:r>
    </w:p>
    <w:p w14:paraId="114AA884">
      <w:pPr>
        <w:pStyle w:val="4"/>
        <w:rPr>
          <w:rFonts w:ascii="Times New Roman" w:hAnsi="Times New Roman"/>
          <w:szCs w:val="30"/>
          <w:shd w:val="clear" w:fill="auto"/>
        </w:rPr>
      </w:pPr>
      <w:bookmarkStart w:id="14" w:name="_Toc118891161"/>
      <w:r>
        <w:rPr>
          <w:rFonts w:ascii="Times New Roman" w:hAnsi="Times New Roman"/>
          <w:szCs w:val="30"/>
          <w:shd w:val="clear" w:fill="auto"/>
        </w:rPr>
        <w:t>第五节</w:t>
      </w:r>
      <w:r>
        <w:rPr>
          <w:rFonts w:ascii="Times New Roman" w:hAnsi="Times New Roman"/>
          <w:szCs w:val="30"/>
          <w:shd w:val="clear" w:fill="auto"/>
        </w:rPr>
        <w:tab/>
      </w:r>
      <w:r>
        <w:rPr>
          <w:rFonts w:ascii="Times New Roman" w:hAnsi="Times New Roman"/>
          <w:szCs w:val="30"/>
          <w:shd w:val="clear" w:fill="auto"/>
        </w:rPr>
        <w:t>信用增级和信用触发机制</w:t>
      </w:r>
      <w:bookmarkEnd w:id="14"/>
    </w:p>
    <w:p w14:paraId="6DDC7E03">
      <w:pPr>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3.5.1 </w:t>
      </w:r>
      <w:r>
        <w:rPr>
          <w:rFonts w:ascii="Times New Roman" w:hAnsi="Times New Roman" w:eastAsia="仿宋_GB2312"/>
          <w:bCs/>
          <w:sz w:val="30"/>
          <w:szCs w:val="30"/>
        </w:rPr>
        <w:t>专项计划存在结构化分层、现金流超额覆盖、保证担保、抵质押、</w:t>
      </w:r>
      <w:r>
        <w:rPr>
          <w:rFonts w:ascii="Times New Roman" w:hAnsi="Times New Roman" w:eastAsia="仿宋_GB2312"/>
          <w:sz w:val="30"/>
          <w:szCs w:val="30"/>
        </w:rPr>
        <w:t>债务加入、差额补足、流动性支持等</w:t>
      </w:r>
      <w:r>
        <w:rPr>
          <w:rFonts w:ascii="Times New Roman" w:hAnsi="Times New Roman" w:eastAsia="仿宋_GB2312"/>
          <w:bCs/>
          <w:sz w:val="30"/>
          <w:szCs w:val="30"/>
        </w:rPr>
        <w:t>信用增级安排的，计划说明书应当披露各项信用增级措施的触发先后顺序、启动时间、触发机制、保障内容以及操作流程、增信安排的法律效力以及增信效果等。</w:t>
      </w:r>
    </w:p>
    <w:p w14:paraId="2B65C968">
      <w:pPr>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增信机构为原始权益人或其关联方或重要现金流提供方的，管理人应当加强对相关主体经营财务信息的披露，并结合风险相关性情况，详细披露前述情况对增信效果的影响，并充分揭示风险。</w:t>
      </w:r>
    </w:p>
    <w:p w14:paraId="0508D51D">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3.5.2 </w:t>
      </w:r>
      <w:r>
        <w:rPr>
          <w:rFonts w:ascii="Times New Roman" w:hAnsi="Times New Roman" w:eastAsia="仿宋_GB2312"/>
          <w:sz w:val="30"/>
          <w:szCs w:val="30"/>
        </w:rPr>
        <w:t>专项计划设置保证担保的，计划说明书应当披露下列担保合同或担保函的主要内容：</w:t>
      </w:r>
    </w:p>
    <w:p w14:paraId="3A3CFEB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（一）担保金额；</w:t>
      </w:r>
    </w:p>
    <w:p w14:paraId="2398BE4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（二）担保期限；</w:t>
      </w:r>
    </w:p>
    <w:p w14:paraId="1F7EA97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（三）担保方式；</w:t>
      </w:r>
    </w:p>
    <w:p w14:paraId="20DAE9BF">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（四）担保范围；</w:t>
      </w:r>
    </w:p>
    <w:p w14:paraId="4149800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（五）管理人、保证人及其之间的权利义务关系等；</w:t>
      </w:r>
    </w:p>
    <w:p w14:paraId="7FAE3740">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（六）主债权人实现债权的方式，包括保证人代为偿付的期间、具体方式和争议解决机制等；</w:t>
      </w:r>
    </w:p>
    <w:p w14:paraId="6685DCEE">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（七）反担保和共同担保的情况（如有）；</w:t>
      </w:r>
    </w:p>
    <w:p w14:paraId="5AE7E626">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（八）各方认为需要约定的其他事项。</w:t>
      </w:r>
    </w:p>
    <w:p w14:paraId="6F46B531">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3.5.3 </w:t>
      </w:r>
      <w:r>
        <w:rPr>
          <w:rFonts w:ascii="Times New Roman" w:hAnsi="Times New Roman" w:eastAsia="仿宋_GB2312"/>
          <w:sz w:val="30"/>
          <w:szCs w:val="30"/>
        </w:rPr>
        <w:t>专项计划设置抵押或者质押担保增信的，计划说明书应当披露担保物的名称、账面值、评估值（如有）、担保物金额与所发行优先级资产支持证券面值总额和本息总额的比例、已经担保的债务总额。</w:t>
      </w:r>
    </w:p>
    <w:p w14:paraId="0E8BB81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计划说明书应当披露担保物的评估、登记、保管、抵质押顺位、相关法律手续的办理情况、执行担保的程序和风险。</w:t>
      </w:r>
    </w:p>
    <w:p w14:paraId="4C06DC1D">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管理人与增信机构应当在抵押或者质押担保合同中约定，并在计划说明书中披露资产支持证券未能按约定完成收益分配时，抵押权人或质押权人实现债权的方式、实现债权的期间、决策程序、处置担保物的方式和流程、处置期限、处置价款分配、争议解决机制等。</w:t>
      </w:r>
    </w:p>
    <w:p w14:paraId="7A047CD7">
      <w:pPr>
        <w:pStyle w:val="2"/>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3.5.4 </w:t>
      </w:r>
      <w:r>
        <w:rPr>
          <w:rFonts w:ascii="Times New Roman" w:hAnsi="Times New Roman" w:eastAsia="仿宋_GB2312"/>
          <w:sz w:val="30"/>
          <w:szCs w:val="30"/>
        </w:rPr>
        <w:t>专项计划涉及境外增信的，管理人应当结合境外增信方式的具体安排、适用法律，披露需履行的境内外相关核准、批准、备案或者登记等法律程序及其进展，并披露相关风险。</w:t>
      </w:r>
    </w:p>
    <w:p w14:paraId="102AF718">
      <w:pPr>
        <w:pStyle w:val="2"/>
        <w:spacing w:line="600" w:lineRule="exact"/>
        <w:ind w:firstLine="602"/>
        <w:rPr>
          <w:rFonts w:ascii="Times New Roman" w:hAnsi="Times New Roman" w:eastAsia="仿宋_GB2312"/>
          <w:bCs/>
          <w:sz w:val="30"/>
          <w:szCs w:val="30"/>
        </w:rPr>
      </w:pPr>
      <w:r>
        <w:rPr>
          <w:rFonts w:ascii="Times New Roman" w:hAnsi="Times New Roman" w:eastAsia="仿宋_GB2312"/>
          <w:b/>
          <w:sz w:val="30"/>
          <w:szCs w:val="30"/>
        </w:rPr>
        <w:t xml:space="preserve">3.5.5 </w:t>
      </w:r>
      <w:r>
        <w:rPr>
          <w:rFonts w:ascii="Times New Roman" w:hAnsi="Times New Roman" w:eastAsia="仿宋_GB2312"/>
          <w:bCs/>
          <w:sz w:val="30"/>
          <w:szCs w:val="30"/>
        </w:rPr>
        <w:t>计划说明书应当披露下列信用触发机制的触发条件、处置流程、触发结果、信息披露要求以及处置义务人的履责能力分析：</w:t>
      </w:r>
    </w:p>
    <w:p w14:paraId="7A9DBF1E">
      <w:pPr>
        <w:pStyle w:val="2"/>
        <w:spacing w:line="600" w:lineRule="exact"/>
        <w:ind w:firstLine="600"/>
        <w:rPr>
          <w:rFonts w:ascii="Times New Roman" w:hAnsi="Times New Roman" w:eastAsia="仿宋_GB2312"/>
          <w:color w:val="000000"/>
          <w:sz w:val="30"/>
          <w:szCs w:val="30"/>
        </w:rPr>
      </w:pPr>
      <w:r>
        <w:rPr>
          <w:rFonts w:ascii="Times New Roman" w:hAnsi="Times New Roman" w:eastAsia="仿宋_GB2312"/>
          <w:bCs/>
          <w:sz w:val="30"/>
          <w:szCs w:val="30"/>
        </w:rPr>
        <w:t>（一）不合格基础资产置换、赎回和</w:t>
      </w:r>
      <w:r>
        <w:rPr>
          <w:rFonts w:ascii="Times New Roman" w:hAnsi="Times New Roman" w:eastAsia="仿宋_GB2312"/>
          <w:color w:val="000000"/>
          <w:sz w:val="30"/>
          <w:szCs w:val="30"/>
        </w:rPr>
        <w:t>处置，专项计划提前结束循环购买期、加速清偿、权利完善、债权提前到期等条款和机制；</w:t>
      </w:r>
    </w:p>
    <w:p w14:paraId="1660DD3F">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（二）专项计划就基础资产违约、租赁物出现不可修复性损坏或灭失、基础资产质量下降、循环购买资产不足等事项设置的针对性特殊条款和机制；</w:t>
      </w:r>
    </w:p>
    <w:p w14:paraId="764F1DBA">
      <w:pPr>
        <w:spacing w:line="600" w:lineRule="exact"/>
        <w:ind w:firstLine="600"/>
        <w:rPr>
          <w:rFonts w:ascii="Times New Roman" w:hAnsi="Times New Roman" w:eastAsia="仿宋_GB2312"/>
          <w:sz w:val="30"/>
          <w:szCs w:val="30"/>
        </w:rPr>
      </w:pPr>
      <w:r>
        <w:rPr>
          <w:rFonts w:ascii="Times New Roman" w:hAnsi="Times New Roman" w:eastAsia="仿宋_GB2312"/>
          <w:bCs/>
          <w:sz w:val="30"/>
          <w:szCs w:val="30"/>
        </w:rPr>
        <w:t>（三）</w:t>
      </w:r>
      <w:bookmarkStart w:id="15" w:name="_Hlk118537723"/>
      <w:r>
        <w:rPr>
          <w:rFonts w:ascii="Times New Roman" w:hAnsi="Times New Roman" w:eastAsia="仿宋_GB2312"/>
          <w:bCs/>
          <w:sz w:val="30"/>
          <w:szCs w:val="30"/>
        </w:rPr>
        <w:t>专项计划就原始权益人丧失经营资质或持续经营能力、发生生产安全或环境污染重大事故、重大行政处罚以及权属重大不利变化等事项设置的针对性信用触发机制</w:t>
      </w:r>
      <w:bookmarkEnd w:id="15"/>
      <w:r>
        <w:rPr>
          <w:rFonts w:ascii="Times New Roman" w:hAnsi="Times New Roman" w:eastAsia="仿宋_GB2312"/>
          <w:bCs/>
          <w:sz w:val="30"/>
          <w:szCs w:val="30"/>
        </w:rPr>
        <w:t>。</w:t>
      </w:r>
    </w:p>
    <w:p w14:paraId="422E2B52">
      <w:pPr>
        <w:pStyle w:val="4"/>
        <w:rPr>
          <w:rFonts w:ascii="Times New Roman" w:hAnsi="Times New Roman"/>
          <w:szCs w:val="30"/>
          <w:shd w:val="clear" w:fill="auto"/>
        </w:rPr>
      </w:pPr>
      <w:bookmarkStart w:id="16" w:name="_Toc110445495"/>
      <w:bookmarkEnd w:id="16"/>
      <w:bookmarkStart w:id="17" w:name="_Toc118891162"/>
      <w:r>
        <w:rPr>
          <w:rFonts w:ascii="Times New Roman" w:hAnsi="Times New Roman"/>
          <w:szCs w:val="30"/>
          <w:shd w:val="clear" w:fill="auto"/>
        </w:rPr>
        <w:t>第六节</w:t>
      </w:r>
      <w:r>
        <w:rPr>
          <w:rFonts w:ascii="Times New Roman" w:hAnsi="Times New Roman"/>
          <w:b w:val="0"/>
          <w:szCs w:val="30"/>
          <w:shd w:val="clear" w:fill="auto"/>
        </w:rPr>
        <w:tab/>
      </w:r>
      <w:r>
        <w:rPr>
          <w:rFonts w:ascii="Times New Roman" w:hAnsi="Times New Roman"/>
          <w:szCs w:val="30"/>
          <w:shd w:val="clear" w:fill="auto"/>
        </w:rPr>
        <w:t>特定原始权益人、管理人和其他主要业务参与人情况</w:t>
      </w:r>
      <w:bookmarkEnd w:id="17"/>
    </w:p>
    <w:p w14:paraId="1C71C48D">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3.6.1 </w:t>
      </w:r>
      <w:r>
        <w:rPr>
          <w:rFonts w:ascii="Times New Roman" w:hAnsi="Times New Roman" w:eastAsia="仿宋_GB2312"/>
          <w:sz w:val="30"/>
          <w:szCs w:val="30"/>
        </w:rPr>
        <w:t>计划说明书应当披露主要业务参与人的基本情况，包括但不限于公司名称、股票代码（如有）、法定代表人、注册资本、实缴资本、设立（工商注册）日期、统一社会信用代码、住所、所属行业、经营范围等。所属行业参照《上市公司行业分类指引》的规定。</w:t>
      </w:r>
    </w:p>
    <w:p w14:paraId="29E0B96A">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3.6.2 </w:t>
      </w:r>
      <w:r>
        <w:rPr>
          <w:rFonts w:ascii="Times New Roman" w:hAnsi="Times New Roman" w:eastAsia="仿宋_GB2312"/>
          <w:sz w:val="30"/>
          <w:szCs w:val="30"/>
        </w:rPr>
        <w:t>计划说明书应当披露原始权益人有权机构、相关主管部门（如需）对其开展本次资产证券化融资事宜的批准情况。</w:t>
      </w:r>
    </w:p>
    <w:p w14:paraId="7F5BDE28">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3.6.3 </w:t>
      </w:r>
      <w:r>
        <w:rPr>
          <w:rFonts w:ascii="Times New Roman" w:hAnsi="Times New Roman" w:eastAsia="仿宋_GB2312"/>
          <w:sz w:val="30"/>
          <w:szCs w:val="30"/>
        </w:rPr>
        <w:t>计划说明书应当简要披露特定原始权益人的下列历史沿革、股权结构、组织架构以及治理结构：</w:t>
      </w:r>
    </w:p>
    <w:p w14:paraId="7472FEB0">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（一）公司设立、名称变更、股本结构的历次变动情况，以及历史上改制、重大增减资、合并、分立、破产重整、更名等重要事件；</w:t>
      </w:r>
    </w:p>
    <w:p w14:paraId="505DA953">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（二）治理结构、组织机构设置以及运行情况；</w:t>
      </w:r>
    </w:p>
    <w:p w14:paraId="5A9575BE">
      <w:pPr>
        <w:widowControl/>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（三）控股股东、实际控制人的基本情况、持股比例、股份或股权权利限制情况、资信情况、被媒体质疑的重大事项（如有）。实际控制人应当披露到最终的国有控股主体、集体组织或自然人为止。</w:t>
      </w:r>
    </w:p>
    <w:p w14:paraId="07754A1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控股股东或实际控制人为自然人的，应当披露其姓名、简要背景以及所持有的特定原始权益人股份或股权被质押的情况，特定原始权益人是否存在控制权变更风险，同时披露该自然人对其他企业的主要投资情况、与其他主要股东的关系。</w:t>
      </w:r>
    </w:p>
    <w:p w14:paraId="19A2FD2D">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控股股东或实际控制人为法人或者集体组织的，应当披露该法人或者集体组织的名称、成立日期、注册资本、主要业务、资产规模、所持有的特定原始权益人股份或股权是否存在被质押或者其他权利限制的情况，特定原始权益人是否存在控制权变更风险。</w:t>
      </w:r>
    </w:p>
    <w:p w14:paraId="3E37B793">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无控股股东或者实际控制人的，应当说明原因。</w:t>
      </w:r>
    </w:p>
    <w:p w14:paraId="62237AD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（四）对其他企业的重要权益投资情况，包括主要子公司以及其他有重要影响的参股公司、合营企业和联营企业等。</w:t>
      </w:r>
    </w:p>
    <w:p w14:paraId="242CB632">
      <w:pPr>
        <w:spacing w:line="600" w:lineRule="exact"/>
        <w:ind w:firstLine="602"/>
        <w:rPr>
          <w:rFonts w:ascii="Times New Roman" w:hAnsi="Times New Roman" w:eastAsia="仿宋_GB2312"/>
          <w:b/>
          <w:sz w:val="30"/>
          <w:szCs w:val="30"/>
        </w:rPr>
      </w:pPr>
      <w:r>
        <w:rPr>
          <w:rFonts w:ascii="Times New Roman" w:hAnsi="Times New Roman" w:eastAsia="仿宋_GB2312"/>
          <w:b/>
          <w:sz w:val="30"/>
          <w:szCs w:val="30"/>
        </w:rPr>
        <w:t xml:space="preserve">3.6.4 </w:t>
      </w:r>
      <w:r>
        <w:rPr>
          <w:rFonts w:ascii="Times New Roman" w:hAnsi="Times New Roman" w:eastAsia="仿宋_GB2312"/>
          <w:sz w:val="30"/>
          <w:szCs w:val="30"/>
        </w:rPr>
        <w:t>计划说明书应当披露特定原始权益人主营业务的下列情况：</w:t>
      </w:r>
    </w:p>
    <w:p w14:paraId="466FF18D">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（一）主要业务板块运营情况、经营模式、各主要产品或者服务内容和规模，列表披露最近三年及一期的营业收入、毛利润、毛利率情况等；</w:t>
      </w:r>
    </w:p>
    <w:p w14:paraId="2A4C0790">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（二）所在行业状况、行业地位、面临的主要竞争状况、能说明其行业地位和经营优势的行业关键指标数据等，并说明相关数据来源；</w:t>
      </w:r>
    </w:p>
    <w:p w14:paraId="57F9563D">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（三）管理人应当结合特定原始权益人自身特点，披露与基础资产相关的业务情况，包括</w:t>
      </w:r>
      <w:r>
        <w:rPr>
          <w:rFonts w:ascii="Times New Roman" w:hAnsi="Times New Roman" w:eastAsia="仿宋_GB2312"/>
          <w:kern w:val="0"/>
          <w:sz w:val="30"/>
          <w:szCs w:val="30"/>
        </w:rPr>
        <w:t>经营模式、业务管理制度、风险控制制度、人员配备以及系统支持情况、上/下游情况、获客来源、展业时间、展业规模等</w:t>
      </w:r>
      <w:r>
        <w:rPr>
          <w:rFonts w:ascii="Times New Roman" w:hAnsi="Times New Roman" w:eastAsia="仿宋_GB2312"/>
          <w:sz w:val="30"/>
          <w:szCs w:val="30"/>
        </w:rPr>
        <w:t>。</w:t>
      </w:r>
    </w:p>
    <w:p w14:paraId="397FE15E">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前款所称主要业务板块，是指最近一年或者最近一期主营业务收入或者毛利润占比百分之十以上的业务板块。</w:t>
      </w:r>
    </w:p>
    <w:p w14:paraId="491622AA">
      <w:pPr>
        <w:pStyle w:val="2"/>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3.6.5 </w:t>
      </w:r>
      <w:r>
        <w:rPr>
          <w:rFonts w:ascii="Times New Roman" w:hAnsi="Times New Roman" w:eastAsia="仿宋_GB2312"/>
          <w:sz w:val="30"/>
          <w:szCs w:val="30"/>
        </w:rPr>
        <w:t>特定原始权益人存在被媒体质疑的重大事项的，管理人应当披露相关情况。</w:t>
      </w:r>
    </w:p>
    <w:p w14:paraId="2FA02C1B">
      <w:pPr>
        <w:pStyle w:val="2"/>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3.6.6 </w:t>
      </w:r>
      <w:r>
        <w:rPr>
          <w:rFonts w:ascii="Times New Roman" w:hAnsi="Times New Roman" w:eastAsia="仿宋_GB2312"/>
          <w:sz w:val="30"/>
          <w:szCs w:val="30"/>
        </w:rPr>
        <w:t>计划说明书应当披露特定原始权益人的下列财务状况：</w:t>
      </w:r>
    </w:p>
    <w:p w14:paraId="5FDE300A">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最近三年财务报告的审计意见，若为带强调事项段无保留意见或者保留意见的，应当披露特定原始权益人董事会或者有权机构就所涉及事项作出的说明，以及会计师事务所、注册会计师对于带强调事项段或者保留意见所涉及事项的补充意见，并分析相关事项对偿付能力的影响。注册</w:t>
      </w:r>
      <w:r>
        <w:rPr>
          <w:rFonts w:ascii="Times New Roman" w:hAnsi="Times New Roman" w:eastAsia="仿宋_GB2312"/>
          <w:bCs/>
          <w:sz w:val="30"/>
          <w:szCs w:val="30"/>
        </w:rPr>
        <w:t>会计师</w:t>
      </w:r>
      <w:r>
        <w:rPr>
          <w:rFonts w:ascii="Times New Roman" w:hAnsi="Times New Roman" w:eastAsia="仿宋_GB2312"/>
          <w:sz w:val="30"/>
          <w:szCs w:val="30"/>
        </w:rPr>
        <w:t>应当对非标准意见所涉及事项及其影响是否已经消除进行核查并发表核查意见。</w:t>
      </w:r>
    </w:p>
    <w:p w14:paraId="5B611A6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列表披露最近三年及一期财务会计信息以及主要财务指标。财务会计信息包括但不限于资产负债表、利润表、现金流量表。特定原始权益人编制合并财务报表的，应当同时披露合并财务报表和母公司财务报表。财务指标包括但不限于偿债能力指标、盈利能力指标、运营效率指标。管理人应当对可能影响投资者理解特定原始权益人财务状况、经营业绩和现金流量等情况的信息加以说明。</w:t>
      </w:r>
    </w:p>
    <w:p w14:paraId="15D29EA5">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最近一年及一期占总资产百分之十以上的资产类报表项目、占总负债百分之十以上的负债类报表项目以及变化幅度在百分之三十以上的报表项目，应当分析变动情况以及变动原因。报告期内存在资产负债率较高、经营业绩大幅下滑、经营活动现金流量净额持续为负等情况的，应当充分揭示风险。</w:t>
      </w:r>
    </w:p>
    <w:p w14:paraId="600C5342">
      <w:pPr>
        <w:spacing w:line="600" w:lineRule="exact"/>
        <w:ind w:firstLine="567"/>
        <w:rPr>
          <w:rFonts w:ascii="Times New Roman" w:hAnsi="Times New Roman" w:eastAsia="仿宋_GB2312"/>
          <w:sz w:val="30"/>
          <w:szCs w:val="30"/>
        </w:rPr>
      </w:pPr>
      <w:r>
        <w:rPr>
          <w:rFonts w:ascii="Times New Roman" w:hAnsi="Times New Roman" w:eastAsia="仿宋_GB2312"/>
          <w:sz w:val="30"/>
          <w:szCs w:val="30"/>
        </w:rPr>
        <w:t>（四）计划说明书应当采用列表形式披露特定原始权益人最近一个会计年度期末有息债务的总余额、债务类别、债务期限结构、信用融资与担保融资的结构等情况。报告期内存在有息债务增长较快、资产负债率较高、有息债务结构发生大幅变化等情形的，应当采用列表形式披露报告期各期末全口径有息债务的上述信息（格式见附件7）。</w:t>
      </w:r>
    </w:p>
    <w:p w14:paraId="33553BD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（五）融资情况以及信用表现的有关内容：</w:t>
      </w:r>
    </w:p>
    <w:p w14:paraId="0F678FF4">
      <w:pPr>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1．合并报表范围内</w:t>
      </w:r>
      <w:r>
        <w:rPr>
          <w:rFonts w:ascii="Times New Roman" w:hAnsi="Times New Roman" w:eastAsia="仿宋_GB2312"/>
          <w:sz w:val="30"/>
          <w:szCs w:val="30"/>
        </w:rPr>
        <w:t>获得主要贷款银行的授</w:t>
      </w:r>
      <w:r>
        <w:rPr>
          <w:rFonts w:ascii="Times New Roman" w:hAnsi="Times New Roman" w:eastAsia="仿宋_GB2312"/>
          <w:kern w:val="0"/>
          <w:sz w:val="30"/>
          <w:szCs w:val="30"/>
          <w:lang w:bidi="en-US"/>
        </w:rPr>
        <w:t>信情况以及使用情况；</w:t>
      </w:r>
    </w:p>
    <w:p w14:paraId="24CB5DF9">
      <w:pPr>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2．截至报告期期末境内外债券存续情况，以及尚未发行的各债券品种额度；</w:t>
      </w:r>
    </w:p>
    <w:p w14:paraId="5ADB1845">
      <w:pPr>
        <w:pStyle w:val="2"/>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3. 公开市场信用评级（如有）、资信评级机构名称、评级时间和评级结论；</w:t>
      </w:r>
    </w:p>
    <w:p w14:paraId="4A089D07">
      <w:pPr>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4．债务违约记录以及有关情况；</w:t>
      </w:r>
    </w:p>
    <w:p w14:paraId="5467FC52">
      <w:pPr>
        <w:spacing w:line="600" w:lineRule="exact"/>
        <w:ind w:firstLine="600"/>
        <w:rPr>
          <w:rFonts w:ascii="Times New Roman" w:hAnsi="Times New Roman" w:eastAsia="仿宋_GB2312"/>
          <w:sz w:val="30"/>
          <w:szCs w:val="30"/>
        </w:rPr>
      </w:pPr>
      <w:r>
        <w:rPr>
          <w:rFonts w:ascii="Times New Roman" w:hAnsi="Times New Roman" w:eastAsia="仿宋_GB2312"/>
          <w:kern w:val="0"/>
          <w:sz w:val="30"/>
          <w:szCs w:val="30"/>
          <w:lang w:bidi="en-US"/>
        </w:rPr>
        <w:t>5．报告期内重大违约、虚假信息披露或者其他重大违法违规行为记录，以及是否存在因严重违法失信行为，被有权部门认定为失信被执行人、失信生产经营单位或者其他失信单位，并被</w:t>
      </w:r>
      <w:r>
        <w:rPr>
          <w:rFonts w:ascii="Times New Roman" w:hAnsi="Times New Roman" w:eastAsia="仿宋_GB2312"/>
          <w:sz w:val="30"/>
          <w:szCs w:val="30"/>
        </w:rPr>
        <w:t>暂停或限制进行融资的情形。</w:t>
      </w:r>
    </w:p>
    <w:p w14:paraId="7FC5E990">
      <w:pPr>
        <w:spacing w:line="600" w:lineRule="exact"/>
        <w:ind w:firstLine="567"/>
        <w:rPr>
          <w:rFonts w:ascii="Times New Roman" w:hAnsi="Times New Roman" w:eastAsia="仿宋_GB2312"/>
          <w:sz w:val="30"/>
          <w:szCs w:val="30"/>
        </w:rPr>
      </w:pPr>
      <w:r>
        <w:rPr>
          <w:rFonts w:ascii="Times New Roman" w:hAnsi="Times New Roman" w:eastAsia="仿宋_GB2312"/>
          <w:sz w:val="30"/>
          <w:szCs w:val="30"/>
        </w:rPr>
        <w:t>（六）其他重大事项：</w:t>
      </w:r>
    </w:p>
    <w:p w14:paraId="1DC51C54">
      <w:pPr>
        <w:spacing w:line="600" w:lineRule="exact"/>
        <w:ind w:firstLine="567"/>
        <w:rPr>
          <w:rFonts w:ascii="Times New Roman" w:hAnsi="Times New Roman" w:eastAsia="仿宋_GB2312"/>
          <w:sz w:val="30"/>
          <w:szCs w:val="30"/>
        </w:rPr>
      </w:pPr>
      <w:r>
        <w:rPr>
          <w:rFonts w:ascii="Times New Roman" w:hAnsi="Times New Roman" w:eastAsia="仿宋_GB2312"/>
          <w:sz w:val="30"/>
          <w:szCs w:val="30"/>
        </w:rPr>
        <w:t>1.特定原始权益人最近一个会计年度期末对外担保余额。对于预计可能产生较大损失的，管理人应当对可能产生的损失作合理估计并披露可能产生的损失金额及其对偿债能力的影响；</w:t>
      </w:r>
    </w:p>
    <w:p w14:paraId="08DA9792">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2.资产存在的抵押、质押、担保和其他具有可对抗第三人的优先偿付负债情况；</w:t>
      </w:r>
    </w:p>
    <w:p w14:paraId="3A0FB128">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3.未决诉讼、仲裁等重大或有事项或者承诺事项。</w:t>
      </w:r>
    </w:p>
    <w:p w14:paraId="134DF6AE">
      <w:pPr>
        <w:spacing w:line="600" w:lineRule="exact"/>
        <w:ind w:firstLine="602"/>
        <w:rPr>
          <w:rFonts w:ascii="Times New Roman" w:hAnsi="Times New Roman" w:eastAsia="仿宋_GB2312"/>
          <w:b/>
          <w:sz w:val="30"/>
          <w:szCs w:val="30"/>
        </w:rPr>
      </w:pPr>
      <w:r>
        <w:rPr>
          <w:rFonts w:ascii="Times New Roman" w:hAnsi="Times New Roman" w:eastAsia="仿宋_GB2312"/>
          <w:b/>
          <w:sz w:val="30"/>
          <w:szCs w:val="30"/>
        </w:rPr>
        <w:t xml:space="preserve">3.6.7 </w:t>
      </w:r>
      <w:r>
        <w:rPr>
          <w:rFonts w:ascii="Times New Roman" w:hAnsi="Times New Roman" w:eastAsia="仿宋_GB2312"/>
          <w:sz w:val="30"/>
          <w:szCs w:val="30"/>
        </w:rPr>
        <w:t>市场认可度高、行业地位显著且经营财务状况稳健的特定原始权益人，以及非特定原始权益人的情况，可以参照本节第3.6.3条至3.6.6条要求简化披露相关内容。</w:t>
      </w:r>
    </w:p>
    <w:p w14:paraId="48F47EF3">
      <w:pPr>
        <w:spacing w:line="600" w:lineRule="exact"/>
        <w:ind w:firstLine="602"/>
        <w:rPr>
          <w:rFonts w:ascii="Times New Roman" w:hAnsi="Times New Roman" w:eastAsia="仿宋_GB2312"/>
          <w:b/>
          <w:bCs/>
          <w:sz w:val="30"/>
          <w:szCs w:val="30"/>
        </w:rPr>
      </w:pPr>
      <w:r>
        <w:rPr>
          <w:rFonts w:ascii="Times New Roman" w:hAnsi="Times New Roman" w:eastAsia="仿宋_GB2312"/>
          <w:b/>
          <w:bCs/>
          <w:sz w:val="30"/>
          <w:szCs w:val="30"/>
        </w:rPr>
        <w:t xml:space="preserve">3.6.8 </w:t>
      </w:r>
      <w:r>
        <w:rPr>
          <w:rFonts w:ascii="Times New Roman" w:hAnsi="Times New Roman" w:eastAsia="仿宋_GB2312"/>
          <w:bCs/>
          <w:sz w:val="30"/>
          <w:szCs w:val="30"/>
        </w:rPr>
        <w:t>原始权益人涉及下列特殊情形的，计划说明书应当按照要求进行信息披露：</w:t>
      </w:r>
    </w:p>
    <w:p w14:paraId="2230F396">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（一）交易结构设置代理原始权益人的，应当披露代理原始权益人基本情况、代理事项以及授权情况，重点披露其与代理事项以及应当履行义务相关的业务开展情况；</w:t>
      </w:r>
    </w:p>
    <w:p w14:paraId="3455185B">
      <w:pPr>
        <w:spacing w:line="600" w:lineRule="exact"/>
        <w:ind w:firstLine="600"/>
        <w:rPr>
          <w:rFonts w:ascii="Times New Roman" w:hAnsi="Times New Roman" w:eastAsia="仿宋_GB2312"/>
          <w:sz w:val="30"/>
          <w:szCs w:val="30"/>
        </w:rPr>
      </w:pPr>
      <w:r>
        <w:rPr>
          <w:rFonts w:ascii="Times New Roman" w:hAnsi="Times New Roman" w:eastAsia="仿宋_GB2312"/>
          <w:bCs/>
          <w:sz w:val="30"/>
          <w:szCs w:val="30"/>
        </w:rPr>
        <w:t>（二）</w:t>
      </w:r>
      <w:r>
        <w:rPr>
          <w:rFonts w:ascii="Times New Roman" w:hAnsi="Times New Roman" w:eastAsia="仿宋_GB2312"/>
          <w:sz w:val="30"/>
          <w:szCs w:val="30"/>
        </w:rPr>
        <w:t>资产管理产品作为原始权益人的，应当披露资产管理产品基本情况、产品管理人基本情况，重点披露产品管理人与产品管理事项以及应当履行义务相关的业务开展情况；</w:t>
      </w:r>
    </w:p>
    <w:p w14:paraId="22293A2D">
      <w:pPr>
        <w:spacing w:line="600" w:lineRule="exact"/>
        <w:ind w:firstLine="600"/>
        <w:rPr>
          <w:rFonts w:ascii="Times New Roman" w:hAnsi="Times New Roman" w:eastAsia="仿宋_GB2312"/>
          <w:sz w:val="30"/>
          <w:szCs w:val="30"/>
        </w:rPr>
      </w:pPr>
      <w:r>
        <w:rPr>
          <w:rFonts w:ascii="Times New Roman" w:hAnsi="Times New Roman" w:eastAsia="仿宋_GB2312"/>
          <w:bCs/>
          <w:sz w:val="30"/>
          <w:szCs w:val="30"/>
        </w:rPr>
        <w:t>（三）</w:t>
      </w:r>
      <w:r>
        <w:rPr>
          <w:rFonts w:ascii="Times New Roman" w:hAnsi="Times New Roman" w:eastAsia="仿宋_GB2312"/>
          <w:sz w:val="30"/>
          <w:szCs w:val="30"/>
        </w:rPr>
        <w:t>基础资产主要自初始权益人受让的，应当披露初始权益人基本情况，重点披露其与基础资产相关的业务情况以及对于资产池表现具有重要分析价值的因素。</w:t>
      </w:r>
    </w:p>
    <w:p w14:paraId="6D1EF48E">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初始权益人的业务经营可能对专项计划以及资产支持证券持有人的利益产生重大影响的，初始权益人原则上应当作为资产服务机构，并按照资产服务机构的要求披露其基本情况以及应当履行的相关义务等。</w:t>
      </w:r>
    </w:p>
    <w:p w14:paraId="3CAB85E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原始权益人开展主营业务以受让资产为基础的，初始权益人可以豁免上述信息披露要求。</w:t>
      </w:r>
    </w:p>
    <w:p w14:paraId="0271F515">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3.6.9 </w:t>
      </w:r>
      <w:r>
        <w:rPr>
          <w:rFonts w:ascii="Times New Roman" w:hAnsi="Times New Roman" w:eastAsia="仿宋_GB2312"/>
          <w:sz w:val="30"/>
          <w:szCs w:val="30"/>
        </w:rPr>
        <w:t>计划说明书应当简要披露管理人的下列情况：</w:t>
      </w:r>
    </w:p>
    <w:p w14:paraId="185B529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（一）经营情况和资信水平；</w:t>
      </w:r>
    </w:p>
    <w:p w14:paraId="6E8D27CD">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（二）客户资产管理业务资质、业务开展情况、管理制度、业务流程和风险控制措施等；</w:t>
      </w:r>
    </w:p>
    <w:p w14:paraId="12FD8E0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（三）合规、风控制度以及风险处置应对措施，是否能有效控制业务风险；</w:t>
      </w:r>
    </w:p>
    <w:p w14:paraId="66D09FC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（四）最近一年是否存在因重大违法违规行为受到行政处罚的情形。</w:t>
      </w:r>
    </w:p>
    <w:p w14:paraId="1F0DE8A2">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3.6.10 </w:t>
      </w:r>
      <w:r>
        <w:rPr>
          <w:rFonts w:ascii="Times New Roman" w:hAnsi="Times New Roman" w:eastAsia="仿宋_GB2312"/>
          <w:sz w:val="30"/>
          <w:szCs w:val="30"/>
        </w:rPr>
        <w:t>计划说明书应当披露资产服务机构（如有）的下列基本情况：</w:t>
      </w:r>
    </w:p>
    <w:p w14:paraId="15DD208A">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（一）公司设立、存续情况，最近一年经营情况以及财务状况，资信情况等；</w:t>
      </w:r>
    </w:p>
    <w:p w14:paraId="6D2F349E">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（二）提供基础资产管理服务的相关业务资质以及法律法规依据；</w:t>
      </w:r>
    </w:p>
    <w:p w14:paraId="23F08C76">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（三）提供基础资产管理服务的相关制度、业务流程、风险控制措施；</w:t>
      </w:r>
    </w:p>
    <w:p w14:paraId="11883CBC">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（四）基础资产管理服务业务的开展情况；</w:t>
      </w:r>
    </w:p>
    <w:p w14:paraId="4F306A9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（五）基础资产与资产服务机构自有资产或其他受托资产相独立的保障措施。</w:t>
      </w:r>
    </w:p>
    <w:p w14:paraId="46B12636">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3.6.11 </w:t>
      </w:r>
      <w:r>
        <w:rPr>
          <w:rFonts w:ascii="Times New Roman" w:hAnsi="Times New Roman" w:eastAsia="仿宋_GB2312"/>
          <w:sz w:val="30"/>
          <w:szCs w:val="30"/>
        </w:rPr>
        <w:t>计划说明书应当披露资产服务机构解任、选任的相关安排：</w:t>
      </w:r>
    </w:p>
    <w:p w14:paraId="49FE25C5">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（一）资产服务机构的解任事件、解任程序、解任通知安排；</w:t>
      </w:r>
    </w:p>
    <w:p w14:paraId="2B3D5275">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（二）资产服务机构的选任标准、选任程序、权利义务移交安排；</w:t>
      </w:r>
    </w:p>
    <w:p w14:paraId="7CE5E35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（三）更换资产服务机构相关费用的支付安排、为更换资产服务机构而预留的资金安排（如有）等。</w:t>
      </w:r>
    </w:p>
    <w:p w14:paraId="5A85DF24">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3.6.12 </w:t>
      </w:r>
      <w:r>
        <w:rPr>
          <w:rFonts w:ascii="Times New Roman" w:hAnsi="Times New Roman" w:eastAsia="仿宋_GB2312"/>
          <w:sz w:val="30"/>
          <w:szCs w:val="30"/>
        </w:rPr>
        <w:t>计划说明书应当简要披露托管人下列基本情况：</w:t>
      </w:r>
    </w:p>
    <w:p w14:paraId="30F48663">
      <w:pPr>
        <w:spacing w:line="600" w:lineRule="exact"/>
        <w:ind w:firstLine="600"/>
        <w:rPr>
          <w:rFonts w:ascii="Times New Roman" w:hAnsi="Times New Roman" w:eastAsia="仿宋_GB2312"/>
          <w:sz w:val="30"/>
          <w:szCs w:val="30"/>
        </w:rPr>
      </w:pPr>
      <w:r>
        <w:rPr>
          <w:rFonts w:ascii="Times New Roman" w:hAnsi="Times New Roman" w:eastAsia="仿宋_GB2312"/>
          <w:bCs/>
          <w:sz w:val="30"/>
          <w:szCs w:val="30"/>
        </w:rPr>
        <w:t>（一）经营情况以及资信水平；</w:t>
      </w:r>
    </w:p>
    <w:p w14:paraId="3E53925A">
      <w:pPr>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（二）托管业务资质；</w:t>
      </w:r>
    </w:p>
    <w:p w14:paraId="44CEC960">
      <w:pPr>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（三）业务管理制度、业务流程、风险控制措施等。</w:t>
      </w:r>
    </w:p>
    <w:p w14:paraId="6B05EF0E">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3.6.13 </w:t>
      </w:r>
      <w:r>
        <w:rPr>
          <w:rFonts w:ascii="Times New Roman" w:hAnsi="Times New Roman" w:eastAsia="仿宋_GB2312"/>
          <w:sz w:val="30"/>
          <w:szCs w:val="30"/>
        </w:rPr>
        <w:t>计划说明书应当披露担保人、差额支付承诺人、流动性支持机构、债务加入人等增信机构下列基本情况：</w:t>
      </w:r>
    </w:p>
    <w:p w14:paraId="5384B84C">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（一）公司设立、存续情况，股权结构、组织架构、治理结构，本次增信是否已履行必要的内外部决策程序；</w:t>
      </w:r>
    </w:p>
    <w:p w14:paraId="5FE7686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（二）公司资信水平以及外部信用评级（如有）情况、历史信用表现；</w:t>
      </w:r>
    </w:p>
    <w:p w14:paraId="1AFC2BE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（三）公司最近三年各项主营业务情况、财务报表、主要财务指标分析以及历史信用表现；主要债务情况、授信使用状况、对外担保情况等；</w:t>
      </w:r>
    </w:p>
    <w:p w14:paraId="55423D1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（四）业务审批或管理流程、风险控制措施，包括杠杆倍数（如有）在内的与偿付能力相关的指标，公司历史代偿情况等；</w:t>
      </w:r>
    </w:p>
    <w:p w14:paraId="5266D49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（五）增信机构为原始权益人控股股东或实际控制人的，还应当披露增信机构所拥有的除原始权益人股权外的其他主要资产，以及该部分资产的权利限制、是否存在后续权利限制安排；</w:t>
      </w:r>
    </w:p>
    <w:p w14:paraId="3B7EF082">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（六）增信机构为融资担保公司的，还应当披露担保责任余额占其净资产的比例、对同一被担保人的担保责任余额占其净资产的比例、对同一被担保人及其关联方的担保责任余额占其净资产的比例等。</w:t>
      </w:r>
    </w:p>
    <w:p w14:paraId="44761EA4">
      <w:pPr>
        <w:snapToGrid w:val="0"/>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3.6.14 </w:t>
      </w:r>
      <w:r>
        <w:rPr>
          <w:rFonts w:ascii="Times New Roman" w:hAnsi="Times New Roman" w:eastAsia="仿宋_GB2312"/>
          <w:sz w:val="30"/>
          <w:szCs w:val="30"/>
        </w:rPr>
        <w:t>原始权益人、实际融资人属于房地产企业的，计划说明书应当披露其</w:t>
      </w:r>
      <w:r>
        <w:rPr>
          <w:rFonts w:ascii="Times New Roman" w:hAnsi="Times New Roman" w:eastAsia="仿宋_GB2312"/>
          <w:bCs/>
          <w:sz w:val="30"/>
          <w:szCs w:val="30"/>
        </w:rPr>
        <w:t>最近三年内（未满三年的自成立之日起）</w:t>
      </w:r>
      <w:r>
        <w:rPr>
          <w:rFonts w:ascii="Times New Roman" w:hAnsi="Times New Roman" w:eastAsia="仿宋_GB2312"/>
          <w:sz w:val="30"/>
          <w:szCs w:val="30"/>
        </w:rPr>
        <w:t>是否存在违反</w:t>
      </w:r>
      <w:r>
        <w:rPr>
          <w:rFonts w:ascii="Times New Roman" w:hAnsi="Times New Roman" w:eastAsia="仿宋_GB2312"/>
          <w:bCs/>
          <w:sz w:val="30"/>
          <w:szCs w:val="30"/>
        </w:rPr>
        <w:t>《国务院办公厅关于继续做好房地产市场调控工作的通知》（国办发〔2013〕17号）</w:t>
      </w:r>
      <w:r>
        <w:rPr>
          <w:rFonts w:ascii="Times New Roman" w:hAnsi="Times New Roman" w:eastAsia="仿宋_GB2312"/>
          <w:sz w:val="30"/>
          <w:szCs w:val="30"/>
        </w:rPr>
        <w:t>规定的重大违法违规行为，或经国土资源部门查处且尚未按规定整改的情况。</w:t>
      </w:r>
    </w:p>
    <w:p w14:paraId="49947A6C">
      <w:pPr>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原始权益人、实际融资人应当提交不将募集资金</w:t>
      </w:r>
      <w:r>
        <w:rPr>
          <w:rFonts w:ascii="Times New Roman" w:hAnsi="Times New Roman" w:eastAsia="仿宋_GB2312"/>
          <w:bCs/>
          <w:sz w:val="30"/>
          <w:szCs w:val="30"/>
        </w:rPr>
        <w:t>用于购置土地等</w:t>
      </w:r>
      <w:r>
        <w:rPr>
          <w:rFonts w:ascii="Times New Roman" w:hAnsi="Times New Roman" w:eastAsia="仿宋_GB2312"/>
          <w:sz w:val="30"/>
          <w:szCs w:val="30"/>
        </w:rPr>
        <w:t>相关禁止或限制用途的承诺。</w:t>
      </w:r>
    </w:p>
    <w:p w14:paraId="2FEDFA90">
      <w:pPr>
        <w:pStyle w:val="2"/>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3.6.15 </w:t>
      </w:r>
      <w:r>
        <w:rPr>
          <w:rFonts w:ascii="Times New Roman" w:hAnsi="Times New Roman" w:eastAsia="仿宋_GB2312"/>
          <w:sz w:val="30"/>
          <w:szCs w:val="30"/>
        </w:rPr>
        <w:t>计划说明书应当披露原始权益人、实际融资人等相关主体开展资产证券化业务是否符合地方政府性债务管理的相关规定，是否通过发行资产支持证券新增地方政府隐性债务。</w:t>
      </w:r>
    </w:p>
    <w:p w14:paraId="696B6371">
      <w:pPr>
        <w:pStyle w:val="4"/>
        <w:spacing w:line="600" w:lineRule="exact"/>
        <w:ind w:left="1080"/>
        <w:rPr>
          <w:rFonts w:ascii="Times New Roman" w:hAnsi="Times New Roman"/>
          <w:szCs w:val="30"/>
          <w:shd w:val="clear" w:fill="auto"/>
        </w:rPr>
      </w:pPr>
      <w:bookmarkStart w:id="18" w:name="_Toc118891163"/>
      <w:r>
        <w:rPr>
          <w:rFonts w:ascii="Times New Roman" w:hAnsi="Times New Roman"/>
          <w:szCs w:val="30"/>
          <w:shd w:val="clear" w:fill="auto"/>
        </w:rPr>
        <w:t>第七节</w:t>
      </w:r>
      <w:r>
        <w:rPr>
          <w:rFonts w:ascii="Times New Roman" w:hAnsi="Times New Roman"/>
          <w:b w:val="0"/>
          <w:szCs w:val="30"/>
          <w:shd w:val="clear" w:fill="auto"/>
        </w:rPr>
        <w:tab/>
      </w:r>
      <w:r>
        <w:rPr>
          <w:rFonts w:ascii="Times New Roman" w:hAnsi="Times New Roman"/>
          <w:szCs w:val="30"/>
          <w:shd w:val="clear" w:fill="auto"/>
        </w:rPr>
        <w:t>基础资产情况及现金流预测分析</w:t>
      </w:r>
      <w:bookmarkEnd w:id="18"/>
    </w:p>
    <w:p w14:paraId="3B916306">
      <w:pPr>
        <w:widowControl/>
        <w:snapToGrid w:val="0"/>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3.7.1 </w:t>
      </w:r>
      <w:r>
        <w:rPr>
          <w:rFonts w:ascii="Times New Roman" w:hAnsi="Times New Roman" w:eastAsia="仿宋_GB2312"/>
          <w:sz w:val="30"/>
          <w:szCs w:val="30"/>
        </w:rPr>
        <w:t>计划说明书</w:t>
      </w:r>
      <w:r>
        <w:rPr>
          <w:rFonts w:ascii="Times New Roman" w:hAnsi="Times New Roman" w:eastAsia="仿宋_GB2312"/>
          <w:kern w:val="0"/>
          <w:sz w:val="30"/>
          <w:szCs w:val="30"/>
          <w:lang w:bidi="en-US"/>
        </w:rPr>
        <w:t>应当披露基础资产、底层资产（如有）、相关资产（如有）的下列情况：</w:t>
      </w:r>
    </w:p>
    <w:p w14:paraId="3A36F5C6">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（一）资产的构成和界定以及相关的法律、法规依据，附属权益（如有）、其他权利（如有）的具体内容；</w:t>
      </w:r>
    </w:p>
    <w:p w14:paraId="50927289">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（二）基础资产和底层资产合法合规性、交易基础真实性、产生和获取交易对价公允性，是否存在</w:t>
      </w:r>
      <w:r>
        <w:rPr>
          <w:rFonts w:ascii="Times New Roman" w:hAnsi="Times New Roman" w:eastAsia="仿宋_GB2312"/>
          <w:sz w:val="30"/>
          <w:szCs w:val="30"/>
        </w:rPr>
        <w:t>中国证券投资基金业协会</w:t>
      </w:r>
      <w:r>
        <w:rPr>
          <w:rFonts w:ascii="Times New Roman" w:hAnsi="Times New Roman" w:eastAsia="仿宋_GB2312"/>
          <w:kern w:val="0"/>
          <w:sz w:val="30"/>
          <w:szCs w:val="30"/>
          <w:lang w:bidi="en-US"/>
        </w:rPr>
        <w:t>《资产证券化基础资产负面清单》所涉及的情形，是否</w:t>
      </w:r>
      <w:r>
        <w:rPr>
          <w:rFonts w:ascii="Times New Roman" w:hAnsi="Times New Roman" w:eastAsia="仿宋_GB2312"/>
          <w:sz w:val="30"/>
          <w:szCs w:val="30"/>
        </w:rPr>
        <w:t>存在违反地方政府性债务管理相关规定的情形</w:t>
      </w:r>
      <w:r>
        <w:rPr>
          <w:rFonts w:ascii="Times New Roman" w:hAnsi="Times New Roman" w:eastAsia="仿宋_GB2312"/>
          <w:kern w:val="0"/>
          <w:sz w:val="30"/>
          <w:szCs w:val="30"/>
          <w:lang w:bidi="en-US"/>
        </w:rPr>
        <w:t>等；</w:t>
      </w:r>
    </w:p>
    <w:p w14:paraId="374E4926">
      <w:pPr>
        <w:pStyle w:val="2"/>
        <w:snapToGrid w:val="0"/>
        <w:spacing w:line="600" w:lineRule="exact"/>
        <w:ind w:firstLine="600"/>
        <w:rPr>
          <w:rFonts w:ascii="Times New Roman" w:hAnsi="Times New Roman"/>
          <w:lang w:bidi="en-US"/>
        </w:rPr>
      </w:pPr>
      <w:r>
        <w:rPr>
          <w:rFonts w:ascii="Times New Roman" w:hAnsi="Times New Roman" w:eastAsia="仿宋_GB2312"/>
          <w:kern w:val="0"/>
          <w:sz w:val="30"/>
          <w:szCs w:val="30"/>
          <w:lang w:bidi="en-US"/>
        </w:rPr>
        <w:t>（三）权利归属和特定化情况、权利限制情况。存在抵押、质押</w:t>
      </w:r>
      <w:r>
        <w:rPr>
          <w:rFonts w:ascii="Times New Roman" w:hAnsi="Times New Roman" w:eastAsia="仿宋_GB2312"/>
          <w:sz w:val="30"/>
          <w:szCs w:val="30"/>
        </w:rPr>
        <w:t>等担保负担或者其他权利限制的</w:t>
      </w:r>
      <w:r>
        <w:rPr>
          <w:rFonts w:ascii="Times New Roman" w:hAnsi="Times New Roman" w:eastAsia="仿宋_GB2312"/>
          <w:kern w:val="0"/>
          <w:sz w:val="30"/>
          <w:szCs w:val="30"/>
          <w:lang w:bidi="en-US"/>
        </w:rPr>
        <w:t>，应当披露相关解除安排、资金监控措施、风险处置安排、向专项计划转移资产时是否已合法有效地解除了</w:t>
      </w:r>
      <w:r>
        <w:rPr>
          <w:rFonts w:ascii="Times New Roman" w:hAnsi="Times New Roman" w:eastAsia="仿宋_GB2312"/>
          <w:sz w:val="30"/>
          <w:szCs w:val="30"/>
        </w:rPr>
        <w:t>相关担保负担和其他权利限制</w:t>
      </w:r>
      <w:r>
        <w:rPr>
          <w:rFonts w:ascii="Times New Roman" w:hAnsi="Times New Roman" w:eastAsia="仿宋_GB2312"/>
          <w:kern w:val="0"/>
          <w:sz w:val="30"/>
          <w:szCs w:val="30"/>
          <w:lang w:bidi="en-US"/>
        </w:rPr>
        <w:t>；</w:t>
      </w:r>
    </w:p>
    <w:p w14:paraId="4021EDCB">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四）基础资产转让的真实性、合法性、有效性、完整性、转让对价公允性情况，附属权益（如有）、其他权利（如有）的转让情况；基础资产是否存在禁止或限制转让的情形、转让限制的解除安排、转让涉及的授权、批准、备案或其他手续完成情况，以及</w:t>
      </w:r>
      <w:r>
        <w:rPr>
          <w:rFonts w:ascii="Times New Roman" w:hAnsi="Times New Roman" w:eastAsia="仿宋_GB2312"/>
          <w:bCs/>
          <w:sz w:val="30"/>
          <w:szCs w:val="30"/>
        </w:rPr>
        <w:t>基础资产包含的附属担保权益及其他权利（如有）随基础资产一同转让给专项计划的权利变更登记事宜或交付事宜等；</w:t>
      </w:r>
    </w:p>
    <w:p w14:paraId="42484E6A">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基础资产系从第三方受让所得（如有）的，应当披露交易对价支付情况；</w:t>
      </w:r>
    </w:p>
    <w:p w14:paraId="76ABD079">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（五）基础资产的转让通知、转让登记安排以及底层资产（如有）、相关资产（如有）向专项计划抵押、质押的安排等；</w:t>
      </w:r>
    </w:p>
    <w:p w14:paraId="3DDCCDF5">
      <w:pPr>
        <w:widowControl/>
        <w:snapToGrid w:val="0"/>
        <w:spacing w:line="600" w:lineRule="exact"/>
        <w:ind w:firstLine="45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存在债务人高度分散等合理原因，专项计划设立前无法完成基础资产转让通知、转让登记，或者底层资产或相关资产未进行质押或抵押登记的，应当披露原因及其合理性，充分揭示风险；</w:t>
      </w:r>
    </w:p>
    <w:p w14:paraId="2FA30A28">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六）基础资产、底层资产现金流涉及关联交易的，管理人应当披露关联交易的交易背景真实性、交易对价公允性、关联交易的商业合理性、关联交易金额及占比；原始权益人及其关联方现金流来源占比超过10%的，还应当披露原始权益人及其关联方的持续经营能力、偿债能力以及相关风险缓释措施；（七）基础资产、底层资产的相关业务规模、存续期限与资产支持证券的规模、存续期限的匹配情况；</w:t>
      </w:r>
    </w:p>
    <w:p w14:paraId="4921987E">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（七）基础资产的运营、管理情况。</w:t>
      </w:r>
    </w:p>
    <w:p w14:paraId="66F2956D">
      <w:pPr>
        <w:pStyle w:val="2"/>
        <w:spacing w:line="600" w:lineRule="exact"/>
        <w:ind w:firstLine="602"/>
        <w:rPr>
          <w:rFonts w:ascii="Times New Roman" w:hAnsi="Times New Roman" w:eastAsia="仿宋_GB2312"/>
          <w:sz w:val="30"/>
          <w:szCs w:val="30"/>
        </w:rPr>
      </w:pPr>
      <w:r>
        <w:rPr>
          <w:rFonts w:ascii="Times New Roman" w:hAnsi="Times New Roman" w:eastAsia="仿宋_GB2312"/>
          <w:b/>
          <w:bCs/>
          <w:kern w:val="0"/>
          <w:sz w:val="30"/>
          <w:szCs w:val="30"/>
          <w:lang w:bidi="en-US"/>
        </w:rPr>
        <w:t xml:space="preserve">3.7.2 </w:t>
      </w:r>
      <w:r>
        <w:rPr>
          <w:rFonts w:ascii="Times New Roman" w:hAnsi="Times New Roman" w:eastAsia="仿宋_GB2312"/>
          <w:sz w:val="30"/>
          <w:szCs w:val="30"/>
        </w:rPr>
        <w:t>计划说明书</w:t>
      </w:r>
      <w:r>
        <w:rPr>
          <w:rFonts w:ascii="Times New Roman" w:hAnsi="Times New Roman" w:eastAsia="仿宋_GB2312"/>
          <w:kern w:val="0"/>
          <w:sz w:val="30"/>
          <w:szCs w:val="30"/>
          <w:lang w:bidi="en-US"/>
        </w:rPr>
        <w:t>应当披露基础资产转让、交割、现金流归集和违约处置等方面的破产隔离效果，以及基础资产与原始权益人之间的风险隔离措施及其有效性</w:t>
      </w:r>
      <w:r>
        <w:rPr>
          <w:rFonts w:ascii="Times New Roman" w:hAnsi="Times New Roman" w:eastAsia="仿宋_GB2312"/>
          <w:sz w:val="30"/>
          <w:szCs w:val="30"/>
        </w:rPr>
        <w:t>。</w:t>
      </w:r>
    </w:p>
    <w:p w14:paraId="0E501961">
      <w:pPr>
        <w:widowControl/>
        <w:snapToGrid w:val="0"/>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3.7.3 </w:t>
      </w:r>
      <w:r>
        <w:rPr>
          <w:rFonts w:ascii="Times New Roman" w:hAnsi="Times New Roman" w:eastAsia="仿宋_GB2312"/>
          <w:bCs/>
          <w:kern w:val="0"/>
          <w:sz w:val="30"/>
          <w:szCs w:val="30"/>
          <w:lang w:bidi="en-US"/>
        </w:rPr>
        <w:t>基础资产涉及循环购买的，</w:t>
      </w:r>
      <w:r>
        <w:rPr>
          <w:rFonts w:ascii="Times New Roman" w:hAnsi="Times New Roman" w:eastAsia="仿宋_GB2312"/>
          <w:sz w:val="30"/>
          <w:szCs w:val="30"/>
        </w:rPr>
        <w:t>计划说明书</w:t>
      </w:r>
      <w:r>
        <w:rPr>
          <w:rFonts w:ascii="Times New Roman" w:hAnsi="Times New Roman" w:eastAsia="仿宋_GB2312"/>
          <w:kern w:val="0"/>
          <w:sz w:val="30"/>
          <w:szCs w:val="30"/>
          <w:lang w:bidi="en-US"/>
        </w:rPr>
        <w:t>应当披露下列相关安排：</w:t>
      </w:r>
    </w:p>
    <w:p w14:paraId="6CC64C09">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（一）循环购买入池标准、资产筛选及确认流程、确认资产符合入池标准的主体；</w:t>
      </w:r>
    </w:p>
    <w:p w14:paraId="0FA8CEC4">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（二）循环购买账户；</w:t>
      </w:r>
    </w:p>
    <w:p w14:paraId="634A76D4">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（三）购买频率、购买定价的公允性、资金与资产交割方式；</w:t>
      </w:r>
    </w:p>
    <w:p w14:paraId="12FDF7BF">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（四）可供购买的资产规模与循环购买额度的匹配性；</w:t>
      </w:r>
    </w:p>
    <w:p w14:paraId="0FFA5BAA">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（五）尽职调查安排；</w:t>
      </w:r>
    </w:p>
    <w:p w14:paraId="4259C1B5">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（六）循环购买资产不足时的防范和处理机制；</w:t>
      </w:r>
    </w:p>
    <w:p w14:paraId="38E0F5D4">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（七）循环购买与专项计划现金流分配的衔接安排；</w:t>
      </w:r>
    </w:p>
    <w:p w14:paraId="524F0C2A">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（八）管理人监督管理机制；</w:t>
      </w:r>
    </w:p>
    <w:p w14:paraId="727702B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（九）循环购买其他机制安排。</w:t>
      </w:r>
    </w:p>
    <w:p w14:paraId="4F2F798E">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循环购买通过原始权益人或者资产服务机构信息化系统进行的，管理人还应当充分披露原始权益人或者资产服务机构信息化系统的功能机制、循环购买的操作流程、系统的有效性、可靠性和稳定性情况、系统应急机制和备选方案等。</w:t>
      </w:r>
    </w:p>
    <w:p w14:paraId="55CE78C8">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循环购买账户涉及原始权益人或者资产服务机构的，管理人应当披露专项计划资金与原始权益人或者资产服务机构自有资金的有效隔离措施、对资金流入流出的实时监测安排等机制。</w:t>
      </w:r>
    </w:p>
    <w:p w14:paraId="080B694B">
      <w:pPr>
        <w:pStyle w:val="2"/>
        <w:snapToGrid w:val="0"/>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3.7.4 </w:t>
      </w:r>
      <w:r>
        <w:rPr>
          <w:rFonts w:ascii="Times New Roman" w:hAnsi="Times New Roman" w:eastAsia="仿宋_GB2312"/>
          <w:kern w:val="0"/>
          <w:sz w:val="30"/>
          <w:szCs w:val="30"/>
          <w:lang w:bidi="en-US"/>
        </w:rPr>
        <w:t>专项计划由类型相同的多笔债权资产组成资产池的，</w:t>
      </w:r>
      <w:r>
        <w:rPr>
          <w:rFonts w:ascii="Times New Roman" w:hAnsi="Times New Roman" w:eastAsia="仿宋_GB2312"/>
          <w:sz w:val="30"/>
          <w:szCs w:val="30"/>
        </w:rPr>
        <w:t>计划说明书</w:t>
      </w:r>
      <w:r>
        <w:rPr>
          <w:rFonts w:ascii="Times New Roman" w:hAnsi="Times New Roman" w:eastAsia="仿宋_GB2312"/>
          <w:kern w:val="0"/>
          <w:sz w:val="30"/>
          <w:szCs w:val="30"/>
          <w:lang w:bidi="en-US"/>
        </w:rPr>
        <w:t>应当披露资产池的下列基本情况：</w:t>
      </w:r>
    </w:p>
    <w:p w14:paraId="4C11D1A0">
      <w:pPr>
        <w:pStyle w:val="2"/>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（一）资产池的遴选标准（如有）以及创建程序；</w:t>
      </w:r>
    </w:p>
    <w:p w14:paraId="62DBA324">
      <w:pPr>
        <w:pStyle w:val="2"/>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（二）资产池总体特征；</w:t>
      </w:r>
    </w:p>
    <w:p w14:paraId="4A59EC4A">
      <w:pPr>
        <w:pStyle w:val="2"/>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（三）资产池分布特征、分散度情况及是否符合最低分散度要求。依照相关规定免于最低分散度要求的，应当披露资产池集中度较高的原因及合理性，由此产生的风险情况以及设置的相关风险缓释措施等。</w:t>
      </w:r>
    </w:p>
    <w:p w14:paraId="6FEBC1EB">
      <w:pPr>
        <w:pStyle w:val="2"/>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资产池由具备一定分散度、较高同质性、法律界定、业务形态属于相同类型，且风险特征不存在较大差异的多笔债权资产组成的，可以使用模拟资产池进行相应信息披露，模拟资产池的分散度特征、期限特征、风险特征等应当与真实的基础资产池保持一致。</w:t>
      </w:r>
    </w:p>
    <w:p w14:paraId="23B1BF92">
      <w:pPr>
        <w:pStyle w:val="2"/>
        <w:snapToGrid w:val="0"/>
        <w:spacing w:line="600" w:lineRule="exact"/>
        <w:ind w:firstLine="602"/>
        <w:rPr>
          <w:rFonts w:ascii="Times New Roman" w:hAnsi="Times New Roman" w:eastAsia="仿宋_GB2312"/>
          <w:b/>
          <w:kern w:val="0"/>
          <w:sz w:val="30"/>
          <w:szCs w:val="30"/>
          <w:lang w:bidi="en-US"/>
        </w:rPr>
      </w:pPr>
      <w:r>
        <w:rPr>
          <w:rFonts w:ascii="Times New Roman" w:hAnsi="Times New Roman" w:eastAsia="仿宋_GB2312"/>
          <w:b/>
          <w:bCs/>
          <w:kern w:val="0"/>
          <w:sz w:val="30"/>
          <w:szCs w:val="30"/>
          <w:lang w:bidi="en-US"/>
        </w:rPr>
        <w:t xml:space="preserve">3.7.5 </w:t>
      </w:r>
      <w:r>
        <w:rPr>
          <w:rFonts w:ascii="Times New Roman" w:hAnsi="Times New Roman" w:eastAsia="仿宋_GB2312"/>
          <w:kern w:val="0"/>
          <w:sz w:val="30"/>
          <w:szCs w:val="30"/>
          <w:lang w:bidi="en-US"/>
        </w:rPr>
        <w:t>计划说明书应当披露资产池所对应重要现金流提供方的主营业务、财务数据、信用情况、偿债能力、资信评级情况（如有）等，充分揭示风险，并设置相应的风险缓释措施。</w:t>
      </w:r>
    </w:p>
    <w:p w14:paraId="7868B243">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未达到重要现金流提供方要求但单笔未偿还本金金额占比较大的，管理人应当结合其对专项计划现金流影响情况，对该笔资产对应的现金流提供方经营状况以及财务状况进行必要的信息披露，并披露相关尽职调查的程序、范围、方式等。</w:t>
      </w:r>
    </w:p>
    <w:p w14:paraId="2968E068">
      <w:pPr>
        <w:widowControl/>
        <w:snapToGrid w:val="0"/>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3.7.6 </w:t>
      </w:r>
      <w:r>
        <w:rPr>
          <w:rFonts w:ascii="Times New Roman" w:hAnsi="Times New Roman" w:eastAsia="仿宋_GB2312"/>
          <w:sz w:val="30"/>
          <w:szCs w:val="30"/>
        </w:rPr>
        <w:t>计划说明书</w:t>
      </w:r>
      <w:r>
        <w:rPr>
          <w:rFonts w:ascii="Times New Roman" w:hAnsi="Times New Roman" w:eastAsia="仿宋_GB2312"/>
          <w:kern w:val="0"/>
          <w:sz w:val="30"/>
          <w:szCs w:val="30"/>
          <w:lang w:bidi="en-US"/>
        </w:rPr>
        <w:t>应当披露基础资产盈利模式和现金流预测相关情况，包括但不限于以下内容：</w:t>
      </w:r>
    </w:p>
    <w:p w14:paraId="207B3F25">
      <w:pPr>
        <w:widowControl/>
        <w:snapToGrid w:val="0"/>
        <w:spacing w:line="600" w:lineRule="exact"/>
        <w:ind w:firstLine="600"/>
        <w:rPr>
          <w:rFonts w:ascii="Times New Roman" w:hAnsi="Times New Roman" w:eastAsia="仿宋_GB2312"/>
          <w:sz w:val="30"/>
          <w:szCs w:val="30"/>
          <w:lang w:bidi="en-US"/>
        </w:rPr>
      </w:pPr>
      <w:r>
        <w:rPr>
          <w:rFonts w:ascii="Times New Roman" w:hAnsi="Times New Roman" w:eastAsia="仿宋_GB2312"/>
          <w:kern w:val="0"/>
          <w:sz w:val="30"/>
          <w:szCs w:val="30"/>
          <w:lang w:bidi="en-US"/>
        </w:rPr>
        <w:t>（一）基础资产以及底层资产的现金流构成以及最近三年（未满三年的自开始运营之日起）的历史现金流情况、波动情况及波动原因</w:t>
      </w:r>
      <w:r>
        <w:rPr>
          <w:rFonts w:ascii="Times New Roman" w:hAnsi="Times New Roman" w:eastAsia="仿宋_GB2312"/>
          <w:sz w:val="30"/>
          <w:szCs w:val="30"/>
        </w:rPr>
        <w:t>，以及其对现金流预测的影响；</w:t>
      </w:r>
    </w:p>
    <w:p w14:paraId="0CFBD99B">
      <w:pPr>
        <w:widowControl/>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二）现金流预测假设因素、预测方法和预测结论，并结合基础资产、底层资产的相关历史数据评估预测方法和相关指标设置的合理性。宏观及区域经济发展、行业政策及发展、相关税费、价格规制、供需关系、原始权益人资质及持续经营能力、结算方式、收缴率和违约率等可能对基础资产现金流产生影响的因素，应当做相应分析与披露，并说明对相关指标设置的影响；</w:t>
      </w:r>
    </w:p>
    <w:p w14:paraId="52B3F21B">
      <w:pPr>
        <w:pStyle w:val="83"/>
        <w:tabs>
          <w:tab w:val="left" w:pos="0"/>
        </w:tabs>
        <w:snapToGrid w:val="0"/>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（三）现金流压力测试的假设条件、压力因素及各压力情形下现金流覆盖情况。</w:t>
      </w:r>
    </w:p>
    <w:p w14:paraId="4A45E730">
      <w:pPr>
        <w:pStyle w:val="83"/>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现金流预测与历史情况存在较大变动，或者预测趋势与历史趋势不符的，管理人应当充分说明合理性，披露现金流预测结果出现偏差的风险缓释措施，并充分揭示风险。</w:t>
      </w:r>
    </w:p>
    <w:p w14:paraId="66EF1BBE">
      <w:pPr>
        <w:pStyle w:val="83"/>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专项计划未由第三方出具现金流预测报告的，管理人应当披露现金流预测情况及合理性。</w:t>
      </w:r>
    </w:p>
    <w:p w14:paraId="3D0FD303">
      <w:pPr>
        <w:pStyle w:val="83"/>
        <w:tabs>
          <w:tab w:val="left" w:pos="0"/>
        </w:tabs>
        <w:snapToGrid w:val="0"/>
        <w:spacing w:line="600" w:lineRule="exact"/>
        <w:ind w:firstLine="602"/>
        <w:rPr>
          <w:rFonts w:ascii="Times New Roman" w:hAnsi="Times New Roman"/>
          <w:kern w:val="0"/>
          <w:szCs w:val="30"/>
          <w:lang w:bidi="en-US"/>
        </w:rPr>
      </w:pPr>
      <w:r>
        <w:rPr>
          <w:rFonts w:ascii="Times New Roman" w:hAnsi="Times New Roman" w:eastAsia="仿宋_GB2312"/>
          <w:b/>
          <w:bCs/>
          <w:kern w:val="0"/>
          <w:sz w:val="30"/>
          <w:szCs w:val="30"/>
          <w:lang w:bidi="en-US"/>
        </w:rPr>
        <w:t xml:space="preserve">3.7.7 </w:t>
      </w:r>
      <w:r>
        <w:rPr>
          <w:rFonts w:ascii="Times New Roman" w:hAnsi="Times New Roman" w:eastAsia="仿宋_GB2312"/>
          <w:kern w:val="0"/>
          <w:sz w:val="30"/>
          <w:szCs w:val="30"/>
          <w:lang w:bidi="en-US"/>
        </w:rPr>
        <w:t>计</w:t>
      </w:r>
      <w:r>
        <w:rPr>
          <w:rFonts w:ascii="Times New Roman" w:hAnsi="Times New Roman" w:eastAsia="仿宋_GB2312"/>
          <w:sz w:val="30"/>
          <w:szCs w:val="30"/>
        </w:rPr>
        <w:t>划说明书应当披露尽职调查方法、尽职调查范围。采取抽样调查方法的，还应当披露抽样方法、抽样标准设置的合理性以及抽取样本的代表性。</w:t>
      </w:r>
      <w:bookmarkStart w:id="19" w:name="_Toc118891164"/>
    </w:p>
    <w:p w14:paraId="08618DC0">
      <w:pPr>
        <w:pStyle w:val="4"/>
        <w:rPr>
          <w:rFonts w:ascii="Times New Roman" w:hAnsi="Times New Roman"/>
          <w:szCs w:val="30"/>
          <w:shd w:val="clear" w:fill="auto"/>
        </w:rPr>
      </w:pPr>
      <w:r>
        <w:rPr>
          <w:rFonts w:ascii="Times New Roman" w:hAnsi="Times New Roman"/>
          <w:szCs w:val="30"/>
          <w:shd w:val="clear" w:fill="auto"/>
        </w:rPr>
        <w:t>第八节</w:t>
      </w:r>
      <w:r>
        <w:rPr>
          <w:rFonts w:ascii="Times New Roman" w:hAnsi="Times New Roman"/>
          <w:szCs w:val="30"/>
          <w:shd w:val="clear" w:fill="auto"/>
        </w:rPr>
        <w:tab/>
      </w:r>
      <w:r>
        <w:rPr>
          <w:rFonts w:ascii="Times New Roman" w:hAnsi="Times New Roman"/>
          <w:szCs w:val="30"/>
          <w:shd w:val="clear" w:fill="auto"/>
        </w:rPr>
        <w:t>专项计划现金流归集、投资及分配</w:t>
      </w:r>
      <w:bookmarkEnd w:id="19"/>
    </w:p>
    <w:p w14:paraId="62921133">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3.8.1 </w:t>
      </w:r>
      <w:r>
        <w:rPr>
          <w:rFonts w:ascii="Times New Roman" w:hAnsi="Times New Roman" w:eastAsia="仿宋_GB2312"/>
          <w:kern w:val="0"/>
          <w:sz w:val="30"/>
          <w:szCs w:val="30"/>
        </w:rPr>
        <w:t>计划说明书应当披露专项计划的账户设置安排，包括募集资金专户、专项计划账户、专项监管账户（如有）、信托账户（如有）</w:t>
      </w:r>
      <w:r>
        <w:rPr>
          <w:rFonts w:ascii="Times New Roman" w:hAnsi="Times New Roman" w:eastAsia="仿宋_GB2312"/>
          <w:sz w:val="30"/>
          <w:szCs w:val="30"/>
        </w:rPr>
        <w:t>等各类账户的定义、开立主体与作用等。</w:t>
      </w:r>
    </w:p>
    <w:p w14:paraId="1141121A">
      <w:pPr>
        <w:tabs>
          <w:tab w:val="left" w:pos="0"/>
        </w:tabs>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3.8.2 </w:t>
      </w:r>
      <w:r>
        <w:rPr>
          <w:rFonts w:ascii="Times New Roman" w:hAnsi="Times New Roman" w:eastAsia="仿宋_GB2312"/>
          <w:kern w:val="0"/>
          <w:sz w:val="30"/>
          <w:szCs w:val="30"/>
        </w:rPr>
        <w:t>计划说明书应当披露基础资产现金流自产生至当期分配给投资者期间在各账户间划转路径、时间节点安排、归集频率等，以及发生权利完善或加速归集等事件发生后，相关账户以及现金流归集转付路径和频率的变化等</w:t>
      </w:r>
      <w:r>
        <w:rPr>
          <w:rFonts w:ascii="Times New Roman" w:hAnsi="Times New Roman" w:eastAsia="仿宋_GB2312"/>
          <w:sz w:val="30"/>
          <w:szCs w:val="30"/>
        </w:rPr>
        <w:t>。</w:t>
      </w:r>
    </w:p>
    <w:p w14:paraId="56B6B77A">
      <w:pPr>
        <w:spacing w:line="600" w:lineRule="exact"/>
        <w:ind w:firstLine="600"/>
        <w:rPr>
          <w:rFonts w:ascii="Times New Roman" w:hAnsi="Times New Roman" w:eastAsia="仿宋_GB2312"/>
          <w:sz w:val="30"/>
          <w:szCs w:val="30"/>
        </w:rPr>
      </w:pPr>
      <w:r>
        <w:rPr>
          <w:rFonts w:ascii="Times New Roman" w:hAnsi="Times New Roman" w:eastAsia="仿宋_GB2312"/>
          <w:kern w:val="0"/>
          <w:sz w:val="30"/>
          <w:szCs w:val="30"/>
        </w:rPr>
        <w:t>现金流难以直接回款至专项计划账户的，应当披露现金流归集至专项监管账户的安排，相关安排的原因及合理性、现金流混同或挪用等风险以及风险缓释措施。</w:t>
      </w:r>
    </w:p>
    <w:p w14:paraId="75D36F7B">
      <w:pPr>
        <w:spacing w:line="600" w:lineRule="exact"/>
        <w:ind w:firstLine="566"/>
        <w:rPr>
          <w:rFonts w:ascii="Times New Roman" w:hAnsi="Times New Roman" w:eastAsia="仿宋_GB2312"/>
          <w:sz w:val="30"/>
          <w:szCs w:val="30"/>
        </w:rPr>
      </w:pPr>
      <w:r>
        <w:rPr>
          <w:rFonts w:ascii="Times New Roman" w:hAnsi="Times New Roman" w:eastAsia="仿宋_GB2312"/>
          <w:b/>
          <w:bCs/>
          <w:sz w:val="30"/>
          <w:szCs w:val="30"/>
        </w:rPr>
        <w:t xml:space="preserve">3.8.3 </w:t>
      </w:r>
      <w:r>
        <w:rPr>
          <w:rFonts w:ascii="Times New Roman" w:hAnsi="Times New Roman" w:eastAsia="仿宋_GB2312"/>
          <w:sz w:val="30"/>
          <w:szCs w:val="30"/>
        </w:rPr>
        <w:t>计划说明书应当披露基础资产现金流分配原则、分配流程、分配顺序以及发生加速清偿等特殊事件后的分配变化安排，必要时可以通过图示的形式体现账户之间资金的流动。</w:t>
      </w:r>
    </w:p>
    <w:p w14:paraId="0A4603EF">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次级资产支持证券设置期间收益分配的，应当披露分配情形、分配条件以及相关安排的合理性。</w:t>
      </w:r>
    </w:p>
    <w:p w14:paraId="197DDA9D">
      <w:pPr>
        <w:pStyle w:val="4"/>
        <w:rPr>
          <w:rFonts w:ascii="Times New Roman" w:hAnsi="Times New Roman"/>
          <w:szCs w:val="30"/>
          <w:shd w:val="clear" w:fill="auto"/>
        </w:rPr>
      </w:pPr>
      <w:bookmarkStart w:id="20" w:name="_Toc118891165"/>
      <w:r>
        <w:rPr>
          <w:rFonts w:ascii="Times New Roman" w:hAnsi="Times New Roman"/>
          <w:szCs w:val="30"/>
          <w:shd w:val="clear" w:fill="auto"/>
        </w:rPr>
        <w:t>第九节</w:t>
      </w:r>
      <w:r>
        <w:rPr>
          <w:rFonts w:ascii="Times New Roman" w:hAnsi="Times New Roman"/>
          <w:szCs w:val="30"/>
          <w:shd w:val="clear" w:fill="auto"/>
        </w:rPr>
        <w:tab/>
      </w:r>
      <w:r>
        <w:rPr>
          <w:rFonts w:ascii="Times New Roman" w:hAnsi="Times New Roman"/>
          <w:szCs w:val="30"/>
          <w:shd w:val="clear" w:fill="auto"/>
        </w:rPr>
        <w:t>专项计划资产的管理安排</w:t>
      </w:r>
      <w:bookmarkEnd w:id="20"/>
    </w:p>
    <w:p w14:paraId="4160A29D">
      <w:pPr>
        <w:pStyle w:val="83"/>
        <w:tabs>
          <w:tab w:val="left" w:pos="0"/>
        </w:tabs>
        <w:snapToGrid w:val="0"/>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3.9.1 </w:t>
      </w:r>
      <w:r>
        <w:rPr>
          <w:rFonts w:ascii="Times New Roman" w:hAnsi="Times New Roman" w:eastAsia="仿宋_GB2312"/>
          <w:sz w:val="30"/>
          <w:szCs w:val="30"/>
        </w:rPr>
        <w:t>计划说明书应当披露专项计划资产的构成。</w:t>
      </w:r>
    </w:p>
    <w:p w14:paraId="3DD66F6F">
      <w:pPr>
        <w:snapToGrid w:val="0"/>
        <w:spacing w:line="600" w:lineRule="exact"/>
        <w:ind w:firstLine="600"/>
        <w:rPr>
          <w:rFonts w:ascii="Times New Roman" w:hAnsi="Times New Roman" w:eastAsia="仿宋_GB2312"/>
          <w:sz w:val="30"/>
          <w:szCs w:val="30"/>
        </w:rPr>
      </w:pPr>
      <w:r>
        <w:rPr>
          <w:rFonts w:ascii="Times New Roman" w:hAnsi="Times New Roman" w:eastAsia="仿宋_GB2312"/>
          <w:b/>
          <w:bCs/>
          <w:sz w:val="30"/>
          <w:szCs w:val="30"/>
        </w:rPr>
        <w:t xml:space="preserve">3.9.2 </w:t>
      </w:r>
      <w:r>
        <w:rPr>
          <w:rFonts w:ascii="Times New Roman" w:hAnsi="Times New Roman" w:eastAsia="仿宋_GB2312"/>
          <w:sz w:val="30"/>
          <w:szCs w:val="30"/>
        </w:rPr>
        <w:t>计划说明书应当披露下列有关专项计划费用的安排：</w:t>
      </w:r>
    </w:p>
    <w:p w14:paraId="6BD8CEEE">
      <w:pPr>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（一）专项计划费用的种类、金额或计算方式等；</w:t>
      </w:r>
    </w:p>
    <w:p w14:paraId="5012E690">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（二）费用的支取方式、支取时间、支取程序；</w:t>
      </w:r>
    </w:p>
    <w:p w14:paraId="02FB7C48">
      <w:pPr>
        <w:pStyle w:val="83"/>
        <w:tabs>
          <w:tab w:val="left" w:pos="0"/>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（三）与专项计划设立或运行相关、但无需由专项计划承担的各项费用的定义与范围。</w:t>
      </w:r>
    </w:p>
    <w:p w14:paraId="3670C4EE">
      <w:pPr>
        <w:pStyle w:val="83"/>
        <w:tabs>
          <w:tab w:val="left" w:pos="0"/>
        </w:tabs>
        <w:snapToGrid w:val="0"/>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3.9.3 </w:t>
      </w:r>
      <w:r>
        <w:rPr>
          <w:rFonts w:ascii="Times New Roman" w:hAnsi="Times New Roman" w:eastAsia="仿宋_GB2312"/>
          <w:sz w:val="30"/>
          <w:szCs w:val="30"/>
        </w:rPr>
        <w:t>计划说明书应当披露原始权益人、管理人、投资者等纳税主体在专项计划运作过程中所需缴纳税种、税收政策、税收风险。</w:t>
      </w:r>
    </w:p>
    <w:p w14:paraId="768820ED">
      <w:pPr>
        <w:snapToGrid w:val="0"/>
        <w:spacing w:line="600" w:lineRule="exact"/>
        <w:ind w:firstLine="600"/>
        <w:rPr>
          <w:rFonts w:ascii="Times New Roman" w:hAnsi="Times New Roman" w:eastAsia="仿宋_GB2312"/>
          <w:sz w:val="30"/>
          <w:szCs w:val="30"/>
        </w:rPr>
      </w:pPr>
      <w:r>
        <w:rPr>
          <w:rFonts w:ascii="Times New Roman" w:hAnsi="Times New Roman" w:eastAsia="仿宋_GB2312"/>
          <w:b/>
          <w:bCs/>
          <w:sz w:val="30"/>
          <w:szCs w:val="30"/>
        </w:rPr>
        <w:t xml:space="preserve">3.9.4 </w:t>
      </w:r>
      <w:r>
        <w:rPr>
          <w:rFonts w:ascii="Times New Roman" w:hAnsi="Times New Roman" w:eastAsia="仿宋_GB2312"/>
          <w:sz w:val="30"/>
          <w:szCs w:val="30"/>
        </w:rPr>
        <w:t>计划说明书应当披露专项计划资金运用安排，包括专项计划设立日和循环期内购买基础资产的具体安排。</w:t>
      </w:r>
    </w:p>
    <w:p w14:paraId="7AE527F5">
      <w:pPr>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以专项计划资金进行合格投资的，计划说明书应当披露投资范围、账户安排，投资标的信用风险、市场风险和流动性风险等相关风险及防范措施等。</w:t>
      </w:r>
    </w:p>
    <w:p w14:paraId="10ABFE01">
      <w:pPr>
        <w:snapToGrid w:val="0"/>
        <w:spacing w:line="600" w:lineRule="exact"/>
        <w:ind w:firstLine="600"/>
        <w:rPr>
          <w:rFonts w:ascii="Times New Roman" w:hAnsi="Times New Roman" w:eastAsia="仿宋_GB2312"/>
          <w:sz w:val="30"/>
          <w:szCs w:val="30"/>
        </w:rPr>
      </w:pPr>
      <w:r>
        <w:rPr>
          <w:rFonts w:ascii="Times New Roman" w:hAnsi="Times New Roman" w:eastAsia="仿宋_GB2312"/>
          <w:b/>
          <w:bCs/>
          <w:sz w:val="30"/>
          <w:szCs w:val="30"/>
        </w:rPr>
        <w:t xml:space="preserve">3.9.5 </w:t>
      </w:r>
      <w:r>
        <w:rPr>
          <w:rFonts w:ascii="Times New Roman" w:hAnsi="Times New Roman" w:eastAsia="仿宋_GB2312"/>
          <w:sz w:val="30"/>
          <w:szCs w:val="30"/>
        </w:rPr>
        <w:t>计划说明书应当披露有关专项计划资产的下列处分安排：</w:t>
      </w:r>
    </w:p>
    <w:p w14:paraId="72E4502A">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（一）专项计划资产托管安排；</w:t>
      </w:r>
    </w:p>
    <w:p w14:paraId="47152577">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（二）原始权益人、管理人、托管人等其他业务参与人因依法解散、被依法撤销或者宣告破产等原因进行清算的，专项计划资产是否属于其清算财产；</w:t>
      </w:r>
    </w:p>
    <w:p w14:paraId="6B2EFA1E">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（三）管理人管理、运用和处分专项计划资产所产生的债权是否与其他业务参与人的固有财产产生的债务或者不同专项计划资产所产生的债务存在抵销安排；</w:t>
      </w:r>
    </w:p>
    <w:p w14:paraId="14E2DDCA">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（四）除相关法律法规的规定或相关文件的约定外，专项计划资产是否存在其他被处分事项。</w:t>
      </w:r>
    </w:p>
    <w:p w14:paraId="3A46943B">
      <w:pPr>
        <w:snapToGrid w:val="0"/>
        <w:spacing w:line="600" w:lineRule="exact"/>
        <w:ind w:firstLine="601"/>
        <w:rPr>
          <w:rFonts w:ascii="Times New Roman" w:hAnsi="Times New Roman" w:eastAsia="仿宋_GB2312"/>
          <w:sz w:val="30"/>
          <w:szCs w:val="30"/>
        </w:rPr>
      </w:pPr>
      <w:r>
        <w:rPr>
          <w:rFonts w:ascii="Times New Roman" w:hAnsi="Times New Roman" w:eastAsia="仿宋_GB2312"/>
          <w:b/>
          <w:bCs/>
          <w:sz w:val="30"/>
          <w:szCs w:val="30"/>
        </w:rPr>
        <w:t xml:space="preserve">3.9.6 </w:t>
      </w:r>
      <w:r>
        <w:rPr>
          <w:rFonts w:ascii="Times New Roman" w:hAnsi="Times New Roman" w:eastAsia="仿宋_GB2312"/>
          <w:sz w:val="30"/>
          <w:szCs w:val="30"/>
        </w:rPr>
        <w:t>计划说明书应当披露专项计划的其他资产管理安排。</w:t>
      </w:r>
    </w:p>
    <w:p w14:paraId="4105A7E6">
      <w:pPr>
        <w:pStyle w:val="4"/>
        <w:rPr>
          <w:rFonts w:ascii="Times New Roman" w:hAnsi="Times New Roman"/>
          <w:szCs w:val="30"/>
          <w:shd w:val="clear" w:fill="auto"/>
        </w:rPr>
      </w:pPr>
      <w:bookmarkStart w:id="21" w:name="_Toc118891166"/>
      <w:r>
        <w:rPr>
          <w:rFonts w:ascii="Times New Roman" w:hAnsi="Times New Roman"/>
          <w:szCs w:val="30"/>
          <w:shd w:val="clear" w:fill="auto"/>
        </w:rPr>
        <w:t>第十节</w:t>
      </w:r>
      <w:r>
        <w:rPr>
          <w:rFonts w:ascii="Times New Roman" w:hAnsi="Times New Roman"/>
          <w:szCs w:val="30"/>
          <w:shd w:val="clear" w:fill="auto"/>
        </w:rPr>
        <w:tab/>
      </w:r>
      <w:r>
        <w:rPr>
          <w:rFonts w:ascii="Times New Roman" w:hAnsi="Times New Roman"/>
          <w:szCs w:val="30"/>
          <w:shd w:val="clear" w:fill="auto"/>
        </w:rPr>
        <w:t>原始权益人风险自留的相关情况</w:t>
      </w:r>
      <w:bookmarkEnd w:id="21"/>
    </w:p>
    <w:p w14:paraId="338C0CE7">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3.10 </w:t>
      </w:r>
      <w:r>
        <w:rPr>
          <w:rFonts w:ascii="Times New Roman" w:hAnsi="Times New Roman" w:eastAsia="仿宋_GB2312"/>
          <w:sz w:val="30"/>
          <w:szCs w:val="30"/>
        </w:rPr>
        <w:t>计划说明书应当披露原始权益人或者其关联方风险自留安排，明确次级资产支持证券的认购方、认购规模、认购比例及转让安排等。</w:t>
      </w:r>
    </w:p>
    <w:p w14:paraId="1D6190B4">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资产支持证券未设置风险自留安排的，管理人应当充分披露未进行风险自留的原因及合理性，并揭示相关风险。</w:t>
      </w:r>
    </w:p>
    <w:p w14:paraId="367C2432">
      <w:pPr>
        <w:pStyle w:val="4"/>
        <w:rPr>
          <w:rFonts w:ascii="Times New Roman" w:hAnsi="Times New Roman"/>
          <w:szCs w:val="30"/>
          <w:shd w:val="clear" w:fill="auto"/>
        </w:rPr>
      </w:pPr>
      <w:bookmarkStart w:id="22" w:name="_Toc118891167"/>
      <w:r>
        <w:rPr>
          <w:rFonts w:ascii="Times New Roman" w:hAnsi="Times New Roman"/>
          <w:szCs w:val="30"/>
          <w:shd w:val="clear" w:fill="auto"/>
        </w:rPr>
        <w:t>第十一节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风险揭示与防范措施</w:t>
      </w:r>
      <w:bookmarkEnd w:id="22"/>
    </w:p>
    <w:p w14:paraId="6965B1EB">
      <w:pPr>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3.11.1 </w:t>
      </w:r>
      <w:r>
        <w:rPr>
          <w:rFonts w:ascii="Times New Roman" w:hAnsi="Times New Roman" w:eastAsia="仿宋_GB2312"/>
          <w:bCs/>
          <w:sz w:val="30"/>
          <w:szCs w:val="30"/>
        </w:rPr>
        <w:t>管理人应当遵循重要性原则，针对专项计划的实际情况，充分、准确、具体地描述相关风险因素，并对所披露的风险因素定量分析；无法定量分析的，应当进行有针对性的定性描述。</w:t>
      </w:r>
    </w:p>
    <w:p w14:paraId="1BA6DD8E">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3.11.2 </w:t>
      </w:r>
      <w:r>
        <w:rPr>
          <w:rFonts w:ascii="Times New Roman" w:hAnsi="Times New Roman" w:eastAsia="仿宋_GB2312"/>
          <w:sz w:val="30"/>
          <w:szCs w:val="30"/>
        </w:rPr>
        <w:t>计划说明书应当披露下列风险事项：</w:t>
      </w:r>
    </w:p>
    <w:p w14:paraId="678D775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与原始权益人、增信机构、实际融资人、重要现金流提供方、管理人等主要业务参与人有关的风险，包括相关业务参与人的行业风险、经营风险、财务风险、公司治理风险、法律风险、政策风险及舆情风险等；</w:t>
      </w:r>
    </w:p>
    <w:p w14:paraId="664210A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（二）与基础资产有关的风险，包括基础资产回款不稳定、资金混同和挪用、关联交易占比较高、入池资产集中度高、资产存在权利负担、基础资产转让及处置限制等；</w:t>
      </w:r>
    </w:p>
    <w:p w14:paraId="3E22098A">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（三）与信用增级有关的风险，包括优先和次级分层保障效力，权利完善事件、加速清偿事件、违约事件等信用触发机制的增信效果等；</w:t>
      </w:r>
    </w:p>
    <w:p w14:paraId="46290175">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（四）与现金流预测有关的风险，包括因基础资产或底层资产发生逾期、违约、早偿等原因导致的现金流预测偏差；</w:t>
      </w:r>
    </w:p>
    <w:p w14:paraId="14BD36F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（五）与市场有关的风险，包括利率波动风险、流动性风险及评级风险等；</w:t>
      </w:r>
    </w:p>
    <w:p w14:paraId="29C4387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（六）其他风险，包括政策风险、税务风险、发生不可抗力风险、技术风险及操作风险等。</w:t>
      </w:r>
    </w:p>
    <w:p w14:paraId="09A39A5A">
      <w:pPr>
        <w:pStyle w:val="55"/>
        <w:spacing w:line="600" w:lineRule="exact"/>
        <w:ind w:firstLine="566"/>
        <w:rPr>
          <w:rFonts w:ascii="Times New Roman" w:hAnsi="Times New Roman" w:eastAsia="仿宋_GB2312"/>
          <w:sz w:val="30"/>
          <w:szCs w:val="30"/>
        </w:rPr>
      </w:pPr>
      <w:r>
        <w:rPr>
          <w:rFonts w:ascii="Times New Roman" w:hAnsi="Times New Roman" w:eastAsia="仿宋_GB2312"/>
          <w:b/>
          <w:bCs/>
          <w:sz w:val="30"/>
          <w:szCs w:val="30"/>
        </w:rPr>
        <w:t xml:space="preserve">3.11.3 </w:t>
      </w:r>
      <w:r>
        <w:rPr>
          <w:rFonts w:ascii="Times New Roman" w:hAnsi="Times New Roman" w:eastAsia="仿宋_GB2312"/>
          <w:sz w:val="30"/>
          <w:szCs w:val="30"/>
        </w:rPr>
        <w:t>计划说明书应当披露针对关键性风险的应对措施和安排。风险缓释措施应当具有针对性、合理性和可操作性。</w:t>
      </w:r>
    </w:p>
    <w:p w14:paraId="6CBDF94A">
      <w:pPr>
        <w:pStyle w:val="55"/>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风险缓释措施中对未来现金流、营业收入及营业利润等进行预测的，应当披露预测的合理依据及假设前提。多种不同的风险采用同一或类似防范措施的，管理人应当披露风险缓释措施设置的合理性。</w:t>
      </w:r>
    </w:p>
    <w:p w14:paraId="4FCCDBBD">
      <w:pPr>
        <w:pStyle w:val="4"/>
        <w:rPr>
          <w:rFonts w:ascii="Times New Roman" w:hAnsi="Times New Roman"/>
          <w:szCs w:val="30"/>
          <w:shd w:val="clear" w:fill="auto"/>
        </w:rPr>
      </w:pPr>
      <w:bookmarkStart w:id="23" w:name="_Toc118891168"/>
      <w:r>
        <w:rPr>
          <w:rFonts w:ascii="Times New Roman" w:hAnsi="Times New Roman"/>
          <w:szCs w:val="30"/>
          <w:shd w:val="clear" w:fill="auto"/>
        </w:rPr>
        <w:t>第十二节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专项计划的销售、设立及终止等事项</w:t>
      </w:r>
      <w:bookmarkEnd w:id="23"/>
    </w:p>
    <w:p w14:paraId="652BCBF6">
      <w:pPr>
        <w:spacing w:line="600" w:lineRule="exact"/>
        <w:ind w:firstLine="600"/>
        <w:rPr>
          <w:rFonts w:ascii="Times New Roman" w:hAnsi="Times New Roman" w:eastAsia="仿宋_GB2312"/>
          <w:sz w:val="30"/>
          <w:szCs w:val="30"/>
        </w:rPr>
      </w:pPr>
      <w:r>
        <w:rPr>
          <w:rFonts w:ascii="Times New Roman" w:hAnsi="Times New Roman" w:eastAsia="仿宋_GB2312"/>
          <w:b/>
          <w:sz w:val="30"/>
          <w:szCs w:val="30"/>
        </w:rPr>
        <w:t xml:space="preserve">3.12.1 </w:t>
      </w:r>
      <w:r>
        <w:rPr>
          <w:rFonts w:ascii="Times New Roman" w:hAnsi="Times New Roman" w:eastAsia="仿宋_GB2312"/>
          <w:sz w:val="30"/>
          <w:szCs w:val="30"/>
        </w:rPr>
        <w:t>计划说明书应当披露专项计划的销售方案，明确销售期间、销售方式及场所、参与原则、认购人合法性要求、参与方式、参与手续、认购资金接收、存放等。</w:t>
      </w:r>
    </w:p>
    <w:p w14:paraId="18D1E674">
      <w:pPr>
        <w:spacing w:line="600" w:lineRule="exact"/>
        <w:ind w:firstLine="600"/>
        <w:rPr>
          <w:rFonts w:ascii="Times New Roman" w:hAnsi="Times New Roman" w:eastAsia="仿宋_GB2312"/>
          <w:sz w:val="30"/>
          <w:szCs w:val="30"/>
        </w:rPr>
      </w:pPr>
      <w:r>
        <w:rPr>
          <w:rFonts w:ascii="Times New Roman" w:hAnsi="Times New Roman" w:eastAsia="仿宋_GB2312"/>
          <w:b/>
          <w:sz w:val="30"/>
          <w:szCs w:val="30"/>
        </w:rPr>
        <w:t xml:space="preserve">3.12.2 </w:t>
      </w:r>
      <w:r>
        <w:rPr>
          <w:rFonts w:ascii="Times New Roman" w:hAnsi="Times New Roman" w:eastAsia="仿宋_GB2312"/>
          <w:sz w:val="30"/>
          <w:szCs w:val="30"/>
        </w:rPr>
        <w:t>计划说明书应当披露下列专项计划设立相关事项：</w:t>
      </w:r>
    </w:p>
    <w:p w14:paraId="6EA49E73">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（一）设立完成日的确定，设立时的有关确认事项；</w:t>
      </w:r>
    </w:p>
    <w:p w14:paraId="0D7D8FC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（二）设立失败后的相关安排，包括</w:t>
      </w:r>
      <w:r>
        <w:rPr>
          <w:rFonts w:ascii="Times New Roman" w:hAnsi="Times New Roman" w:eastAsia="仿宋_GB2312"/>
          <w:kern w:val="0"/>
          <w:sz w:val="30"/>
          <w:szCs w:val="30"/>
        </w:rPr>
        <w:t>设立失败的具体情形、认购资金的返还安排等。</w:t>
      </w:r>
    </w:p>
    <w:p w14:paraId="6B9E7BED">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3.12.3 </w:t>
      </w:r>
      <w:r>
        <w:rPr>
          <w:rFonts w:ascii="Times New Roman" w:hAnsi="Times New Roman" w:eastAsia="仿宋_GB2312"/>
          <w:sz w:val="30"/>
          <w:szCs w:val="30"/>
        </w:rPr>
        <w:t>计划说明书应当披露专项计划的终止条件和终止后的下列清算安排:</w:t>
      </w:r>
    </w:p>
    <w:p w14:paraId="5119C95E">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（一）清算小组的成立时间、人员构成、责任义务以及费用承担方式；</w:t>
      </w:r>
    </w:p>
    <w:p w14:paraId="638AE1B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（二）清算方案的编制依据、编制时间、是否需由有控制权的资产支持证券持有人大会进行审议，清算报告的出具时间、披露方式、报监管部门的安排；</w:t>
      </w:r>
    </w:p>
    <w:p w14:paraId="4E00D618">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（三）专项计划终止后的专项计划资产清偿顺序；</w:t>
      </w:r>
    </w:p>
    <w:p w14:paraId="6ED55F04">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（四）清算账册及有关文件的保存安排。</w:t>
      </w:r>
    </w:p>
    <w:p w14:paraId="378B146D">
      <w:pPr>
        <w:pStyle w:val="4"/>
        <w:rPr>
          <w:rFonts w:ascii="Times New Roman" w:hAnsi="Times New Roman"/>
          <w:szCs w:val="30"/>
          <w:shd w:val="clear" w:fill="auto"/>
        </w:rPr>
      </w:pPr>
      <w:bookmarkStart w:id="24" w:name="_Toc118891169"/>
      <w:r>
        <w:rPr>
          <w:rFonts w:ascii="Times New Roman" w:hAnsi="Times New Roman"/>
          <w:szCs w:val="30"/>
          <w:shd w:val="clear" w:fill="auto"/>
        </w:rPr>
        <w:t>第十三节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资产支持证券的登记及转让安排</w:t>
      </w:r>
      <w:bookmarkEnd w:id="24"/>
    </w:p>
    <w:p w14:paraId="5A46A9AF">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3.13 </w:t>
      </w:r>
      <w:r>
        <w:rPr>
          <w:rFonts w:ascii="Times New Roman" w:hAnsi="Times New Roman" w:eastAsia="仿宋_GB2312"/>
          <w:sz w:val="30"/>
          <w:szCs w:val="30"/>
        </w:rPr>
        <w:t>计划说明书应当披露资产支持证券的登记及转让安排，明确登记托管场所、转让场所、转让时间、转让限制等。</w:t>
      </w:r>
    </w:p>
    <w:p w14:paraId="49556AB6">
      <w:pPr>
        <w:pStyle w:val="4"/>
        <w:rPr>
          <w:rFonts w:ascii="Times New Roman" w:hAnsi="Times New Roman"/>
          <w:szCs w:val="30"/>
          <w:shd w:val="clear" w:fill="auto"/>
        </w:rPr>
      </w:pPr>
      <w:bookmarkStart w:id="25" w:name="_Toc118891170"/>
      <w:r>
        <w:rPr>
          <w:rFonts w:ascii="Times New Roman" w:hAnsi="Times New Roman"/>
          <w:szCs w:val="30"/>
          <w:shd w:val="clear" w:fill="auto"/>
        </w:rPr>
        <w:t>第十四节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信息披露安排</w:t>
      </w:r>
      <w:bookmarkEnd w:id="25"/>
    </w:p>
    <w:p w14:paraId="06CEC333">
      <w:pPr>
        <w:spacing w:line="600" w:lineRule="exact"/>
        <w:ind w:firstLine="600"/>
        <w:rPr>
          <w:rFonts w:ascii="Times New Roman" w:hAnsi="Times New Roman" w:eastAsia="仿宋_GB2312"/>
          <w:sz w:val="30"/>
          <w:szCs w:val="30"/>
        </w:rPr>
      </w:pPr>
      <w:r>
        <w:rPr>
          <w:rFonts w:ascii="Times New Roman" w:hAnsi="Times New Roman" w:eastAsia="仿宋_GB2312"/>
          <w:b/>
          <w:sz w:val="30"/>
          <w:szCs w:val="30"/>
        </w:rPr>
        <w:t xml:space="preserve">3.14 </w:t>
      </w:r>
      <w:r>
        <w:rPr>
          <w:rFonts w:ascii="Times New Roman" w:hAnsi="Times New Roman" w:eastAsia="仿宋_GB2312"/>
          <w:sz w:val="30"/>
          <w:szCs w:val="30"/>
        </w:rPr>
        <w:t>计划说明书应当披露专项计划的信息披露安排，明确信息披露依据、披露形式、披露时间、定期报告与临时报告等披露内容、信息披露文件的存放与查阅、向监管机构备案的内容等。</w:t>
      </w:r>
    </w:p>
    <w:p w14:paraId="2395F766">
      <w:pPr>
        <w:pStyle w:val="4"/>
        <w:rPr>
          <w:rFonts w:ascii="Times New Roman" w:hAnsi="Times New Roman"/>
          <w:szCs w:val="30"/>
          <w:shd w:val="clear" w:fill="auto"/>
        </w:rPr>
      </w:pPr>
      <w:bookmarkStart w:id="26" w:name="_Toc118891171"/>
      <w:r>
        <w:rPr>
          <w:rFonts w:ascii="Times New Roman" w:hAnsi="Times New Roman"/>
          <w:szCs w:val="30"/>
          <w:shd w:val="clear" w:fill="auto"/>
        </w:rPr>
        <w:t>第十五节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资产支持证券持有人会议相关安排</w:t>
      </w:r>
      <w:bookmarkEnd w:id="26"/>
    </w:p>
    <w:p w14:paraId="3EA2C953">
      <w:pPr>
        <w:tabs>
          <w:tab w:val="left" w:pos="0"/>
        </w:tabs>
        <w:snapToGrid w:val="0"/>
        <w:spacing w:line="600" w:lineRule="exact"/>
        <w:ind w:firstLine="566"/>
        <w:rPr>
          <w:rFonts w:ascii="Times New Roman" w:hAnsi="Times New Roman" w:eastAsia="仿宋_GB2312"/>
          <w:sz w:val="30"/>
          <w:szCs w:val="30"/>
        </w:rPr>
      </w:pPr>
      <w:r>
        <w:rPr>
          <w:rFonts w:ascii="Times New Roman" w:hAnsi="Times New Roman" w:eastAsia="仿宋_GB2312"/>
          <w:b/>
          <w:sz w:val="30"/>
          <w:szCs w:val="30"/>
        </w:rPr>
        <w:t xml:space="preserve">3.15 </w:t>
      </w:r>
      <w:r>
        <w:rPr>
          <w:rFonts w:ascii="Times New Roman" w:hAnsi="Times New Roman" w:eastAsia="仿宋_GB2312"/>
          <w:sz w:val="30"/>
          <w:szCs w:val="30"/>
        </w:rPr>
        <w:t>计划说明书应当披露资产支持证券持有人会议相关安排，包括持有人会议的召集人、召集事由、召集程序、会议形式、议事程序、表决机制、决议生效条件以及决议效力范围和其他重要事项等。</w:t>
      </w:r>
    </w:p>
    <w:p w14:paraId="4EFCCDF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在通过处置资产或抵质押物实现资产支持证券本息兑付等特定事项下，若存在表决机制特殊安排的，管理人应当披露相关安排的主要内容，包括参与特定事项表决的证券持有人资格要求、相关风险以及依法落实保护投资者合法权益的各项措施等。</w:t>
      </w:r>
    </w:p>
    <w:p w14:paraId="4D7B154E">
      <w:pPr>
        <w:pStyle w:val="4"/>
        <w:rPr>
          <w:rFonts w:ascii="Times New Roman" w:hAnsi="Times New Roman"/>
          <w:szCs w:val="30"/>
          <w:shd w:val="clear" w:fill="auto"/>
        </w:rPr>
      </w:pPr>
      <w:bookmarkStart w:id="27" w:name="_Toc118891172"/>
      <w:r>
        <w:rPr>
          <w:rFonts w:ascii="Times New Roman" w:hAnsi="Times New Roman"/>
          <w:szCs w:val="30"/>
          <w:shd w:val="clear" w:fill="auto"/>
        </w:rPr>
        <w:t>第十六节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主要交易文件摘要</w:t>
      </w:r>
      <w:bookmarkEnd w:id="27"/>
    </w:p>
    <w:p w14:paraId="476F2462">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3.16 </w:t>
      </w:r>
      <w:r>
        <w:rPr>
          <w:rFonts w:ascii="Times New Roman" w:hAnsi="Times New Roman" w:eastAsia="仿宋_GB2312"/>
          <w:sz w:val="30"/>
          <w:szCs w:val="30"/>
        </w:rPr>
        <w:t>计划说明书应当披露基础资产买卖协议、标准条款（如有）、托管协议、监管协议（如有）、资产服务协议以及增信相关协议等专项计划主要交易文件摘要。</w:t>
      </w:r>
    </w:p>
    <w:p w14:paraId="40170F2C">
      <w:pPr>
        <w:pStyle w:val="2"/>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摘要仅为向投资者提供有关本次专项计划的简要情况，计划说明书摘要内容应当与相关交易文件的约定保持一致，不得与相关文件相矛盾。</w:t>
      </w:r>
    </w:p>
    <w:p w14:paraId="5902796A">
      <w:pPr>
        <w:pStyle w:val="4"/>
        <w:rPr>
          <w:rFonts w:ascii="Times New Roman" w:hAnsi="Times New Roman"/>
          <w:szCs w:val="30"/>
          <w:shd w:val="clear" w:fill="auto"/>
        </w:rPr>
      </w:pPr>
      <w:bookmarkStart w:id="28" w:name="_Toc118891173"/>
      <w:r>
        <w:rPr>
          <w:rFonts w:ascii="Times New Roman" w:hAnsi="Times New Roman"/>
          <w:szCs w:val="30"/>
          <w:shd w:val="clear" w:fill="auto"/>
        </w:rPr>
        <w:t>第十七节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主要参与人重大利益关系说明</w:t>
      </w:r>
      <w:bookmarkEnd w:id="28"/>
    </w:p>
    <w:p w14:paraId="1492E2F8">
      <w:pPr>
        <w:spacing w:line="600" w:lineRule="exact"/>
        <w:ind w:firstLine="600"/>
        <w:rPr>
          <w:rFonts w:ascii="Times New Roman" w:hAnsi="Times New Roman" w:eastAsia="仿宋_GB2312"/>
          <w:sz w:val="30"/>
          <w:szCs w:val="30"/>
        </w:rPr>
      </w:pPr>
      <w:r>
        <w:rPr>
          <w:rFonts w:ascii="Times New Roman" w:hAnsi="Times New Roman" w:eastAsia="仿宋_GB2312"/>
          <w:b/>
          <w:sz w:val="30"/>
          <w:szCs w:val="30"/>
        </w:rPr>
        <w:t xml:space="preserve">3.17 </w:t>
      </w:r>
      <w:r>
        <w:rPr>
          <w:rFonts w:ascii="Times New Roman" w:hAnsi="Times New Roman" w:eastAsia="仿宋_GB2312"/>
          <w:sz w:val="30"/>
          <w:szCs w:val="30"/>
        </w:rPr>
        <w:t>计划说明书应当披露管理人、托管人与原始权益人之间的重大利益关系，并对可能存在的利益冲突以及采取的风险防范措施予以说明。</w:t>
      </w:r>
    </w:p>
    <w:p w14:paraId="79642553">
      <w:pPr>
        <w:pStyle w:val="4"/>
        <w:rPr>
          <w:rFonts w:ascii="Times New Roman" w:hAnsi="Times New Roman"/>
          <w:szCs w:val="30"/>
          <w:shd w:val="clear" w:fill="auto"/>
        </w:rPr>
      </w:pPr>
      <w:bookmarkStart w:id="29" w:name="_Toc118891174"/>
      <w:r>
        <w:rPr>
          <w:rFonts w:ascii="Times New Roman" w:hAnsi="Times New Roman"/>
          <w:szCs w:val="30"/>
          <w:shd w:val="clear" w:fill="auto"/>
        </w:rPr>
        <w:t>第十八节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管理人变更安排</w:t>
      </w:r>
      <w:bookmarkEnd w:id="29"/>
    </w:p>
    <w:p w14:paraId="45BCA07E">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3.18 </w:t>
      </w:r>
      <w:r>
        <w:rPr>
          <w:rFonts w:ascii="Times New Roman" w:hAnsi="Times New Roman" w:eastAsia="仿宋_GB2312"/>
          <w:sz w:val="30"/>
          <w:szCs w:val="30"/>
        </w:rPr>
        <w:t>计划说明书应当披露变更管理人的相关安排，包括管理人解任、辞任、继任管理人委任的触发情形、具体程序、生效时间、费用安排、权责义务划分及交接手续等。</w:t>
      </w:r>
    </w:p>
    <w:p w14:paraId="09F0726B">
      <w:pPr>
        <w:pStyle w:val="4"/>
        <w:rPr>
          <w:rFonts w:ascii="Times New Roman" w:hAnsi="Times New Roman"/>
          <w:szCs w:val="30"/>
          <w:shd w:val="clear" w:fill="auto"/>
        </w:rPr>
      </w:pPr>
      <w:bookmarkStart w:id="30" w:name="_Toc118891175"/>
      <w:r>
        <w:rPr>
          <w:rFonts w:ascii="Times New Roman" w:hAnsi="Times New Roman"/>
          <w:szCs w:val="30"/>
          <w:shd w:val="clear" w:fill="auto"/>
        </w:rPr>
        <w:t>第十九节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违约责任与争议解决</w:t>
      </w:r>
      <w:bookmarkEnd w:id="30"/>
    </w:p>
    <w:p w14:paraId="1E2245FF">
      <w:pPr>
        <w:spacing w:line="600" w:lineRule="exact"/>
        <w:ind w:firstLine="602"/>
        <w:rPr>
          <w:rFonts w:ascii="Times New Roman" w:hAnsi="Times New Roman" w:eastAsia="仿宋_GB2312"/>
          <w:b/>
          <w:bCs/>
          <w:sz w:val="30"/>
          <w:szCs w:val="30"/>
        </w:rPr>
      </w:pPr>
      <w:r>
        <w:rPr>
          <w:rFonts w:ascii="Times New Roman" w:hAnsi="Times New Roman" w:eastAsia="仿宋_GB2312"/>
          <w:b/>
          <w:sz w:val="30"/>
          <w:szCs w:val="30"/>
        </w:rPr>
        <w:t xml:space="preserve">3.19.1 </w:t>
      </w:r>
      <w:r>
        <w:rPr>
          <w:rFonts w:ascii="Times New Roman" w:hAnsi="Times New Roman" w:eastAsia="仿宋_GB2312"/>
          <w:sz w:val="30"/>
          <w:szCs w:val="30"/>
        </w:rPr>
        <w:t>计划说明书应当披露构成资产支持证券违约的具体情形、违约责任及其承担方式、应急事件及预计或已经发生违约时的救济机制、化解处置机制和具体化解处置措施、不可抗力、弃权等，相关内容应当同时在标准条款、担保函（如有）、担保协议（如有）等文件中进行约定。</w:t>
      </w:r>
    </w:p>
    <w:p w14:paraId="67A4CDC3">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3.19.2 </w:t>
      </w:r>
      <w:r>
        <w:rPr>
          <w:rFonts w:ascii="Times New Roman" w:hAnsi="Times New Roman" w:eastAsia="仿宋_GB2312"/>
          <w:sz w:val="30"/>
          <w:szCs w:val="30"/>
        </w:rPr>
        <w:t>计划说明书应当约定并披露资产支持证券存续期间或违约后发生争议的协商、诉讼、仲裁等争议解决机制。</w:t>
      </w:r>
    </w:p>
    <w:p w14:paraId="326271DC">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计划说明书披露的争议解决机制应与标准条款、担保函（如有）、担保协议（如有）等文件中的相关约定不冲突。</w:t>
      </w:r>
    </w:p>
    <w:p w14:paraId="4FA576B1">
      <w:pPr>
        <w:pStyle w:val="4"/>
        <w:rPr>
          <w:rFonts w:ascii="Times New Roman" w:hAnsi="Times New Roman"/>
          <w:szCs w:val="30"/>
          <w:shd w:val="clear" w:fill="auto"/>
        </w:rPr>
      </w:pPr>
      <w:bookmarkStart w:id="31" w:name="_Toc118891176"/>
      <w:r>
        <w:rPr>
          <w:rFonts w:ascii="Times New Roman" w:hAnsi="Times New Roman"/>
          <w:szCs w:val="30"/>
          <w:shd w:val="clear" w:fill="auto"/>
        </w:rPr>
        <w:t>第二十节</w:t>
      </w:r>
      <w:r>
        <w:rPr>
          <w:rFonts w:ascii="Times New Roman" w:hAnsi="Times New Roman"/>
          <w:szCs w:val="30"/>
          <w:shd w:val="clear" w:fill="auto"/>
        </w:rPr>
        <w:tab/>
      </w:r>
      <w:r>
        <w:rPr>
          <w:rFonts w:ascii="Times New Roman" w:hAnsi="Times New Roman"/>
          <w:szCs w:val="30"/>
          <w:shd w:val="clear" w:fill="auto"/>
        </w:rPr>
        <w:tab/>
      </w:r>
      <w:r>
        <w:rPr>
          <w:rFonts w:ascii="Times New Roman" w:hAnsi="Times New Roman"/>
          <w:szCs w:val="30"/>
          <w:shd w:val="clear" w:fill="auto"/>
        </w:rPr>
        <w:t>备查文件存放及查阅方式</w:t>
      </w:r>
      <w:bookmarkEnd w:id="31"/>
    </w:p>
    <w:p w14:paraId="6A7CE076">
      <w:pPr>
        <w:spacing w:line="600" w:lineRule="exact"/>
        <w:ind w:firstLine="602"/>
        <w:rPr>
          <w:rFonts w:ascii="Times New Roman" w:hAnsi="Times New Roman" w:eastAsia="仿宋_GB2312"/>
          <w:sz w:val="30"/>
          <w:szCs w:val="30"/>
        </w:rPr>
      </w:pPr>
      <w:r>
        <w:rPr>
          <w:rFonts w:ascii="Times New Roman" w:hAnsi="Times New Roman" w:eastAsia="仿宋_GB2312"/>
          <w:b/>
          <w:sz w:val="30"/>
          <w:szCs w:val="30"/>
        </w:rPr>
        <w:t xml:space="preserve">3.20.1 </w:t>
      </w:r>
      <w:r>
        <w:rPr>
          <w:rFonts w:ascii="Times New Roman" w:hAnsi="Times New Roman" w:eastAsia="仿宋_GB2312"/>
          <w:sz w:val="30"/>
          <w:szCs w:val="30"/>
        </w:rPr>
        <w:t>计划说明书应当列明下列专项计划备查文件及查询地址、查询网站、联系人等。</w:t>
      </w:r>
    </w:p>
    <w:p w14:paraId="5DAFF4D4">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（一）法律意见书；</w:t>
      </w:r>
    </w:p>
    <w:p w14:paraId="182D7C31">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（二）信用评级报告（如有）；</w:t>
      </w:r>
    </w:p>
    <w:p w14:paraId="670600B2">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（三）标准条款（如有）、基础资产买卖协议、资产服务协议（如有）、托管协议、监管协议（如有）；</w:t>
      </w:r>
    </w:p>
    <w:p w14:paraId="5E342874">
      <w:pPr>
        <w:pStyle w:val="81"/>
        <w:tabs>
          <w:tab w:val="left" w:pos="0"/>
          <w:tab w:val="left" w:pos="846"/>
        </w:tabs>
        <w:snapToGrid w:val="0"/>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（四）特定原始权益人最近三年（未满三年的自成立之日起）经审计的财务报告、最近一期财务报告或者财务报表；</w:t>
      </w:r>
    </w:p>
    <w:p w14:paraId="5F923772">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（五）增信机构最近一年经审计的财务报告、最近一期的财务报告或者财务报表（如有）；</w:t>
      </w:r>
    </w:p>
    <w:p w14:paraId="10B2F0DF">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（六）基础资产评估报告（如有）、现金流预测报告（如有）、第三方评估意见或认证报告（如有）；</w:t>
      </w:r>
    </w:p>
    <w:p w14:paraId="5F0FBA4F">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（七）担保函（如有）、担保协议（如有）、差额支付承诺函（如有）、流动性支持承诺函（如有）、回售和赎回承诺函（如有）、增信安排协议（如有）等增信文件；</w:t>
      </w:r>
    </w:p>
    <w:p w14:paraId="34696454">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（八）管理人、托管人、监管银行资格文件、营业执照；</w:t>
      </w:r>
    </w:p>
    <w:p w14:paraId="3DCC2714">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（九）其他与发行有关的重要文件。</w:t>
      </w:r>
    </w:p>
    <w:p w14:paraId="73F4B766">
      <w:pPr>
        <w:widowControl/>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3.20.2 </w:t>
      </w:r>
      <w:r>
        <w:rPr>
          <w:rFonts w:ascii="Times New Roman" w:hAnsi="Times New Roman" w:eastAsia="仿宋_GB2312"/>
          <w:kern w:val="0"/>
          <w:sz w:val="30"/>
          <w:szCs w:val="30"/>
          <w:lang w:bidi="en-US"/>
        </w:rPr>
        <w:t>管理人在提交政府和社会资本合作（PPP）项目资产证券化申报文件时，除按照本指引第2.1.1条的规定提交申报文件外，还应提交下列文件作为备查文件并予以披露：</w:t>
      </w:r>
    </w:p>
    <w:p w14:paraId="4FDDFB78">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（一）经评审或审核、审批的PPP项目实施方案；</w:t>
      </w:r>
    </w:p>
    <w:p w14:paraId="29CD9393">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（二）社会资本方（项目公司）与政府方签订的有效的PPP项目合同；需要政府实施特许经营的，特许经营者与政府方签订的有效的特许经营协议；</w:t>
      </w:r>
    </w:p>
    <w:p w14:paraId="0B63D9BE">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三）政府付费机制下，主管部门出具的同意政府付费的证明文件及政府付费纳入政府财政预算、政府财政规划的相关文件。使用者付费机制下，主管部门等单位出具的相关收费文件或证明文件。经主管部门审核通过的物有所值评价报告（如有）、财政承受能力论证报告（如有）；</w:t>
      </w:r>
    </w:p>
    <w:p w14:paraId="4FEC75E5">
      <w:pPr>
        <w:widowControl/>
        <w:spacing w:line="600" w:lineRule="exact"/>
        <w:ind w:firstLine="600"/>
        <w:rPr>
          <w:rFonts w:ascii="Times New Roman" w:hAnsi="Times New Roman" w:eastAsia="仿宋_GB2312"/>
          <w:sz w:val="30"/>
          <w:szCs w:val="30"/>
        </w:rPr>
      </w:pPr>
      <w:r>
        <w:rPr>
          <w:rFonts w:ascii="Times New Roman" w:hAnsi="Times New Roman" w:eastAsia="仿宋_GB2312"/>
          <w:kern w:val="0"/>
          <w:sz w:val="30"/>
          <w:szCs w:val="30"/>
          <w:lang w:bidi="en-US"/>
        </w:rPr>
        <w:t>（四）项目公司股东协议、公司章程等。</w:t>
      </w:r>
    </w:p>
    <w:p w14:paraId="5FBE069A">
      <w:pPr>
        <w:pStyle w:val="3"/>
        <w:spacing w:line="600" w:lineRule="exact"/>
        <w:rPr>
          <w:rFonts w:ascii="Times New Roman" w:hAnsi="Times New Roman"/>
        </w:rPr>
      </w:pPr>
      <w:bookmarkStart w:id="32" w:name="_Toc118891177"/>
      <w:r>
        <w:rPr>
          <w:rFonts w:ascii="Times New Roman" w:hAnsi="Times New Roman"/>
        </w:rPr>
        <w:t>第四章</w:t>
      </w:r>
      <w:r>
        <w:rPr>
          <w:rFonts w:ascii="Times New Roman" w:hAnsi="Times New Roman"/>
        </w:rPr>
        <w:tab/>
      </w:r>
      <w:r>
        <w:rPr>
          <w:rFonts w:ascii="Times New Roman" w:hAnsi="Times New Roman"/>
        </w:rPr>
        <w:t>基础资产信息披露要求</w:t>
      </w:r>
      <w:bookmarkEnd w:id="32"/>
    </w:p>
    <w:p w14:paraId="2ACAE3EF">
      <w:pPr>
        <w:pStyle w:val="4"/>
        <w:spacing w:line="600" w:lineRule="exact"/>
        <w:rPr>
          <w:rFonts w:ascii="Times New Roman" w:hAnsi="Times New Roman"/>
          <w:szCs w:val="30"/>
          <w:shd w:val="clear" w:fill="auto"/>
        </w:rPr>
      </w:pPr>
      <w:bookmarkStart w:id="33" w:name="_Toc118891178"/>
      <w:r>
        <w:rPr>
          <w:rFonts w:ascii="Times New Roman" w:hAnsi="Times New Roman"/>
          <w:szCs w:val="30"/>
          <w:shd w:val="clear" w:fill="auto"/>
        </w:rPr>
        <w:t>第一节</w:t>
      </w:r>
      <w:r>
        <w:rPr>
          <w:rFonts w:ascii="Times New Roman" w:hAnsi="Times New Roman"/>
          <w:szCs w:val="30"/>
          <w:shd w:val="clear" w:fill="auto"/>
        </w:rPr>
        <w:tab/>
      </w:r>
      <w:r>
        <w:rPr>
          <w:rFonts w:ascii="Times New Roman" w:hAnsi="Times New Roman"/>
          <w:szCs w:val="30"/>
          <w:shd w:val="clear" w:fill="auto"/>
        </w:rPr>
        <w:t>债权类</w:t>
      </w:r>
      <w:bookmarkEnd w:id="33"/>
    </w:p>
    <w:p w14:paraId="764E8122">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4.1.1 </w:t>
      </w:r>
      <w:r>
        <w:rPr>
          <w:rFonts w:ascii="Times New Roman" w:hAnsi="Times New Roman" w:eastAsia="仿宋_GB2312"/>
          <w:bCs/>
          <w:sz w:val="30"/>
          <w:szCs w:val="30"/>
        </w:rPr>
        <w:t>专项计划以企业应收账款（含核心企业供应链应收款）、融资租赁债权、小额贷款债权等债权类资产作为基础资产的，计划说明书除按照本指引第三章的一般要求进行编制和披露外，还应当按照本节要求披露资产池特征、相关业务开展情况、现金流归集等信息。</w:t>
      </w:r>
    </w:p>
    <w:p w14:paraId="2F263AC1">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4.1.2 </w:t>
      </w:r>
      <w:r>
        <w:rPr>
          <w:rFonts w:ascii="Times New Roman" w:hAnsi="Times New Roman" w:eastAsia="仿宋_GB2312"/>
          <w:bCs/>
          <w:sz w:val="30"/>
          <w:szCs w:val="30"/>
        </w:rPr>
        <w:t>基础资产为债权类资产的，计划说明书还应当披露下列内容：</w:t>
      </w:r>
    </w:p>
    <w:p w14:paraId="70FE22C1">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（一）基础资产的合格标准，包括基础资产涉及交易合同的合法有效性、债权人履行合同义务情况、合同付款条件满足情况、债务人履行其付款义务是否存在抗辩事由和抵销等情形；</w:t>
      </w:r>
    </w:p>
    <w:p w14:paraId="15E4E5A3">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（二）基础资产确权依据和确权方式；基础资产涉及分拆转让的，应当披露基础资产及其现金流回款的具体拆分依据、拆分方式、特定化标识方法等；</w:t>
      </w:r>
    </w:p>
    <w:p w14:paraId="700C6844">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（三）基础资产池入池基础资产总金额、笔数、资产池加权平均利率（如有）、资产池加权平均剩余期限、资产池加权影子评级（如有）、债权人和债务人数量及集中度等总体特征；</w:t>
      </w:r>
    </w:p>
    <w:p w14:paraId="6641B99B">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四）基础资产池单笔基础资产未偿本金余额分布、账龄及剩余账期分布、利率分布（如有）、债务人区域及行业分布、基础资产影子评级分布及加权结果（如有）、关联交易笔数与金额及其占比等。基础资产为企业应收账款（含核心企业供应链应收款）的，还应当披露贸易类型分布、结算支付方式分布；</w:t>
      </w:r>
    </w:p>
    <w:p w14:paraId="20C4990F">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五）列表形式披露基础资产未偿本金余额占比最大的20笔基础资产的基本信息，包括债权人名称、债务人名称及其资信评级（如有）、入池基础资产本金余额及利率（如有）、占入池基础资产总金额的比例、是否为关联交易、增信机构（如有）及其资信评级（如有）、增信方式和担保物（如有）、基础资产影子评级（如有）等。单笔基础资产未偿本金余额不超过资产池本金余额1%的，可豁免本款信息披露。</w:t>
      </w:r>
    </w:p>
    <w:p w14:paraId="0C7D69A9">
      <w:pPr>
        <w:spacing w:line="600" w:lineRule="exact"/>
        <w:ind w:firstLine="566"/>
        <w:rPr>
          <w:rFonts w:ascii="Times New Roman" w:hAnsi="Times New Roman" w:eastAsia="仿宋_GB2312"/>
          <w:bCs/>
          <w:sz w:val="30"/>
          <w:szCs w:val="30"/>
        </w:rPr>
      </w:pPr>
      <w:r>
        <w:rPr>
          <w:rFonts w:ascii="Times New Roman" w:hAnsi="Times New Roman" w:eastAsia="仿宋_GB2312"/>
          <w:b/>
          <w:sz w:val="30"/>
          <w:szCs w:val="30"/>
        </w:rPr>
        <w:t xml:space="preserve">4.1.3 </w:t>
      </w:r>
      <w:r>
        <w:rPr>
          <w:rFonts w:ascii="Times New Roman" w:hAnsi="Times New Roman" w:eastAsia="仿宋_GB2312"/>
          <w:bCs/>
          <w:sz w:val="30"/>
          <w:szCs w:val="30"/>
        </w:rPr>
        <w:t>基础资产为融资租赁债权的，计划说明书除按照本指引第4.1.2条对资产进行信息披露外，还应当披露资产池的下列信息：</w:t>
      </w:r>
    </w:p>
    <w:p w14:paraId="56D3541A">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（一）租赁业务形式（直接租赁、售后回租等）占比、租金偿还方式与计息方式分布、首付款比例分布（如有）、保证金对债务的覆盖比例（如有）、保证金收取及管理情况等；</w:t>
      </w:r>
    </w:p>
    <w:p w14:paraId="78D684FD">
      <w:pPr>
        <w:spacing w:line="600" w:lineRule="exact"/>
        <w:ind w:firstLine="567"/>
        <w:rPr>
          <w:rFonts w:ascii="Times New Roman" w:hAnsi="Times New Roman" w:eastAsia="仿宋_GB2312"/>
          <w:sz w:val="30"/>
          <w:szCs w:val="30"/>
        </w:rPr>
      </w:pPr>
      <w:r>
        <w:rPr>
          <w:rFonts w:ascii="Times New Roman" w:hAnsi="Times New Roman" w:eastAsia="仿宋_GB2312"/>
          <w:bCs/>
          <w:sz w:val="30"/>
          <w:szCs w:val="30"/>
        </w:rPr>
        <w:t>（二）租赁物类型、租赁物</w:t>
      </w:r>
      <w:r>
        <w:rPr>
          <w:rFonts w:ascii="Times New Roman" w:hAnsi="Times New Roman" w:eastAsia="仿宋_GB2312"/>
          <w:sz w:val="30"/>
          <w:szCs w:val="30"/>
        </w:rPr>
        <w:t>权属及其登记情况（如需）、融资租赁业务登记情况、租赁物投保情况；</w:t>
      </w:r>
    </w:p>
    <w:p w14:paraId="401C562C">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（三）基础资产所涉租赁合同中存在采用浮动利率计息方式的，应当披露该等利率的浮动方式与基准利率的关系等相关信息，并说明利率浮动是否会对专项计划的超额利差增信方式产生影响；</w:t>
      </w:r>
    </w:p>
    <w:p w14:paraId="380A9EE6">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（四）基础资产涉及提前退租相关约定的，应当披露提前退租的条件、提前退租是否可以减免租赁利息和相关费用等；</w:t>
      </w:r>
    </w:p>
    <w:p w14:paraId="3D09AA48">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五）租赁物的抵押、质押等担保负担或者其他权利限制情况、解除担保负担或者权利限制的相关安排、资金监控措施、风险处置安排、基础资产向专项计划转移时是否已合法有效地解除了租赁物的担保负担或者权利限制。</w:t>
      </w:r>
    </w:p>
    <w:p w14:paraId="611B4D74">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（六）满足相关条件免于债务人分散度要求等情形的，计划说明书应当披露租赁物的性质和价值、租赁物的可处置性等情况。</w:t>
      </w:r>
    </w:p>
    <w:p w14:paraId="028B8840">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4.1.4 </w:t>
      </w:r>
      <w:r>
        <w:rPr>
          <w:rFonts w:ascii="Times New Roman" w:hAnsi="Times New Roman" w:eastAsia="仿宋_GB2312"/>
          <w:bCs/>
          <w:sz w:val="30"/>
          <w:szCs w:val="30"/>
        </w:rPr>
        <w:t>基础资产为小额贷款债权的，计划说明书除按照本指引第4.1.2条对基础资产进行信息披露外，还应当披露资产池借款人的自然人、法人与其他组织占比、自然人年龄分布、期限分布、付息方式分布、分期偿还方式和分布（如有）、借款用途等。</w:t>
      </w:r>
    </w:p>
    <w:p w14:paraId="37FBF072">
      <w:pPr>
        <w:spacing w:line="600" w:lineRule="exact"/>
        <w:ind w:firstLine="566"/>
        <w:rPr>
          <w:rFonts w:ascii="Times New Roman" w:hAnsi="Times New Roman" w:eastAsia="仿宋_GB2312"/>
          <w:bCs/>
          <w:sz w:val="30"/>
          <w:szCs w:val="30"/>
        </w:rPr>
      </w:pPr>
      <w:r>
        <w:rPr>
          <w:rFonts w:ascii="Times New Roman" w:hAnsi="Times New Roman" w:eastAsia="仿宋_GB2312"/>
          <w:b/>
          <w:sz w:val="30"/>
          <w:szCs w:val="30"/>
        </w:rPr>
        <w:t xml:space="preserve">4.1.5 </w:t>
      </w:r>
      <w:r>
        <w:rPr>
          <w:rFonts w:ascii="Times New Roman" w:hAnsi="Times New Roman" w:eastAsia="仿宋_GB2312"/>
          <w:bCs/>
          <w:sz w:val="30"/>
          <w:szCs w:val="30"/>
        </w:rPr>
        <w:t>基础资产为债权类资产的，计划说明书应当披露原始权益人、资产服务机构（如有）与基础资产相关的业务概况：</w:t>
      </w:r>
    </w:p>
    <w:p w14:paraId="5A72823E">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（一）原始权益人基础资产相关业务的开展时间、业务模式、业务制度和流程、运营合规情况、业务开展的资金来源、盈利模式和现金流稳定性，基础资产累计形成规模或存量规模；</w:t>
      </w:r>
    </w:p>
    <w:p w14:paraId="673C2D46">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（二）基础资产相关业务的债务人集中度、债务人行业分布、账期或期限分布、综合年化利率（如有）分布；</w:t>
      </w:r>
    </w:p>
    <w:p w14:paraId="4734C76E">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（三）基础资产或基础资产同类型业务的展期、早偿、静态和动态逾期率（如有）、静态和动态违约率（如有）、违约后回收、核销等情况的定义、具体计算方式及相关历史数据；</w:t>
      </w:r>
    </w:p>
    <w:p w14:paraId="745BFFB0">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（四）原始权益人需承担基础资产回收款转付义务，或专项计划涉及循环购买机制的，应当对原始权益人的持续经营能力进行分析和披露。</w:t>
      </w:r>
    </w:p>
    <w:p w14:paraId="5D37CB99">
      <w:pPr>
        <w:spacing w:line="600" w:lineRule="exact"/>
        <w:ind w:firstLine="569"/>
        <w:rPr>
          <w:rFonts w:ascii="Times New Roman" w:hAnsi="Times New Roman" w:eastAsia="仿宋_GB2312"/>
          <w:sz w:val="30"/>
          <w:szCs w:val="30"/>
        </w:rPr>
      </w:pPr>
      <w:r>
        <w:rPr>
          <w:rFonts w:ascii="Times New Roman" w:hAnsi="Times New Roman" w:eastAsia="仿宋_GB2312"/>
          <w:b/>
          <w:bCs/>
          <w:sz w:val="30"/>
          <w:szCs w:val="30"/>
        </w:rPr>
        <w:t xml:space="preserve">4.1.6 </w:t>
      </w:r>
      <w:r>
        <w:rPr>
          <w:rFonts w:ascii="Times New Roman" w:hAnsi="Times New Roman" w:eastAsia="仿宋_GB2312"/>
          <w:sz w:val="30"/>
          <w:szCs w:val="30"/>
        </w:rPr>
        <w:t>基础资产为融资租赁债权的，</w:t>
      </w:r>
      <w:r>
        <w:rPr>
          <w:rFonts w:ascii="Times New Roman" w:hAnsi="Times New Roman" w:eastAsia="仿宋_GB2312"/>
          <w:bCs/>
          <w:sz w:val="30"/>
          <w:szCs w:val="30"/>
        </w:rPr>
        <w:t>计划说明书除按照本指引第4.1.5条对原始权益人、资产服务机构（如有）与基础资产形成相关的业务进行信息披露外，还应当披露下列信息：</w:t>
      </w:r>
    </w:p>
    <w:p w14:paraId="6867AD10">
      <w:pPr>
        <w:spacing w:line="600" w:lineRule="exact"/>
        <w:ind w:firstLine="567"/>
        <w:rPr>
          <w:rFonts w:ascii="Times New Roman" w:hAnsi="Times New Roman" w:eastAsia="仿宋_GB2312"/>
          <w:bCs/>
          <w:sz w:val="30"/>
          <w:szCs w:val="30"/>
        </w:rPr>
      </w:pPr>
      <w:r>
        <w:rPr>
          <w:rFonts w:ascii="Times New Roman" w:hAnsi="Times New Roman" w:eastAsia="仿宋_GB2312"/>
          <w:bCs/>
          <w:sz w:val="30"/>
          <w:szCs w:val="30"/>
        </w:rPr>
        <w:t>（一）原始权益人主要客户、主要租赁物类型、风险资产规模、既有负债、或有负债等情况；</w:t>
      </w:r>
    </w:p>
    <w:p w14:paraId="4ECEBDBD">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原始权益人融资租赁业务风险控制制度、风险分类管理制度、承租人信用评估制度、事后追偿和处置制度、风险预警机制、风险准备金计提情况及风险资产占净资产的比重等。风险分类管理制度应当披露分类管理标准、定义、方式等；</w:t>
      </w:r>
    </w:p>
    <w:p w14:paraId="6541BD4D">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（三）资产服务机构融资租赁相关的业务管理能力，包括但不限于回收租金及保证金的资金管理、附属担保权益及其他权利的管理（如有）、租赁项目的跟踪评估等。</w:t>
      </w:r>
    </w:p>
    <w:p w14:paraId="30B22919">
      <w:pPr>
        <w:spacing w:line="600" w:lineRule="exact"/>
        <w:ind w:firstLine="569"/>
        <w:rPr>
          <w:rFonts w:ascii="Times New Roman" w:hAnsi="Times New Roman" w:eastAsia="仿宋_GB2312"/>
          <w:bCs/>
          <w:sz w:val="30"/>
          <w:szCs w:val="30"/>
        </w:rPr>
      </w:pPr>
      <w:r>
        <w:rPr>
          <w:rFonts w:ascii="Times New Roman" w:hAnsi="Times New Roman" w:eastAsia="仿宋_GB2312"/>
          <w:b/>
          <w:bCs/>
          <w:sz w:val="30"/>
          <w:szCs w:val="30"/>
        </w:rPr>
        <w:t xml:space="preserve">4.1.7 </w:t>
      </w:r>
      <w:r>
        <w:rPr>
          <w:rFonts w:ascii="Times New Roman" w:hAnsi="Times New Roman" w:eastAsia="仿宋_GB2312"/>
          <w:sz w:val="30"/>
          <w:szCs w:val="30"/>
        </w:rPr>
        <w:t>基础资产为小额贷款债权的，</w:t>
      </w:r>
      <w:r>
        <w:rPr>
          <w:rFonts w:ascii="Times New Roman" w:hAnsi="Times New Roman" w:eastAsia="仿宋_GB2312"/>
          <w:bCs/>
          <w:sz w:val="30"/>
          <w:szCs w:val="30"/>
        </w:rPr>
        <w:t>计划说明书除按照本指引第4.1.5条对原始权益人、资产服务机构（如有）与基础资产形成相关的业务进行信息披露外，还应当披露下列信息：</w:t>
      </w:r>
    </w:p>
    <w:p w14:paraId="7FCE7C46">
      <w:pPr>
        <w:spacing w:line="600" w:lineRule="exact"/>
        <w:ind w:firstLine="567"/>
        <w:rPr>
          <w:rFonts w:ascii="Times New Roman" w:hAnsi="Times New Roman" w:eastAsia="仿宋_GB2312"/>
          <w:bCs/>
          <w:sz w:val="30"/>
          <w:szCs w:val="30"/>
        </w:rPr>
      </w:pPr>
      <w:r>
        <w:rPr>
          <w:rFonts w:ascii="Times New Roman" w:hAnsi="Times New Roman" w:eastAsia="仿宋_GB2312"/>
          <w:bCs/>
          <w:sz w:val="30"/>
          <w:szCs w:val="30"/>
        </w:rPr>
        <w:t>（一）小额贷款业务获客渠道、是否为互联网贷款、是否涉及与其他机构联合发放贷款或开展其他形式的业务合作、基础资产形成过程、贷款主要投向领域及用途、累计投放及存量贷款规模；</w:t>
      </w:r>
    </w:p>
    <w:p w14:paraId="03F02FE1">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原始权益人、资产服务机构（如有）与小额贷款业务相关的风险控制制度、风险分类管理制度、债务人信用评估制度、贷款资金用途监控机制、事后追偿和处置制度、风险预警机制、风险准备金计提情况等。风险分类管理制度应当披露分类管理标准、定义、方式等；</w:t>
      </w:r>
    </w:p>
    <w:p w14:paraId="1D107B10">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三）原始权益人若为小额贷款公司，还应当披露小额贷款公司通过发行债券、资产证券化产品等标准化债权类资产形式融入资金的余额、通过银行借款、股东借款等非标准化融资形式融入资金的余额、小额贷款公司对同一借款人的贷款余额占净资产的比例和对同一借款人及其关联方的贷款余额占净资产的比例等；</w:t>
      </w:r>
    </w:p>
    <w:p w14:paraId="454D80AC">
      <w:pPr>
        <w:pStyle w:val="2"/>
        <w:spacing w:line="600" w:lineRule="exact"/>
        <w:ind w:firstLine="600"/>
        <w:rPr>
          <w:rFonts w:ascii="Times New Roman" w:hAnsi="Times New Roman" w:eastAsia="仿宋_GB2312"/>
          <w:sz w:val="30"/>
          <w:szCs w:val="30"/>
        </w:rPr>
      </w:pPr>
      <w:r>
        <w:rPr>
          <w:rFonts w:ascii="Times New Roman" w:hAnsi="Times New Roman" w:eastAsia="仿宋_GB2312"/>
          <w:color w:val="000000" w:themeColor="text1"/>
          <w:sz w:val="30"/>
          <w:szCs w:val="30"/>
        </w:rPr>
        <w:t>（四）原</w:t>
      </w:r>
      <w:r>
        <w:rPr>
          <w:rFonts w:ascii="Times New Roman" w:hAnsi="Times New Roman" w:eastAsia="仿宋_GB2312"/>
          <w:sz w:val="30"/>
          <w:szCs w:val="30"/>
        </w:rPr>
        <w:t>始权益人、资产服务机构（如有）开展小额贷款业务依托于专业的技术系统的，应当披露该技术系统的功能，包括资产详细信息的显示和有效筛选、入池基础资产及其回收情况的标识、资产池逾期、违约和回收表现统计、不合格或需置换赎回的基础资产的特殊标识等，并披露技术系统底层资产数据是否与原始权益人提供的违约率、逾期率等资产表现数据及资产分布特征是否能够相互验证、技术服务系统信息安全、网络和数据安全相关的内部制度的相关情况。</w:t>
      </w:r>
    </w:p>
    <w:p w14:paraId="7D0DE337">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4.1.8 </w:t>
      </w:r>
      <w:r>
        <w:rPr>
          <w:rFonts w:ascii="Times New Roman" w:hAnsi="Times New Roman" w:eastAsia="仿宋_GB2312"/>
          <w:bCs/>
          <w:sz w:val="30"/>
          <w:szCs w:val="30"/>
        </w:rPr>
        <w:t>专项计划</w:t>
      </w:r>
      <w:r>
        <w:rPr>
          <w:rFonts w:ascii="Times New Roman" w:hAnsi="Times New Roman" w:eastAsia="仿宋_GB2312"/>
          <w:sz w:val="30"/>
          <w:szCs w:val="30"/>
        </w:rPr>
        <w:t>基础资产由融资租赁公司、互联网平台、小额贷款公司等机构营销获客和引流（以下简称引流机构）、合作金融机构（以下简称放款机构）放款形成的</w:t>
      </w:r>
      <w:r>
        <w:rPr>
          <w:rFonts w:ascii="Times New Roman" w:hAnsi="Times New Roman" w:eastAsia="仿宋_GB2312"/>
          <w:bCs/>
          <w:sz w:val="30"/>
          <w:szCs w:val="30"/>
        </w:rPr>
        <w:t>，计划说明书除按照本指引第4.1.5条和第4.1.7条披露相关信息外，还应当披露：</w:t>
      </w:r>
    </w:p>
    <w:p w14:paraId="640F3AA4">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（一）上述合作的业务模式、放款比例、支付结算和逾期清收安排、风险分担方式、</w:t>
      </w:r>
      <w:r>
        <w:rPr>
          <w:rFonts w:ascii="Times New Roman" w:hAnsi="Times New Roman" w:eastAsia="仿宋_GB2312"/>
          <w:sz w:val="30"/>
          <w:szCs w:val="30"/>
        </w:rPr>
        <w:t>引流机构自身及其与各合作金融机构形成的资产规模</w:t>
      </w:r>
      <w:r>
        <w:rPr>
          <w:rFonts w:ascii="Times New Roman" w:hAnsi="Times New Roman" w:eastAsia="仿宋_GB2312"/>
          <w:bCs/>
          <w:sz w:val="30"/>
          <w:szCs w:val="30"/>
        </w:rPr>
        <w:t>、资产历史表现、引流机构与合作金融机构是否为对方提供增信及其风险敞口规模等；</w:t>
      </w:r>
    </w:p>
    <w:p w14:paraId="539DBA46">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（二）引流机构从事相关业务所需的业务资质和证照（</w:t>
      </w:r>
      <w:r>
        <w:rPr>
          <w:rFonts w:ascii="Times New Roman" w:hAnsi="Times New Roman" w:eastAsia="仿宋_GB2312"/>
          <w:sz w:val="30"/>
          <w:szCs w:val="30"/>
        </w:rPr>
        <w:t>如有</w:t>
      </w:r>
      <w:r>
        <w:rPr>
          <w:rFonts w:ascii="Times New Roman" w:hAnsi="Times New Roman" w:eastAsia="仿宋_GB2312"/>
          <w:bCs/>
          <w:sz w:val="30"/>
          <w:szCs w:val="30"/>
        </w:rPr>
        <w:t>）、人员配备、风险控制制度、开展业务是否合法合规并符合相关主管部门的要求；</w:t>
      </w:r>
    </w:p>
    <w:p w14:paraId="36809192">
      <w:pPr>
        <w:spacing w:line="600" w:lineRule="exact"/>
        <w:ind w:firstLine="564"/>
        <w:rPr>
          <w:rFonts w:ascii="Times New Roman" w:hAnsi="Times New Roman" w:eastAsia="仿宋_GB2312"/>
          <w:bCs/>
          <w:sz w:val="30"/>
          <w:szCs w:val="30"/>
        </w:rPr>
      </w:pPr>
      <w:r>
        <w:rPr>
          <w:rFonts w:ascii="Times New Roman" w:hAnsi="Times New Roman" w:eastAsia="仿宋_GB2312"/>
          <w:bCs/>
          <w:sz w:val="30"/>
          <w:szCs w:val="30"/>
        </w:rPr>
        <w:t>（三）放款机构的业务资质和证照（如需）、人员配备、风险控制制度，放款机构业务开展是否合法合规、是否将授信审查及风险控制等核心业务外包、是否接受无担保资质的第三方机构提供增信服务及兜底承诺等变相增信服务。</w:t>
      </w:r>
    </w:p>
    <w:p w14:paraId="6B3480D4">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4.1.9 </w:t>
      </w:r>
      <w:r>
        <w:rPr>
          <w:rFonts w:ascii="Times New Roman" w:hAnsi="Times New Roman" w:eastAsia="仿宋_GB2312"/>
          <w:sz w:val="30"/>
          <w:szCs w:val="30"/>
        </w:rPr>
        <w:t>基础资产</w:t>
      </w:r>
      <w:r>
        <w:rPr>
          <w:rFonts w:ascii="Times New Roman" w:hAnsi="Times New Roman" w:eastAsia="仿宋_GB2312"/>
          <w:bCs/>
          <w:sz w:val="30"/>
          <w:szCs w:val="30"/>
        </w:rPr>
        <w:t>现金流归集与转付过程涉及</w:t>
      </w:r>
      <w:r>
        <w:rPr>
          <w:rFonts w:ascii="Times New Roman" w:hAnsi="Times New Roman" w:eastAsia="仿宋_GB2312"/>
          <w:sz w:val="30"/>
          <w:szCs w:val="30"/>
        </w:rPr>
        <w:t>第三方支付平台等主体进行代收代付、代为清分等情况的，计划说明书应当披露现金流归集清分路径和时间节点、流经和清分主体情况、清分规则等信息，以及相应的现金流混同风险和破产隔离风险及其风险缓释措施。</w:t>
      </w:r>
    </w:p>
    <w:p w14:paraId="3B53F50D">
      <w:pPr>
        <w:pStyle w:val="4"/>
        <w:spacing w:line="600" w:lineRule="exact"/>
        <w:rPr>
          <w:rFonts w:ascii="Times New Roman" w:hAnsi="Times New Roman"/>
          <w:szCs w:val="30"/>
          <w:shd w:val="clear" w:fill="auto"/>
        </w:rPr>
      </w:pPr>
      <w:bookmarkStart w:id="34" w:name="_Toc8847"/>
      <w:bookmarkStart w:id="35" w:name="_Toc118891179"/>
      <w:r>
        <w:rPr>
          <w:rFonts w:ascii="Times New Roman" w:hAnsi="Times New Roman"/>
          <w:szCs w:val="30"/>
          <w:shd w:val="clear" w:fill="auto"/>
        </w:rPr>
        <w:t>第二节</w:t>
      </w:r>
      <w:r>
        <w:rPr>
          <w:rFonts w:ascii="Times New Roman" w:hAnsi="Times New Roman"/>
          <w:szCs w:val="30"/>
          <w:shd w:val="clear" w:fill="auto"/>
        </w:rPr>
        <w:tab/>
      </w:r>
      <w:r>
        <w:rPr>
          <w:rFonts w:ascii="Times New Roman" w:hAnsi="Times New Roman"/>
          <w:szCs w:val="30"/>
          <w:shd w:val="clear" w:fill="auto"/>
        </w:rPr>
        <w:t>未来经营收入类</w:t>
      </w:r>
      <w:bookmarkEnd w:id="34"/>
      <w:bookmarkEnd w:id="35"/>
    </w:p>
    <w:p w14:paraId="6F0B6966">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4.2.1 </w:t>
      </w:r>
      <w:r>
        <w:rPr>
          <w:rFonts w:ascii="Times New Roman" w:hAnsi="Times New Roman" w:eastAsia="仿宋_GB2312"/>
          <w:bCs/>
          <w:sz w:val="30"/>
          <w:szCs w:val="30"/>
        </w:rPr>
        <w:t>专项计划以未来经营收入资产作为基础资产的，计划说明书除按照本指引第三章的一般要求进行编制和披露外，还应当按照本节要求补充披露基础资产、底层资产、相关资产和现金流预测等信息。</w:t>
      </w:r>
    </w:p>
    <w:p w14:paraId="5993EEA3">
      <w:pPr>
        <w:spacing w:line="600" w:lineRule="exact"/>
        <w:ind w:firstLine="566"/>
        <w:rPr>
          <w:rFonts w:ascii="Times New Roman" w:hAnsi="Times New Roman" w:eastAsia="仿宋_GB2312"/>
          <w:bCs/>
          <w:sz w:val="30"/>
          <w:szCs w:val="30"/>
        </w:rPr>
      </w:pPr>
      <w:r>
        <w:rPr>
          <w:rFonts w:ascii="Times New Roman" w:hAnsi="Times New Roman" w:eastAsia="仿宋_GB2312"/>
          <w:b/>
          <w:bCs/>
          <w:sz w:val="30"/>
          <w:szCs w:val="30"/>
        </w:rPr>
        <w:t xml:space="preserve">4.2.2 </w:t>
      </w:r>
      <w:r>
        <w:rPr>
          <w:rFonts w:ascii="Times New Roman" w:hAnsi="Times New Roman" w:eastAsia="仿宋_GB2312"/>
          <w:bCs/>
          <w:sz w:val="30"/>
          <w:szCs w:val="30"/>
        </w:rPr>
        <w:t>基础资产为未来经营收入资产的，计划说明书还应当披露下列信息：</w:t>
      </w:r>
    </w:p>
    <w:p w14:paraId="4252736D">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一）基础资产、底层资产及相关资产的基本情况及其合法合规性，包括：建设、验收、运营等环节涉及的审批、核准、备案、登记等相关程序的履行情况；取得特许经营等经营许可或其他经营资质的情况，以及该特许经营等经营许可或其他经营资质的期限覆盖专项计划期限的情况、展期安排、历史展期情况（如有）等；现金流涉及的经营活动及其基础合同的真实性、合法性、有效性、价格或收费标准符合相关规定的情况；</w:t>
      </w:r>
    </w:p>
    <w:p w14:paraId="11DD1DE5">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二）现金流的构成和独立性、稳定性或可预测性情况、现金流提供方集中度、现金流涉及的地区概况、区域经济、行业政策、供需变化等情况，以及相关情况对现金流的影响；至少最近三年（未满三年的自开始运营之日起）的历史现金流情况、波动情况以及波动原因；基础资产或底层资产的规模、存续期限与资产支持证券的规模、存续期限的匹配情况；</w:t>
      </w:r>
    </w:p>
    <w:p w14:paraId="35D76004">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现金流入包含中央财政补贴的可再生能源发电、节能减排技术改造、能源清洁化利用、新能源汽车及配套设施建设、绿色节能建筑等领域的项目，还应当披露获取补贴的依据、金额、期限、申请以及支付的历史情况等；</w:t>
      </w:r>
    </w:p>
    <w:p w14:paraId="6EDFF41F">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三）基础资产涉及使用者付费、实行收支两条线管理、专款专用的，应当披露取得地方财政部门或其他有权部门按照约定划付购买服务款项的承诺或法律文件、现金流返还账户以及管理人对账户的管理控制权限；</w:t>
      </w:r>
    </w:p>
    <w:p w14:paraId="5911F7CA">
      <w:pPr>
        <w:spacing w:line="600" w:lineRule="exact"/>
        <w:ind w:firstLine="600"/>
        <w:rPr>
          <w:rFonts w:ascii="Times New Roman" w:hAnsi="Times New Roman" w:eastAsia="仿宋_GB2312"/>
          <w:sz w:val="30"/>
          <w:szCs w:val="30"/>
        </w:rPr>
      </w:pPr>
      <w:r>
        <w:rPr>
          <w:rFonts w:ascii="Times New Roman" w:hAnsi="Times New Roman" w:eastAsia="仿宋_GB2312"/>
          <w:bCs/>
          <w:sz w:val="30"/>
          <w:szCs w:val="30"/>
        </w:rPr>
        <w:t>（四）存续期间特定原始权益人经营现金流入扣除向专项计划归集的现金流后对维持基础资产运营必要的成本、税费等支出的覆盖情况，并分析特定原始权益人持续经营能力；</w:t>
      </w:r>
    </w:p>
    <w:p w14:paraId="5FBEFC94">
      <w:pPr>
        <w:pStyle w:val="2"/>
        <w:spacing w:line="600" w:lineRule="exact"/>
        <w:ind w:firstLine="600"/>
        <w:rPr>
          <w:rFonts w:ascii="Times New Roman" w:hAnsi="Times New Roman" w:eastAsia="仿宋_GB2312"/>
          <w:bCs/>
          <w:sz w:val="30"/>
          <w:szCs w:val="30"/>
        </w:rPr>
      </w:pPr>
      <w:r>
        <w:rPr>
          <w:rFonts w:ascii="Times New Roman" w:hAnsi="Times New Roman" w:eastAsia="仿宋_GB2312"/>
          <w:bCs/>
          <w:sz w:val="30"/>
          <w:szCs w:val="30"/>
        </w:rPr>
        <w:t>（五）专项计划设置次级收益留存机制的，应当披露次级资产支持证券分配期间收益的方式、收益留存的金额或比例以及对优先级资产支持证券本息覆盖率的影响。</w:t>
      </w:r>
    </w:p>
    <w:p w14:paraId="16B3BE87">
      <w:pPr>
        <w:spacing w:line="600" w:lineRule="exact"/>
        <w:ind w:firstLine="566"/>
        <w:rPr>
          <w:rFonts w:ascii="Times New Roman" w:hAnsi="Times New Roman" w:eastAsia="仿宋_GB2312"/>
          <w:bCs/>
          <w:sz w:val="30"/>
          <w:szCs w:val="30"/>
        </w:rPr>
      </w:pPr>
      <w:r>
        <w:rPr>
          <w:rFonts w:ascii="Times New Roman" w:hAnsi="Times New Roman" w:eastAsia="仿宋_GB2312"/>
          <w:b/>
          <w:bCs/>
          <w:kern w:val="0"/>
          <w:sz w:val="30"/>
          <w:szCs w:val="30"/>
          <w:lang w:bidi="en-US"/>
        </w:rPr>
        <w:t xml:space="preserve">4.2.3 </w:t>
      </w:r>
      <w:r>
        <w:rPr>
          <w:rFonts w:ascii="Times New Roman" w:hAnsi="Times New Roman" w:eastAsia="仿宋_GB2312"/>
          <w:bCs/>
          <w:sz w:val="30"/>
          <w:szCs w:val="30"/>
        </w:rPr>
        <w:t>基础资产为PPP项目受益权、PPP项目资产、PPP项目公司股权的，计划说明书还应当披露下列信息：</w:t>
      </w:r>
    </w:p>
    <w:p w14:paraId="460A3E82">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（一）PPP项目是否存在政府方违规提供担保，或政府方采用固定回报、回购安排、明股实债等方式进行变相债务融资的情形；</w:t>
      </w:r>
    </w:p>
    <w:p w14:paraId="201F12DA">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（二）PPP项目合同、项目公司股东协议、融资合同中是否存在社会资本方（项目公司）转让基础资产的限制性约定，或披露是否已满足解除限制的条件、获得相关方转让基础资产的同意等；</w:t>
      </w:r>
    </w:p>
    <w:p w14:paraId="519D8169">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三）PPP项目建设运营中存在尚未付清的融资负债、建设工程结算应付款或需要支付运营成本等情况的，应当披露上述负债偿还或运营成本的支付安排、是否对PPP项目资产现金流归集形成限制、是否可能导致现金流截留风险，以及与社会资本方（项目公司）确定的防范现金流截留风险的措施；</w:t>
      </w:r>
    </w:p>
    <w:p w14:paraId="00F71313">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（四）PPP项目是否为纳入财政部PPP示范项目名单或公布的项目库的项目、是否为国家发展改革委PPP推介项目库的项目。</w:t>
      </w:r>
    </w:p>
    <w:p w14:paraId="02E62575">
      <w:pPr>
        <w:widowControl/>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4.2.4 </w:t>
      </w:r>
      <w:r>
        <w:rPr>
          <w:rFonts w:ascii="Times New Roman" w:hAnsi="Times New Roman" w:eastAsia="仿宋_GB2312"/>
          <w:kern w:val="0"/>
          <w:sz w:val="30"/>
          <w:szCs w:val="30"/>
          <w:lang w:bidi="en-US"/>
        </w:rPr>
        <w:t>基础资产为PPP项目收益权的，计划说明书还应当披露PPP项目建设、运营等下列有关信息：</w:t>
      </w:r>
    </w:p>
    <w:p w14:paraId="2B6C59EA">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一）项目识别、准备和采购情况，包括PPP项目实施方案评审，项目立项审批、核准或备案情况，财政承受能力论证报告及物有所值评价报告相关信息（如有），PPP项目采购情况，PPP项目合同签订情况、入库情况等。在能源、交通运输、水利、环境保护、市政工程等特定领域需要政府实施特许经营的，应当披露是否已按规定完成特许经营项目实施方案审定，特许经营者与政府方是否已签订有效的特许经营协议；</w:t>
      </w:r>
    </w:p>
    <w:p w14:paraId="47BC5D79">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二）社会资本（项目公司）设立、运营情况，设立项目公司的，包括设立登记、股东认缴及实缴资本金、股权结构、增减资、项目公司内部控制情况、财务情况、提供履约担保情况等。PPP项目公司股东以项目公司股权开展资产证券化的，还应当包括项目股东情况、项目公司股权股息的分配情况等；</w:t>
      </w:r>
    </w:p>
    <w:p w14:paraId="405582E3">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（三）项目前期融资情况，包括融资机构名称、融资金额、融资结构及融资交割情况等；</w:t>
      </w:r>
    </w:p>
    <w:p w14:paraId="02D1611B">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四）项目建设情况，包括项目建设进度、质量以及是否符合相关政策法规和PPP项目合同约定的标准和要求；PPP项目涉及新建或存量项目改建后再运营并获得相关付费的，是否完成项目建设或改建，按相关规定或合同约定经验收或政府方认可，并开始运营等；</w:t>
      </w:r>
    </w:p>
    <w:p w14:paraId="7D11B19E">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（五）项目运营情况，包括投入运营条件符合性、已运营时间、项目维护、运营情况以及是否符合相关政策法规和PPP项目合同约定的标准和要求；</w:t>
      </w:r>
    </w:p>
    <w:p w14:paraId="692BFEDA">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（六）项目付费或收益情况，管理人应当依据不同的付费模式，披露PPP项目合同、政府相关文件中约定的项目付费及收益情况：</w:t>
      </w:r>
    </w:p>
    <w:p w14:paraId="5868E5D6">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1．使用者付费模式下，应当披露使用者范围、付费条件、付费标准、付费期间、影响付费的因素等。涉及付费调整的，应当披露调整的条件、方法及程序；涉及新建竞争性项目或限制社会资本方（项目公司）超额利润的，应当披露相关约定；</w:t>
      </w:r>
    </w:p>
    <w:p w14:paraId="66515B3C">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2．政府付费模式下，应当披露政府付费纳入本级政府年度财政预算、中期财政规划的相关情况。采取可用性付费的，应当披露对可用性标准、付费标准、付费时间、不可用情形、扣减机制的约定；采取使用量付费的，应当披露对公共服务使用量计算标准、付费标准、付费时间、扣减机制的约定；采用绩效付费的，应当披露对绩效标准、绩效考核机制、付费标准、付费时间、扣减机制的约定。如涉及付费调整的，应披露调整的条件、方法及程序；</w:t>
      </w:r>
    </w:p>
    <w:p w14:paraId="4F9B3C48">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3．可行性缺口补助模式下，除了披露对使用者付费机制作出的约定外，还应当披露政府给予的可行性缺口补助形式、数额、时间等约定。可行性缺口补助涉及使用财政资金、政府投资资金的，还应当披露纳入本级政府年度财政预算、中期财政规划及政府投资计划的相关情况。</w:t>
      </w:r>
    </w:p>
    <w:p w14:paraId="0D519FAB">
      <w:pPr>
        <w:pStyle w:val="2"/>
        <w:spacing w:line="600" w:lineRule="exact"/>
        <w:ind w:firstLine="602"/>
        <w:rPr>
          <w:rFonts w:ascii="Times New Roman" w:hAnsi="Times New Roman" w:eastAsia="仿宋_GB2312"/>
          <w:sz w:val="30"/>
          <w:szCs w:val="30"/>
        </w:rPr>
      </w:pPr>
      <w:r>
        <w:rPr>
          <w:rFonts w:ascii="Times New Roman" w:hAnsi="Times New Roman" w:eastAsia="仿宋_GB2312"/>
          <w:b/>
          <w:bCs/>
          <w:kern w:val="0"/>
          <w:sz w:val="30"/>
          <w:szCs w:val="30"/>
          <w:lang w:bidi="en-US"/>
        </w:rPr>
        <w:t xml:space="preserve">4.2.5 </w:t>
      </w:r>
      <w:r>
        <w:rPr>
          <w:rFonts w:ascii="Times New Roman" w:hAnsi="Times New Roman" w:eastAsia="仿宋_GB2312"/>
          <w:kern w:val="0"/>
          <w:sz w:val="30"/>
          <w:szCs w:val="30"/>
          <w:lang w:bidi="en-US"/>
        </w:rPr>
        <w:t>基础资产为PPP项目资产的，除按照本指引第4.2.3条的相关要求披露PPP项目建设、运营信息，还应当根据PPP项目合同等约定披露PPP项目资产权属情况。</w:t>
      </w:r>
    </w:p>
    <w:p w14:paraId="5634C38D">
      <w:pPr>
        <w:pStyle w:val="2"/>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4.2.6 </w:t>
      </w:r>
      <w:r>
        <w:rPr>
          <w:rFonts w:ascii="Times New Roman" w:hAnsi="Times New Roman" w:eastAsia="仿宋_GB2312"/>
          <w:kern w:val="0"/>
          <w:sz w:val="30"/>
          <w:szCs w:val="30"/>
          <w:lang w:bidi="en-US"/>
        </w:rPr>
        <w:t>专项计划以PPP项目公司股权作为基础资产的，除按照本指引第4.2.3条的相关要求披露PPP项目建设、运营信息，还应当披露PPP项目公司股东协议、公司章程等对项目公司股权股息分配的来源、分配比例、时间、程序、影响因素等作出的约定、项目公司已有股权股息的分配情况等。</w:t>
      </w:r>
    </w:p>
    <w:p w14:paraId="3BAD4BA1">
      <w:pPr>
        <w:widowControl/>
        <w:spacing w:line="600" w:lineRule="exact"/>
        <w:ind w:firstLine="602"/>
        <w:rPr>
          <w:rFonts w:ascii="Times New Roman" w:hAnsi="Times New Roman" w:eastAsia="仿宋_GB2312"/>
          <w:kern w:val="0"/>
          <w:sz w:val="30"/>
          <w:szCs w:val="30"/>
          <w:lang w:bidi="en-US"/>
        </w:rPr>
      </w:pPr>
      <w:r>
        <w:rPr>
          <w:rFonts w:ascii="Times New Roman" w:hAnsi="Times New Roman" w:eastAsia="仿宋_GB2312"/>
          <w:b/>
          <w:bCs/>
          <w:kern w:val="0"/>
          <w:sz w:val="30"/>
          <w:szCs w:val="30"/>
          <w:lang w:bidi="en-US"/>
        </w:rPr>
        <w:t xml:space="preserve">4.2.7 </w:t>
      </w:r>
      <w:r>
        <w:rPr>
          <w:rFonts w:ascii="Times New Roman" w:hAnsi="Times New Roman" w:eastAsia="仿宋_GB2312"/>
          <w:kern w:val="0"/>
          <w:sz w:val="30"/>
          <w:szCs w:val="30"/>
          <w:lang w:bidi="en-US"/>
        </w:rPr>
        <w:t>以PPP项目收益权作为基础资产的，专项计划应当以PPP项目合同、政府相关文件为依据，披露PPP项目建设运营经济技术指标、付费模式和标准以及相关历史数据或同类项目数据，并在计划说明书及相关发行文件中披露 PPP项目收益现金流的测算过程及结果。管理人应当核查并披露PPP合同是否明确了因运营成本上升、市场需求下降等因素造成现金流回收低于预期的风险分担机制，并设置了补助机制等政府承诺和保障、购买保险等风险缓释措施。</w:t>
      </w:r>
    </w:p>
    <w:p w14:paraId="29C29DB3">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使用者付费模式下，计划说明书及相关发行文件应当披露测算PPP项目收益现金流所考虑的各种因素，包括但不限于：使用者范围和未来数量变化、收费标准及其可能的调整、未能及时足额收取费用的情况、新建竞争性项目或限制社会资本方（项目公司）超额利润的情况等。</w:t>
      </w:r>
    </w:p>
    <w:p w14:paraId="09888319">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政府付费模式下，计划说明书及相关发行文件应当披露测算PPP项目收益现金流所考虑的各种因素，包括但不限于PPP项目建设运营经济技术标准是否满足政府付费要求、付费标准及其可能的调整、未能及时足额收取费用的情况、绩效监控及其可能扣减付费的情况等。</w:t>
      </w:r>
    </w:p>
    <w:p w14:paraId="55DB3B74">
      <w:pPr>
        <w:widowControl/>
        <w:spacing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可行性缺口补助模式下，计划说明书及相关发行文件应当披露测算PPP项目未来现金流所考虑的相关影响使用者付费和政府付费现金流的因素，可行性缺口补助的条件、形式和能形成现金流的补助等。</w:t>
      </w:r>
    </w:p>
    <w:p w14:paraId="0AD9807F">
      <w:pPr>
        <w:widowControl/>
        <w:spacing w:line="600" w:lineRule="exact"/>
        <w:ind w:firstLine="602"/>
        <w:jc w:val="left"/>
        <w:rPr>
          <w:rFonts w:ascii="Times New Roman" w:hAnsi="Times New Roman" w:eastAsia="仿宋_GB2312"/>
          <w:sz w:val="30"/>
          <w:szCs w:val="30"/>
        </w:rPr>
      </w:pPr>
      <w:r>
        <w:rPr>
          <w:rFonts w:ascii="Times New Roman" w:hAnsi="Times New Roman" w:eastAsia="仿宋_GB2312"/>
          <w:b/>
          <w:bCs/>
          <w:kern w:val="0"/>
          <w:sz w:val="30"/>
          <w:szCs w:val="30"/>
          <w:lang w:bidi="en-US"/>
        </w:rPr>
        <w:t xml:space="preserve">4.2.8 </w:t>
      </w:r>
      <w:r>
        <w:rPr>
          <w:rFonts w:ascii="Times New Roman" w:hAnsi="Times New Roman" w:eastAsia="仿宋_GB2312"/>
          <w:bCs/>
          <w:sz w:val="30"/>
          <w:szCs w:val="30"/>
        </w:rPr>
        <w:t>基础资产涉及保障性租赁住房项目的，计划说明</w:t>
      </w:r>
      <w:r>
        <w:rPr>
          <w:rFonts w:ascii="Times New Roman" w:hAnsi="Times New Roman" w:eastAsia="仿宋_GB2312"/>
          <w:sz w:val="30"/>
          <w:szCs w:val="30"/>
        </w:rPr>
        <w:t>书还应当披露以下信息：</w:t>
      </w:r>
    </w:p>
    <w:p w14:paraId="73CCF90E">
      <w:pPr>
        <w:pStyle w:val="2"/>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（一）入池保障性</w:t>
      </w:r>
      <w:r>
        <w:rPr>
          <w:rFonts w:ascii="Times New Roman" w:hAnsi="Times New Roman" w:eastAsia="仿宋_GB2312"/>
          <w:bCs/>
          <w:sz w:val="30"/>
          <w:szCs w:val="30"/>
        </w:rPr>
        <w:t>租赁</w:t>
      </w:r>
      <w:r>
        <w:rPr>
          <w:rFonts w:ascii="Times New Roman" w:hAnsi="Times New Roman" w:eastAsia="仿宋_GB2312"/>
          <w:sz w:val="30"/>
          <w:szCs w:val="30"/>
        </w:rPr>
        <w:t>住房项目概况，包括所在区域、保障性</w:t>
      </w:r>
      <w:r>
        <w:rPr>
          <w:rFonts w:ascii="Times New Roman" w:hAnsi="Times New Roman" w:eastAsia="仿宋_GB2312"/>
          <w:bCs/>
          <w:sz w:val="30"/>
          <w:szCs w:val="30"/>
        </w:rPr>
        <w:t>租赁</w:t>
      </w:r>
      <w:r>
        <w:rPr>
          <w:rFonts w:ascii="Times New Roman" w:hAnsi="Times New Roman" w:eastAsia="仿宋_GB2312"/>
          <w:sz w:val="30"/>
          <w:szCs w:val="30"/>
        </w:rPr>
        <w:t>住房级别（国家保障房、省级保障房等）、项目立项及用地审批情况、建设主体、建设资质、总建筑面积、栋数、总户数、建设进度、竣工决算以及预售证取得情况等；</w:t>
      </w:r>
    </w:p>
    <w:p w14:paraId="7F99C000">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（二）保障性租赁住房安置工作流程，包括拆迁实施安置安排、安置房建设和销售等工作的承担方及具体义务、安置房销售现金流的支付方、支付时点和资金划付安排等；</w:t>
      </w:r>
    </w:p>
    <w:p w14:paraId="3634773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存在代理安置户保管拆迁补偿款并支付安置房购买价款等安排的，应当披露代理机构基本情况、代理业务流程、代理方的权利义务、代理安排是否取得安置户的有效授权、拆迁补偿款的保管、支付及划转的时点和路径、相关业务安排是否符合地方政府性债务管理的规定等；</w:t>
      </w:r>
    </w:p>
    <w:p w14:paraId="12527413">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安置方案的具体内容，包括制定依据、主管部门审批情况、安置方式、安置流程、安置对象或销售对象、安置期间、安置房购买价款的支付方、价款计算方式和支付条件节点、目前的拆迁安置进度、签约户数及安置价款已支付情况、安置房销售价格、定价依据以及周边可比物业销售单价、是否存在其他保障性租赁住房面向同一安置对象或销售对象等；</w:t>
      </w:r>
    </w:p>
    <w:p w14:paraId="2786ECBF">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（四）现金流预测依据拆迁安置计划的，应当披露政府安置计划、项目所在地拆迁进度、安置房购置协议主要内容、历史安置合同约定情况、预期安置进度等，以及现金流入与专项计划存续期的匹配性。</w:t>
      </w:r>
    </w:p>
    <w:p w14:paraId="601F10DA">
      <w:pPr>
        <w:pStyle w:val="4"/>
        <w:spacing w:line="600" w:lineRule="exact"/>
        <w:rPr>
          <w:rFonts w:ascii="Times New Roman" w:hAnsi="Times New Roman"/>
          <w:szCs w:val="30"/>
          <w:shd w:val="clear" w:fill="auto"/>
        </w:rPr>
      </w:pPr>
      <w:bookmarkStart w:id="36" w:name="_Toc118891180"/>
      <w:r>
        <w:rPr>
          <w:rFonts w:ascii="Times New Roman" w:hAnsi="Times New Roman"/>
          <w:szCs w:val="30"/>
          <w:shd w:val="clear" w:fill="auto"/>
        </w:rPr>
        <w:t>第三节</w:t>
      </w:r>
      <w:r>
        <w:rPr>
          <w:rFonts w:ascii="Times New Roman" w:hAnsi="Times New Roman"/>
          <w:szCs w:val="30"/>
          <w:shd w:val="clear" w:fill="auto"/>
        </w:rPr>
        <w:tab/>
      </w:r>
      <w:r>
        <w:rPr>
          <w:rFonts w:ascii="Times New Roman" w:hAnsi="Times New Roman"/>
          <w:szCs w:val="30"/>
          <w:shd w:val="clear" w:fill="auto"/>
        </w:rPr>
        <w:t>不动产抵押贷款</w:t>
      </w:r>
      <w:bookmarkEnd w:id="36"/>
    </w:p>
    <w:p w14:paraId="1B767780">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4.3.1 </w:t>
      </w:r>
      <w:r>
        <w:rPr>
          <w:rFonts w:ascii="Times New Roman" w:hAnsi="Times New Roman" w:eastAsia="仿宋_GB2312"/>
          <w:sz w:val="30"/>
          <w:szCs w:val="30"/>
        </w:rPr>
        <w:t>专项计划以不动产抵押贷款债权作为基础资产的，计划说明书除按照本指引第三章的一般要求进行编制和披露外，还应当</w:t>
      </w:r>
      <w:r>
        <w:rPr>
          <w:rFonts w:ascii="Times New Roman" w:hAnsi="Times New Roman" w:eastAsia="仿宋_GB2312"/>
          <w:bCs/>
          <w:sz w:val="30"/>
          <w:szCs w:val="30"/>
        </w:rPr>
        <w:t>按照本节要求补充</w:t>
      </w:r>
      <w:r>
        <w:rPr>
          <w:rFonts w:ascii="Times New Roman" w:hAnsi="Times New Roman" w:eastAsia="仿宋_GB2312"/>
          <w:sz w:val="30"/>
          <w:szCs w:val="30"/>
        </w:rPr>
        <w:t>披露不动产项目、相关业务参与人等信息。</w:t>
      </w:r>
    </w:p>
    <w:p w14:paraId="7AFF720F">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4.3.2 </w:t>
      </w:r>
      <w:r>
        <w:rPr>
          <w:rFonts w:ascii="Times New Roman" w:hAnsi="Times New Roman" w:eastAsia="仿宋_GB2312"/>
          <w:sz w:val="30"/>
          <w:szCs w:val="30"/>
        </w:rPr>
        <w:t>计划说明书应当披露不动产项目的下列信息：</w:t>
      </w:r>
    </w:p>
    <w:p w14:paraId="30DF2B3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不动产项目基本情况，包括项目类型、地理位置、运营年限、建筑面积与可供出租或者经营使用面积（如适用）、运营管理方、运营模式、平均租金水平以及主要租户情况、整修改造计划、财产保险购买、周边竞争项目情况等；</w:t>
      </w:r>
    </w:p>
    <w:p w14:paraId="4355DC04">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不动产项目合法合规性情况，包括权属状况、权属登记完成情况；转让或抵押、质押限制情况；已有抵押、质押等权利限制情况；竣工验收情况；规划、用地、环评等审批、核准、备案、登记以及其他依据相关法律法规应当办理的手续完成情况；工程建设质量及安全标准是否符合要求；土地使用权取得的合法性、有效性；土地使用权剩余期限；土地实际用途、规划用途及其权证所载用途一致性；经营资质取得情况、经营资质期限与展期安排（如有）；经营合同备案情况；价格或者收费标准是否符合相关规定（如有）等；</w:t>
      </w:r>
    </w:p>
    <w:p w14:paraId="4FC67F4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不动产项目运营情况，包括不动产项目最近三年及一期（未满三年的，自开始运营起，下同）出租率或者使用率（如适用），平均收费水平，与周边或者行业可比项目（如有）收费水平对比，收费增长率，经营合同或者收费协议期限分布，免租期协定（如有），支付结算方式、收缴率等；</w:t>
      </w:r>
    </w:p>
    <w:p w14:paraId="0942B32F">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四）不动产项目现金流情况，包括最近三年及一期以及预测期内运营收入、成本支出、相关税金和费用、运营净收益、现金流提供方分布和集中度、关联交易占比，运营收入、运营净收益增长率及其原因、合理性，涉及关联方整租的，还应当披露分租的现金流情况；</w:t>
      </w:r>
    </w:p>
    <w:p w14:paraId="6105B247">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（五）不动产项目估值、抵押率、存续期定期评估安排；</w:t>
      </w:r>
    </w:p>
    <w:p w14:paraId="5A9FAB7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六）不动产项目评估和现金流预测相关的假设因素、方法和结论，相关方法选择和参数设置的合理性。不动产项目评估报告中收益法预测现金流与现金流预测报告存在显著差异的，应当披露差异的原因以及合理性等；</w:t>
      </w:r>
    </w:p>
    <w:p w14:paraId="007CC4CC">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七）专项计划预期可分配现金流对各兑付期间专项计划应付税金、费用以及优先级资产支持证券预期收益之和的覆盖倍数及其压力测试情况。基础资产或不动产项目预计处置价格对优先级资产支持证券的本金、预期收益以及专项计划应付税金、费用的覆盖倍数；</w:t>
      </w:r>
    </w:p>
    <w:p w14:paraId="0D2B6348">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（八）不动产项目的可处置性、处置费用和处置价值压力测试结果，存在处置时需经监管部门审批、自持期限要求、买受方范围限定等相关限制的，应当充分揭示风险并设置相应的缓释措施。</w:t>
      </w:r>
    </w:p>
    <w:p w14:paraId="35F79E42">
      <w:pPr>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4.3.3 </w:t>
      </w:r>
      <w:r>
        <w:rPr>
          <w:rFonts w:ascii="Times New Roman" w:hAnsi="Times New Roman" w:eastAsia="仿宋_GB2312"/>
          <w:sz w:val="30"/>
          <w:szCs w:val="30"/>
        </w:rPr>
        <w:t>计划说明书应当披露业务参与人下列相关信息：</w:t>
      </w:r>
    </w:p>
    <w:p w14:paraId="6DB5137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一）不动产抵押贷款债权借款人（以下简称借款人）的基本情况，包括借款人名称、股权结构、控股股东与实际控制人、股权受限情况（如有）、主营业务、财务状况、最近三年及一期的财务报表（如有，未满3年的自成立之日起，说明是否经审计）、融资情况、信用情况、资信评级情况（如有）、对外担保余额、未决重大诉讼或者仲裁情况、重大违法违规行为等；</w:t>
      </w:r>
    </w:p>
    <w:p w14:paraId="28B5A56B">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二）借款人的持续运营能力分析，包括专项计划存续期间借款人维持持续运营所需资金来源分析，尚未偿付的融资性债务余额、工程应付款或者其他优先于抵押担保主债权清偿的债务余额及其偿付资金来源，大额资本支出计划等；</w:t>
      </w:r>
    </w:p>
    <w:p w14:paraId="44D8FDC0">
      <w:pPr>
        <w:spacing w:line="600" w:lineRule="exact"/>
        <w:ind w:firstLine="600"/>
        <w:rPr>
          <w:rFonts w:ascii="Times New Roman" w:hAnsi="Times New Roman" w:eastAsia="仿宋_GB2312"/>
          <w:sz w:val="30"/>
          <w:szCs w:val="30"/>
        </w:rPr>
      </w:pPr>
      <w:r>
        <w:rPr>
          <w:rFonts w:ascii="Times New Roman" w:hAnsi="Times New Roman" w:eastAsia="仿宋_GB2312"/>
          <w:sz w:val="30"/>
          <w:szCs w:val="30"/>
        </w:rPr>
        <w:t>（三）为不动产项目提供运营服务的机构名称、相关管理经验及能力、运营服务合同的期限以及续签安排（如有）、运营主要职责与权利等。</w:t>
      </w:r>
    </w:p>
    <w:p w14:paraId="49DC175F">
      <w:pPr>
        <w:pStyle w:val="3"/>
        <w:spacing w:line="600" w:lineRule="exact"/>
        <w:rPr>
          <w:rFonts w:ascii="Times New Roman" w:hAnsi="Times New Roman"/>
        </w:rPr>
      </w:pPr>
      <w:bookmarkStart w:id="37" w:name="_Toc118827180"/>
      <w:bookmarkStart w:id="38" w:name="_Toc118891181"/>
      <w:r>
        <w:rPr>
          <w:rFonts w:ascii="Times New Roman" w:hAnsi="Times New Roman"/>
        </w:rPr>
        <w:t>第五章</w:t>
      </w:r>
      <w:r>
        <w:rPr>
          <w:rFonts w:ascii="Times New Roman" w:hAnsi="Times New Roman"/>
        </w:rPr>
        <w:tab/>
      </w:r>
      <w:r>
        <w:rPr>
          <w:rFonts w:ascii="Times New Roman" w:hAnsi="Times New Roman"/>
        </w:rPr>
        <w:t>证券服务机构相关报告编制要求</w:t>
      </w:r>
      <w:bookmarkEnd w:id="37"/>
      <w:bookmarkEnd w:id="38"/>
    </w:p>
    <w:p w14:paraId="13A5DB31">
      <w:pPr>
        <w:pStyle w:val="4"/>
        <w:spacing w:line="600" w:lineRule="exact"/>
        <w:rPr>
          <w:rFonts w:ascii="Times New Roman" w:hAnsi="Times New Roman"/>
          <w:szCs w:val="30"/>
          <w:shd w:val="clear" w:fill="auto"/>
        </w:rPr>
      </w:pPr>
      <w:bookmarkStart w:id="39" w:name="_Toc118827181"/>
      <w:bookmarkStart w:id="40" w:name="_Toc118891182"/>
      <w:r>
        <w:rPr>
          <w:rFonts w:ascii="Times New Roman" w:hAnsi="Times New Roman"/>
          <w:szCs w:val="30"/>
          <w:shd w:val="clear" w:fill="auto"/>
        </w:rPr>
        <w:t>第一节</w:t>
      </w:r>
      <w:r>
        <w:rPr>
          <w:rFonts w:ascii="Times New Roman" w:hAnsi="Times New Roman"/>
          <w:szCs w:val="30"/>
          <w:shd w:val="clear" w:fill="auto"/>
        </w:rPr>
        <w:tab/>
      </w:r>
      <w:r>
        <w:rPr>
          <w:rFonts w:ascii="Times New Roman" w:hAnsi="Times New Roman"/>
          <w:szCs w:val="30"/>
          <w:shd w:val="clear" w:fill="auto"/>
        </w:rPr>
        <w:t>法律意见书</w:t>
      </w:r>
      <w:bookmarkEnd w:id="39"/>
      <w:bookmarkEnd w:id="40"/>
    </w:p>
    <w:p w14:paraId="0EA4359E">
      <w:pPr>
        <w:snapToGrid w:val="0"/>
        <w:spacing w:line="60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5.1.1 </w:t>
      </w:r>
      <w:r>
        <w:rPr>
          <w:rFonts w:ascii="Times New Roman" w:hAnsi="Times New Roman" w:eastAsia="仿宋_GB2312"/>
          <w:sz w:val="30"/>
          <w:szCs w:val="30"/>
        </w:rPr>
        <w:t>律师应当按照相关执业规范的相关规定开展核查工作，出具的法律意见书用词应当简洁明晰，不得使用“基本符合条件”、“未发现不符合条件”等含糊或消极措辞。对不符合有关法律、法规的事项，或者已经按照法律法规、本所业务规则、相关执业规范的要求进行审慎核查和独立判断，仍不能对其法律性质或其合法合规性作出准确判断的事项，律师应当审慎发表意见。</w:t>
      </w:r>
    </w:p>
    <w:p w14:paraId="5DF974C2">
      <w:pPr>
        <w:snapToGrid w:val="0"/>
        <w:spacing w:line="560" w:lineRule="exact"/>
        <w:ind w:firstLine="602"/>
        <w:rPr>
          <w:rFonts w:ascii="Times New Roman" w:hAnsi="Times New Roman" w:eastAsia="仿宋_GB2312"/>
          <w:sz w:val="30"/>
          <w:szCs w:val="30"/>
        </w:rPr>
      </w:pPr>
      <w:r>
        <w:rPr>
          <w:rFonts w:ascii="Times New Roman" w:hAnsi="Times New Roman" w:eastAsia="仿宋_GB2312"/>
          <w:b/>
          <w:bCs/>
          <w:sz w:val="30"/>
          <w:szCs w:val="30"/>
        </w:rPr>
        <w:t xml:space="preserve">5.1.2 </w:t>
      </w:r>
      <w:r>
        <w:rPr>
          <w:rFonts w:ascii="Times New Roman" w:hAnsi="Times New Roman" w:eastAsia="仿宋_GB2312"/>
          <w:color w:val="000000"/>
          <w:sz w:val="30"/>
          <w:szCs w:val="30"/>
        </w:rPr>
        <w:t>法律意</w:t>
      </w:r>
      <w:r>
        <w:rPr>
          <w:rFonts w:ascii="Times New Roman" w:hAnsi="Times New Roman" w:eastAsia="仿宋_GB2312"/>
          <w:sz w:val="30"/>
          <w:szCs w:val="30"/>
        </w:rPr>
        <w:t>见书</w:t>
      </w:r>
      <w:r>
        <w:rPr>
          <w:rFonts w:ascii="Times New Roman" w:hAnsi="Times New Roman" w:eastAsia="仿宋_GB2312"/>
          <w:color w:val="000000"/>
          <w:sz w:val="30"/>
          <w:szCs w:val="30"/>
        </w:rPr>
        <w:t>应当</w:t>
      </w:r>
      <w:r>
        <w:rPr>
          <w:rFonts w:ascii="Times New Roman" w:hAnsi="Times New Roman" w:eastAsia="仿宋_GB2312"/>
          <w:sz w:val="30"/>
          <w:szCs w:val="30"/>
        </w:rPr>
        <w:t>至少包括下列核查意见：</w:t>
      </w:r>
    </w:p>
    <w:p w14:paraId="23BF9105">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一）管理人、原始权益人、资产服务机构（如有）、销售机构、托管人等业务参与人的主体资格、业务资质和内部授权、外部审批情况（如需），律师还应当就业务参与人是否符合本指引第3.6.9条第四项的相关规定发表核查意见；</w:t>
      </w:r>
    </w:p>
    <w:p w14:paraId="630AA026">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（二）计划说明书、标准条款（如有）、资产转让协议、托管协议、监管协议（如有）、资产服务协议（如有）、认购协议等法律文件的合规性；</w:t>
      </w:r>
    </w:p>
    <w:p w14:paraId="5C76F052">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（三）基础资产的真实性、合法性、权利归属及其负担情况。律师应当就基础资产是否符合本指引第3.7.1条第一项至第三项的规定发表核查意见；</w:t>
      </w:r>
    </w:p>
    <w:p w14:paraId="43C92356">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（四）基础资产转让行为的合法有效性。律师应当就基础资产转让是否符合本指引第3.7.1条第四项、第五项的规定发表核查意见；</w:t>
      </w:r>
    </w:p>
    <w:p w14:paraId="0957BC97">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（五）风险隔离的效果。律师应当就专项计划破产隔离安排是否符合本指引第3.7.2条的规定发表核查意见；</w:t>
      </w:r>
    </w:p>
    <w:p w14:paraId="0C2D0EE7">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（六）循环购买（如有）安排的合法有效性。律师应当就循环购买是否符合本指引第3.7.3条的规定发表核查意见；</w:t>
      </w:r>
    </w:p>
    <w:p w14:paraId="21960870">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（七）专项计划信用增级安排的合法有效性。律师应当就增信机构的主体资格、业务资质和内部授权、外部审批情况（如需）、</w:t>
      </w:r>
      <w:r>
        <w:rPr>
          <w:rFonts w:ascii="Times New Roman" w:hAnsi="Times New Roman" w:eastAsia="仿宋_GB2312"/>
          <w:bCs/>
          <w:sz w:val="30"/>
          <w:szCs w:val="30"/>
        </w:rPr>
        <w:t>增信安排的法律效力及增信效果</w:t>
      </w:r>
      <w:r>
        <w:rPr>
          <w:rFonts w:ascii="Times New Roman" w:hAnsi="Times New Roman" w:eastAsia="仿宋_GB2312"/>
          <w:sz w:val="30"/>
          <w:szCs w:val="30"/>
        </w:rPr>
        <w:t>发表核查意见；</w:t>
      </w:r>
    </w:p>
    <w:p w14:paraId="071729DA">
      <w:pPr>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 xml:space="preserve">    （八）业务参与人开展业务的合法合规性：</w:t>
      </w:r>
    </w:p>
    <w:p w14:paraId="6F8A3565">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1.</w:t>
      </w:r>
      <w:r>
        <w:rPr>
          <w:rFonts w:ascii="Times New Roman" w:hAnsi="Times New Roman" w:eastAsia="仿宋_GB2312"/>
          <w:color w:val="000000"/>
          <w:sz w:val="30"/>
          <w:szCs w:val="30"/>
        </w:rPr>
        <w:t>原始权益人是否满足主管部门监管要求，取得相关经营许可或经营资质，最近两年是否存在因严重违法失信行为被有权部门认定为失信被执行人、失信生产经营单位或者其他失信单位，并被暂停或限制进行融资的情形。</w:t>
      </w:r>
    </w:p>
    <w:p w14:paraId="0600EAA0">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专项计划原始权益人为特定原始权益人的，律师还应当就特定原始权益人是否符合《管理规定》第十一条和本指引第3.6.6条第五款第五项的要求发表核查意见。</w:t>
      </w:r>
    </w:p>
    <w:p w14:paraId="154B4647">
      <w:pPr>
        <w:snapToGrid w:val="0"/>
        <w:spacing w:line="560" w:lineRule="exact"/>
        <w:ind w:firstLine="600"/>
        <w:rPr>
          <w:rFonts w:ascii="Times New Roman" w:hAnsi="Times New Roman" w:eastAsia="仿宋_GB2312"/>
          <w:sz w:val="30"/>
          <w:szCs w:val="30"/>
        </w:rPr>
      </w:pPr>
      <w:r>
        <w:rPr>
          <w:rFonts w:ascii="Times New Roman" w:hAnsi="Times New Roman" w:eastAsia="仿宋_GB2312"/>
          <w:sz w:val="30"/>
          <w:szCs w:val="30"/>
        </w:rPr>
        <w:t>2.增信机构</w:t>
      </w:r>
      <w:r>
        <w:rPr>
          <w:rFonts w:ascii="Times New Roman" w:hAnsi="Times New Roman" w:eastAsia="仿宋_GB2312"/>
          <w:color w:val="000000"/>
          <w:sz w:val="30"/>
          <w:szCs w:val="30"/>
        </w:rPr>
        <w:t>最近两年</w:t>
      </w:r>
      <w:r>
        <w:rPr>
          <w:rFonts w:ascii="Times New Roman" w:hAnsi="Times New Roman" w:eastAsia="仿宋_GB2312"/>
          <w:sz w:val="30"/>
          <w:szCs w:val="30"/>
        </w:rPr>
        <w:t>内是否存在因严重违法失信行为被有权部门认定为失信被执行人、重大税收违法案件当事人或涉金融严重失信人的情形。</w:t>
      </w:r>
    </w:p>
    <w:p w14:paraId="7EB9E125">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sz w:val="30"/>
          <w:szCs w:val="30"/>
        </w:rPr>
        <w:t>3.借款人、重要现金流提供方</w:t>
      </w:r>
      <w:r>
        <w:rPr>
          <w:rFonts w:ascii="Times New Roman" w:hAnsi="Times New Roman" w:eastAsia="仿宋_GB2312"/>
          <w:color w:val="000000"/>
          <w:sz w:val="30"/>
          <w:szCs w:val="30"/>
        </w:rPr>
        <w:t>最近两年内是否存在因严重违法失信行为被有权部门认定为失信被执行人、失信生产经营单位或者其他失信单位，并被暂停或限制进行融资的情形。</w:t>
      </w:r>
    </w:p>
    <w:p w14:paraId="5307EFE4">
      <w:pPr>
        <w:snapToGrid w:val="0"/>
        <w:spacing w:line="560" w:lineRule="exact"/>
        <w:ind w:firstLine="600"/>
        <w:rPr>
          <w:rFonts w:ascii="Times New Roman" w:hAnsi="Times New Roman" w:eastAsia="仿宋_GB2312"/>
          <w:bCs/>
          <w:sz w:val="30"/>
          <w:szCs w:val="30"/>
        </w:rPr>
      </w:pPr>
      <w:r>
        <w:rPr>
          <w:rFonts w:ascii="Times New Roman" w:hAnsi="Times New Roman" w:eastAsia="仿宋_GB2312"/>
          <w:sz w:val="30"/>
          <w:szCs w:val="30"/>
        </w:rPr>
        <w:t>4.相关业务参与人是否符合本指引第</w:t>
      </w:r>
      <w:r>
        <w:rPr>
          <w:rFonts w:ascii="Times New Roman" w:hAnsi="Times New Roman" w:eastAsia="仿宋_GB2312"/>
          <w:bCs/>
          <w:sz w:val="30"/>
          <w:szCs w:val="30"/>
        </w:rPr>
        <w:t>3.6.15条的规定。</w:t>
      </w:r>
      <w:r>
        <w:rPr>
          <w:rFonts w:ascii="Times New Roman" w:hAnsi="Times New Roman" w:eastAsia="仿宋_GB2312"/>
          <w:sz w:val="30"/>
          <w:szCs w:val="30"/>
        </w:rPr>
        <w:t>原始权益人或者实际融资人属于房地产企业的，律师应当</w:t>
      </w:r>
      <w:r>
        <w:rPr>
          <w:rFonts w:ascii="Times New Roman" w:hAnsi="Times New Roman" w:eastAsia="仿宋_GB2312"/>
          <w:bCs/>
          <w:sz w:val="30"/>
          <w:szCs w:val="30"/>
        </w:rPr>
        <w:t>就相关主体是否符合本指引第3.6.14条发表</w:t>
      </w:r>
      <w:r>
        <w:rPr>
          <w:rFonts w:ascii="Times New Roman" w:hAnsi="Times New Roman" w:eastAsia="仿宋_GB2312"/>
          <w:sz w:val="30"/>
          <w:szCs w:val="30"/>
        </w:rPr>
        <w:t>核查</w:t>
      </w:r>
      <w:r>
        <w:rPr>
          <w:rFonts w:ascii="Times New Roman" w:hAnsi="Times New Roman" w:eastAsia="仿宋_GB2312"/>
          <w:bCs/>
          <w:sz w:val="30"/>
          <w:szCs w:val="30"/>
        </w:rPr>
        <w:t>意见。</w:t>
      </w:r>
    </w:p>
    <w:p w14:paraId="559ED2AC">
      <w:pPr>
        <w:pStyle w:val="2"/>
        <w:spacing w:line="560" w:lineRule="exact"/>
        <w:ind w:firstLine="600"/>
        <w:rPr>
          <w:rFonts w:ascii="Times New Roman" w:hAnsi="Times New Roman"/>
        </w:rPr>
      </w:pPr>
      <w:r>
        <w:rPr>
          <w:rFonts w:ascii="Times New Roman" w:hAnsi="Times New Roman" w:eastAsia="仿宋_GB2312"/>
          <w:sz w:val="30"/>
          <w:szCs w:val="30"/>
        </w:rPr>
        <w:t>（九）对有可能影响资产支持证券投资者利益的其他重大事项的核查意见。</w:t>
      </w:r>
    </w:p>
    <w:p w14:paraId="2B4D755F">
      <w:pPr>
        <w:pStyle w:val="2"/>
        <w:tabs>
          <w:tab w:val="left" w:pos="4200"/>
        </w:tabs>
        <w:spacing w:line="560" w:lineRule="exact"/>
        <w:ind w:firstLine="602"/>
        <w:rPr>
          <w:rFonts w:ascii="Times New Roman" w:hAnsi="Times New Roman" w:eastAsia="仿宋_GB2312"/>
          <w:bCs/>
          <w:sz w:val="30"/>
          <w:szCs w:val="30"/>
        </w:rPr>
      </w:pPr>
      <w:r>
        <w:rPr>
          <w:rFonts w:ascii="Times New Roman" w:hAnsi="Times New Roman" w:eastAsia="仿宋_GB2312"/>
          <w:b/>
          <w:bCs/>
          <w:sz w:val="30"/>
          <w:szCs w:val="30"/>
        </w:rPr>
        <w:t xml:space="preserve">5.1.3 </w:t>
      </w:r>
      <w:r>
        <w:rPr>
          <w:rFonts w:ascii="Times New Roman" w:hAnsi="Times New Roman" w:eastAsia="仿宋_GB2312"/>
          <w:sz w:val="30"/>
          <w:szCs w:val="30"/>
        </w:rPr>
        <w:t>专项计划以债权类资产作为基础资产的，</w:t>
      </w:r>
      <w:r>
        <w:rPr>
          <w:rFonts w:ascii="Times New Roman" w:hAnsi="Times New Roman" w:eastAsia="仿宋_GB2312"/>
          <w:bCs/>
          <w:sz w:val="30"/>
          <w:szCs w:val="30"/>
        </w:rPr>
        <w:t>律师应当对专项计划是否符合本指引第</w:t>
      </w:r>
      <w:r>
        <w:rPr>
          <w:rFonts w:ascii="Times New Roman" w:hAnsi="Times New Roman" w:eastAsia="仿宋_GB2312"/>
          <w:sz w:val="30"/>
          <w:szCs w:val="30"/>
        </w:rPr>
        <w:t>4.1.2条第一项和第二项</w:t>
      </w:r>
      <w:r>
        <w:rPr>
          <w:rFonts w:ascii="Times New Roman" w:hAnsi="Times New Roman" w:eastAsia="仿宋_GB2312"/>
          <w:bCs/>
          <w:sz w:val="30"/>
          <w:szCs w:val="30"/>
        </w:rPr>
        <w:t>、第</w:t>
      </w:r>
      <w:r>
        <w:rPr>
          <w:rFonts w:ascii="Times New Roman" w:hAnsi="Times New Roman" w:eastAsia="仿宋_GB2312"/>
          <w:sz w:val="30"/>
          <w:szCs w:val="30"/>
        </w:rPr>
        <w:t>4.1.3条第二项和第五项发表核查意见</w:t>
      </w:r>
      <w:r>
        <w:rPr>
          <w:rFonts w:ascii="Times New Roman" w:hAnsi="Times New Roman" w:eastAsia="仿宋_GB2312"/>
          <w:bCs/>
          <w:sz w:val="30"/>
          <w:szCs w:val="30"/>
        </w:rPr>
        <w:t>。</w:t>
      </w:r>
    </w:p>
    <w:p w14:paraId="545AEED3">
      <w:pPr>
        <w:pStyle w:val="2"/>
        <w:spacing w:line="600" w:lineRule="exact"/>
        <w:ind w:firstLine="602"/>
        <w:rPr>
          <w:rFonts w:ascii="Times New Roman" w:hAnsi="Times New Roman" w:eastAsia="仿宋_GB2312"/>
          <w:bCs/>
          <w:sz w:val="30"/>
          <w:szCs w:val="30"/>
        </w:rPr>
      </w:pPr>
      <w:r>
        <w:rPr>
          <w:rFonts w:ascii="Times New Roman" w:hAnsi="Times New Roman" w:eastAsia="仿宋_GB2312"/>
          <w:b/>
          <w:sz w:val="30"/>
          <w:szCs w:val="30"/>
        </w:rPr>
        <w:t xml:space="preserve">5.1.4 </w:t>
      </w:r>
      <w:r>
        <w:rPr>
          <w:rFonts w:ascii="Times New Roman" w:hAnsi="Times New Roman" w:eastAsia="仿宋_GB2312"/>
          <w:sz w:val="30"/>
          <w:szCs w:val="30"/>
        </w:rPr>
        <w:t>专项计划以未来经营收入作为基础资产的，</w:t>
      </w:r>
      <w:r>
        <w:rPr>
          <w:rFonts w:ascii="Times New Roman" w:hAnsi="Times New Roman" w:eastAsia="仿宋_GB2312"/>
          <w:bCs/>
          <w:sz w:val="30"/>
          <w:szCs w:val="30"/>
        </w:rPr>
        <w:t>律师应当对专项计划是否符合本指引</w:t>
      </w:r>
      <w:r>
        <w:rPr>
          <w:rFonts w:ascii="Times New Roman" w:hAnsi="Times New Roman" w:eastAsia="仿宋_GB2312"/>
          <w:sz w:val="30"/>
          <w:szCs w:val="30"/>
        </w:rPr>
        <w:t>第4.2.2条第一项、第三项发表核查意见</w:t>
      </w:r>
      <w:r>
        <w:rPr>
          <w:rFonts w:ascii="Times New Roman" w:hAnsi="Times New Roman" w:eastAsia="仿宋_GB2312"/>
          <w:bCs/>
          <w:sz w:val="30"/>
          <w:szCs w:val="30"/>
        </w:rPr>
        <w:t>。基础资产为PPP类的，律师应当对本指引</w:t>
      </w:r>
      <w:r>
        <w:rPr>
          <w:rFonts w:ascii="Times New Roman" w:hAnsi="Times New Roman" w:eastAsia="仿宋_GB2312"/>
          <w:sz w:val="30"/>
          <w:szCs w:val="30"/>
        </w:rPr>
        <w:t>第</w:t>
      </w:r>
      <w:r>
        <w:rPr>
          <w:rFonts w:ascii="Times New Roman" w:hAnsi="Times New Roman" w:eastAsia="仿宋_GB2312"/>
          <w:bCs/>
          <w:sz w:val="30"/>
          <w:szCs w:val="30"/>
        </w:rPr>
        <w:t>4.2.3条发表核查意见。</w:t>
      </w:r>
    </w:p>
    <w:p w14:paraId="734DE5BA">
      <w:pPr>
        <w:pStyle w:val="2"/>
        <w:spacing w:line="600" w:lineRule="exact"/>
        <w:ind w:firstLine="602"/>
        <w:rPr>
          <w:rFonts w:ascii="Times New Roman" w:hAnsi="Times New Roman" w:eastAsia="仿宋_GB2312"/>
          <w:bCs/>
          <w:sz w:val="30"/>
          <w:szCs w:val="30"/>
        </w:rPr>
      </w:pPr>
      <w:r>
        <w:rPr>
          <w:rFonts w:ascii="Times New Roman" w:hAnsi="Times New Roman" w:eastAsia="仿宋_GB2312"/>
          <w:b/>
          <w:bCs/>
          <w:sz w:val="30"/>
          <w:szCs w:val="30"/>
        </w:rPr>
        <w:t>5.1.5</w:t>
      </w:r>
      <w:bookmarkStart w:id="41" w:name="_Toc118827182"/>
      <w:r>
        <w:rPr>
          <w:rFonts w:ascii="Times New Roman" w:hAnsi="Times New Roman" w:eastAsia="仿宋_GB2312"/>
          <w:b/>
          <w:bCs/>
          <w:sz w:val="30"/>
          <w:szCs w:val="30"/>
        </w:rPr>
        <w:t xml:space="preserve"> </w:t>
      </w:r>
      <w:r>
        <w:rPr>
          <w:rFonts w:ascii="Times New Roman" w:hAnsi="Times New Roman" w:eastAsia="仿宋_GB2312"/>
          <w:sz w:val="30"/>
          <w:szCs w:val="30"/>
        </w:rPr>
        <w:t>专项计划以不动产抵押贷款债权作为基础资产的，</w:t>
      </w:r>
      <w:r>
        <w:rPr>
          <w:rFonts w:ascii="Times New Roman" w:hAnsi="Times New Roman" w:eastAsia="仿宋_GB2312"/>
          <w:bCs/>
          <w:sz w:val="30"/>
          <w:szCs w:val="30"/>
        </w:rPr>
        <w:t>律师应当对专项计划是否符合本指引</w:t>
      </w:r>
      <w:r>
        <w:rPr>
          <w:rFonts w:ascii="Times New Roman" w:hAnsi="Times New Roman" w:eastAsia="仿宋_GB2312"/>
          <w:sz w:val="30"/>
          <w:szCs w:val="30"/>
        </w:rPr>
        <w:t>第</w:t>
      </w:r>
      <w:r>
        <w:rPr>
          <w:rFonts w:ascii="Times New Roman" w:hAnsi="Times New Roman" w:eastAsia="仿宋_GB2312"/>
          <w:bCs/>
          <w:sz w:val="30"/>
          <w:szCs w:val="30"/>
        </w:rPr>
        <w:t>4.3.2条第二</w:t>
      </w:r>
      <w:r>
        <w:rPr>
          <w:rFonts w:ascii="Times New Roman" w:hAnsi="Times New Roman" w:eastAsia="仿宋_GB2312"/>
          <w:sz w:val="30"/>
          <w:szCs w:val="30"/>
        </w:rPr>
        <w:t>项、第</w:t>
      </w:r>
      <w:r>
        <w:rPr>
          <w:rFonts w:ascii="Times New Roman" w:hAnsi="Times New Roman" w:eastAsia="仿宋_GB2312"/>
          <w:bCs/>
          <w:sz w:val="30"/>
          <w:szCs w:val="30"/>
        </w:rPr>
        <w:t>八项发表核查意见。</w:t>
      </w:r>
    </w:p>
    <w:p w14:paraId="2A9F883A">
      <w:pPr>
        <w:pStyle w:val="4"/>
        <w:spacing w:line="600" w:lineRule="exact"/>
        <w:rPr>
          <w:rFonts w:ascii="Times New Roman" w:hAnsi="Times New Roman"/>
          <w:szCs w:val="30"/>
          <w:shd w:val="clear" w:fill="auto"/>
        </w:rPr>
      </w:pPr>
      <w:bookmarkStart w:id="42" w:name="_Toc118891183"/>
      <w:r>
        <w:rPr>
          <w:rFonts w:ascii="Times New Roman" w:hAnsi="Times New Roman"/>
          <w:szCs w:val="30"/>
          <w:shd w:val="clear" w:fill="auto"/>
        </w:rPr>
        <w:t>第二节</w:t>
      </w:r>
      <w:r>
        <w:rPr>
          <w:rFonts w:ascii="Times New Roman" w:hAnsi="Times New Roman"/>
          <w:szCs w:val="30"/>
          <w:shd w:val="clear" w:fill="auto"/>
        </w:rPr>
        <w:tab/>
      </w:r>
      <w:r>
        <w:rPr>
          <w:rFonts w:ascii="Times New Roman" w:hAnsi="Times New Roman"/>
          <w:szCs w:val="30"/>
          <w:shd w:val="clear" w:fill="auto"/>
        </w:rPr>
        <w:t>信用评级报告</w:t>
      </w:r>
      <w:bookmarkEnd w:id="41"/>
      <w:bookmarkEnd w:id="42"/>
    </w:p>
    <w:p w14:paraId="359EAEF5">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5.2.1 </w:t>
      </w:r>
      <w:r>
        <w:rPr>
          <w:rFonts w:ascii="Times New Roman" w:hAnsi="Times New Roman" w:eastAsia="仿宋_GB2312"/>
          <w:color w:val="000000"/>
          <w:sz w:val="30"/>
          <w:szCs w:val="30"/>
        </w:rPr>
        <w:t>信用评级报告（如有）应当至少包括下列内容：</w:t>
      </w:r>
    </w:p>
    <w:p w14:paraId="7CF78C31">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（一）评级基本观点、评级意见以及参考因素；</w:t>
      </w:r>
    </w:p>
    <w:p w14:paraId="36F0AC04">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（二）基础资产池以及入池资产概况、基础资产（池）信用风险分析；</w:t>
      </w:r>
    </w:p>
    <w:p w14:paraId="505344A2">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（三）特定原始权益人的持续经营能力分析、信用风险分析及法律风险分析；</w:t>
      </w:r>
    </w:p>
    <w:p w14:paraId="65DF86B3">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（四）专项计划交易结构分析；</w:t>
      </w:r>
    </w:p>
    <w:p w14:paraId="40E3AF60">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（五）管理人、托管人等业务参与人的履约能力分析；</w:t>
      </w:r>
    </w:p>
    <w:p w14:paraId="5D4C973D">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（六）现金流分析以及现金流压力测试，包括但不限于假设条件、压力因素、各兑付期间的现金流覆盖倍数、各压力情形下压力测试结果；</w:t>
      </w:r>
    </w:p>
    <w:p w14:paraId="74F6CBC5">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（七）专项计划涉及信用增级方式的增信效果分析；</w:t>
      </w:r>
    </w:p>
    <w:p w14:paraId="729154C3">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（八）现金流归集路径、监管措施及混同和挪用等风险分析；</w:t>
      </w:r>
    </w:p>
    <w:p w14:paraId="56BEB124">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（九）跟踪评级安排。</w:t>
      </w:r>
    </w:p>
    <w:p w14:paraId="7FD02501">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专项计划设置循环购买的，还需对基础资产的历史表现进行量化分析。</w:t>
      </w:r>
    </w:p>
    <w:p w14:paraId="4CBC9CD1">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5.2.2 </w:t>
      </w:r>
      <w:r>
        <w:rPr>
          <w:rFonts w:ascii="Times New Roman" w:hAnsi="Times New Roman" w:eastAsia="仿宋_GB2312"/>
          <w:sz w:val="30"/>
          <w:szCs w:val="30"/>
        </w:rPr>
        <w:t>专项计划以债权类资产作为基础资产的，</w:t>
      </w:r>
      <w:r>
        <w:rPr>
          <w:rFonts w:ascii="Times New Roman" w:hAnsi="Times New Roman" w:eastAsia="仿宋_GB2312"/>
          <w:color w:val="000000"/>
          <w:sz w:val="30"/>
          <w:szCs w:val="30"/>
        </w:rPr>
        <w:t>信用评级报告还应当披露基础资产影子评级分布（如有）以及加权影子评级（如有）。</w:t>
      </w:r>
    </w:p>
    <w:p w14:paraId="00369B1C">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5.2.3 </w:t>
      </w:r>
      <w:r>
        <w:rPr>
          <w:rFonts w:ascii="Times New Roman" w:hAnsi="Times New Roman" w:eastAsia="仿宋_GB2312"/>
          <w:sz w:val="30"/>
          <w:szCs w:val="30"/>
        </w:rPr>
        <w:t>专项计划以未来经营收入作为基础资产的</w:t>
      </w:r>
      <w:r>
        <w:rPr>
          <w:rFonts w:ascii="Times New Roman" w:hAnsi="Times New Roman" w:eastAsia="仿宋_GB2312"/>
          <w:color w:val="000000"/>
          <w:sz w:val="30"/>
          <w:szCs w:val="30"/>
        </w:rPr>
        <w:t>，信用评级报告还应当披露影响基础资产或底层资产运营状况的地区概况、区域经济、行业政策、供需变化等各种因素以及历史运营状况分析。</w:t>
      </w:r>
    </w:p>
    <w:p w14:paraId="292D2489">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5.2.4 </w:t>
      </w:r>
      <w:r>
        <w:rPr>
          <w:rFonts w:ascii="Times New Roman" w:hAnsi="Times New Roman" w:eastAsia="仿宋_GB2312"/>
          <w:sz w:val="30"/>
          <w:szCs w:val="30"/>
        </w:rPr>
        <w:t>专项计划以不动产抵押贷款债权作为基础资产的，信用评级报告</w:t>
      </w:r>
      <w:r>
        <w:rPr>
          <w:rFonts w:ascii="Times New Roman" w:hAnsi="Times New Roman" w:eastAsia="仿宋_GB2312"/>
          <w:color w:val="000000"/>
          <w:sz w:val="30"/>
          <w:szCs w:val="30"/>
        </w:rPr>
        <w:t>还应当披露下列内容：</w:t>
      </w:r>
    </w:p>
    <w:p w14:paraId="2C667FFB">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（一）影响不动产项目运营状况的各种因素，包括项目类型、地理位置、运营年限、建筑面积及可供出租或使用面积（如有）等；</w:t>
      </w:r>
    </w:p>
    <w:p w14:paraId="1A94C49E">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二）不动产项目历史及未来经营情况分析，包括运营收入水平与增长率、成本支出、相关税金与费用、出租率或使用率、收缴率、合同期限分布情况、免租期协定（如有）、重要现金流提供方情况等可能影响物业价值的其他重要事项。</w:t>
      </w:r>
    </w:p>
    <w:p w14:paraId="622CE2E3">
      <w:pPr>
        <w:pStyle w:val="4"/>
        <w:spacing w:line="600" w:lineRule="exact"/>
        <w:rPr>
          <w:rFonts w:ascii="Times New Roman" w:hAnsi="Times New Roman"/>
          <w:bCs w:val="0"/>
          <w:color w:val="000000"/>
          <w:kern w:val="0"/>
          <w:szCs w:val="30"/>
          <w:shd w:val="clear" w:fill="auto"/>
        </w:rPr>
      </w:pPr>
      <w:bookmarkStart w:id="43" w:name="_Toc118827183"/>
      <w:bookmarkStart w:id="44" w:name="_Toc118891184"/>
      <w:r>
        <w:rPr>
          <w:rFonts w:ascii="Times New Roman" w:hAnsi="Times New Roman"/>
          <w:bCs w:val="0"/>
          <w:color w:val="000000"/>
          <w:kern w:val="0"/>
          <w:szCs w:val="30"/>
          <w:shd w:val="clear" w:fill="auto"/>
        </w:rPr>
        <w:t>第三节</w:t>
      </w:r>
      <w:r>
        <w:rPr>
          <w:rFonts w:ascii="Times New Roman" w:hAnsi="Times New Roman"/>
          <w:szCs w:val="30"/>
          <w:shd w:val="clear" w:fill="auto"/>
        </w:rPr>
        <w:tab/>
      </w:r>
      <w:r>
        <w:rPr>
          <w:rFonts w:ascii="Times New Roman" w:hAnsi="Times New Roman"/>
          <w:bCs w:val="0"/>
          <w:color w:val="000000"/>
          <w:kern w:val="0"/>
          <w:szCs w:val="30"/>
          <w:shd w:val="clear" w:fill="auto"/>
        </w:rPr>
        <w:t>现金流预测报告和资产评估报告</w:t>
      </w:r>
      <w:bookmarkEnd w:id="43"/>
      <w:bookmarkEnd w:id="44"/>
    </w:p>
    <w:p w14:paraId="026CE566">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5.3.1 </w:t>
      </w:r>
      <w:r>
        <w:rPr>
          <w:rFonts w:ascii="Times New Roman" w:hAnsi="Times New Roman" w:eastAsia="仿宋_GB2312"/>
          <w:color w:val="000000"/>
          <w:sz w:val="30"/>
          <w:szCs w:val="30"/>
        </w:rPr>
        <w:t>现金流预测报告（如有）应当披露基础资产现金流预测的假设因素、预测方法、预测结论，并结合基础资产、底层资产相关历史数据说明预测方法和相关参数设置的合理性。</w:t>
      </w:r>
    </w:p>
    <w:p w14:paraId="2EF1AE75">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5.3.2 </w:t>
      </w:r>
      <w:r>
        <w:rPr>
          <w:rFonts w:ascii="Times New Roman" w:hAnsi="Times New Roman" w:eastAsia="仿宋_GB2312"/>
          <w:sz w:val="30"/>
          <w:szCs w:val="30"/>
        </w:rPr>
        <w:t>专项计划以未来经营收入作为基础资产的</w:t>
      </w:r>
      <w:r>
        <w:rPr>
          <w:rFonts w:ascii="Times New Roman" w:hAnsi="Times New Roman" w:eastAsia="仿宋_GB2312"/>
          <w:color w:val="000000"/>
          <w:sz w:val="30"/>
          <w:szCs w:val="30"/>
        </w:rPr>
        <w:t>，现金流预测报告还应当充分考虑宏观及区域经济发展、行业政策及发展、原始权益人资质取得及持续经营能力、价格规制、供需关系、结算方式、预付或延迟支付、收缴率和相关税费是否由专项计划承担，以及维持基础资产运营必要的成本、税费等因素对基础资产现金流的影响。</w:t>
      </w:r>
    </w:p>
    <w:p w14:paraId="02EBB099">
      <w:pPr>
        <w:snapToGrid w:val="0"/>
        <w:spacing w:line="560" w:lineRule="exact"/>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    5.3.3 </w:t>
      </w:r>
      <w:r>
        <w:rPr>
          <w:rFonts w:ascii="Times New Roman" w:hAnsi="Times New Roman" w:eastAsia="仿宋_GB2312"/>
          <w:sz w:val="30"/>
          <w:szCs w:val="30"/>
        </w:rPr>
        <w:t>专项计划以不动产抵押贷款债权作为基础资产的，现金流预测报告还应当充分考虑宏观及区域经济发展、项目业务形态和用途、运营情况和未来调整安排（如有）、重大资本性支出、税费安排、周边生态环境和竞争环境发展等因素的影响。</w:t>
      </w:r>
    </w:p>
    <w:p w14:paraId="37B049C5">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5.3.4 </w:t>
      </w:r>
      <w:r>
        <w:rPr>
          <w:rFonts w:ascii="Times New Roman" w:hAnsi="Times New Roman" w:eastAsia="仿宋_GB2312"/>
          <w:sz w:val="30"/>
          <w:szCs w:val="30"/>
        </w:rPr>
        <w:t>专项计划以不动产抵押贷款债权作为基础资产的</w:t>
      </w:r>
      <w:r>
        <w:rPr>
          <w:rFonts w:ascii="Times New Roman" w:hAnsi="Times New Roman" w:eastAsia="仿宋_GB2312"/>
          <w:color w:val="000000"/>
          <w:sz w:val="30"/>
          <w:szCs w:val="30"/>
        </w:rPr>
        <w:t>，资产评估报告应当至少包括下列内容：</w:t>
      </w:r>
    </w:p>
    <w:p w14:paraId="241174CB">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（一）估价假设、限制条件、价值时点、价值类型、估价依据、估价原则、估价方法和估价结果；</w:t>
      </w:r>
    </w:p>
    <w:p w14:paraId="599A8E34">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（二）估价对象经营现状描述与分析、市场背景分析、估价方法适用性分析、估价测算过程；</w:t>
      </w:r>
    </w:p>
    <w:p w14:paraId="61F0367C">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（三）评估过程和影响评估的重要参数，包括但不限于不动产项目土地使用权与经营权剩余期限、运营收入、运营成本、运营净收益、资本性支出、未来现金流预期、折现率等。</w:t>
      </w:r>
    </w:p>
    <w:p w14:paraId="249D858A">
      <w:pPr>
        <w:pStyle w:val="3"/>
        <w:spacing w:line="600" w:lineRule="exact"/>
        <w:rPr>
          <w:rFonts w:ascii="Times New Roman" w:hAnsi="Times New Roman"/>
        </w:rPr>
      </w:pPr>
      <w:bookmarkStart w:id="45" w:name="_Toc118891185"/>
      <w:bookmarkStart w:id="46" w:name="_Toc118827184"/>
      <w:r>
        <w:rPr>
          <w:rFonts w:ascii="Times New Roman" w:hAnsi="Times New Roman"/>
        </w:rPr>
        <w:t>第六章</w:t>
      </w:r>
      <w:r>
        <w:rPr>
          <w:rFonts w:ascii="Times New Roman" w:hAnsi="Times New Roman"/>
        </w:rPr>
        <w:tab/>
      </w:r>
      <w:r>
        <w:rPr>
          <w:rFonts w:ascii="Times New Roman" w:hAnsi="Times New Roman"/>
        </w:rPr>
        <w:t>附则</w:t>
      </w:r>
      <w:bookmarkEnd w:id="45"/>
      <w:bookmarkEnd w:id="46"/>
    </w:p>
    <w:p w14:paraId="0BF01685">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6.1 </w:t>
      </w:r>
      <w:r>
        <w:rPr>
          <w:rFonts w:ascii="Times New Roman" w:hAnsi="Times New Roman" w:eastAsia="仿宋_GB2312"/>
          <w:color w:val="000000"/>
          <w:sz w:val="30"/>
          <w:szCs w:val="30"/>
        </w:rPr>
        <w:t>本指引相关用语的含义：</w:t>
      </w:r>
    </w:p>
    <w:p w14:paraId="4EF54912">
      <w:pPr>
        <w:widowControl/>
        <w:numPr>
          <w:ilvl w:val="0"/>
          <w:numId w:val="0"/>
        </w:numPr>
        <w:spacing w:line="600" w:lineRule="exact"/>
        <w:ind w:left="0" w:firstLine="600"/>
        <w:rPr>
          <w:rFonts w:ascii="Times New Roman" w:hAnsi="Times New Roman" w:eastAsia="仿宋_GB2312"/>
          <w:bCs/>
          <w:sz w:val="30"/>
          <w:szCs w:val="30"/>
        </w:rPr>
      </w:pPr>
      <w:r>
        <w:rPr>
          <w:rFonts w:ascii="Times New Roman" w:hAnsi="Times New Roman" w:eastAsia="仿宋_GB2312"/>
          <w:color w:val="000000"/>
          <w:sz w:val="30"/>
          <w:szCs w:val="30"/>
        </w:rPr>
        <w:t>（一）特定原始权益人，是指</w:t>
      </w:r>
      <w:r>
        <w:rPr>
          <w:rFonts w:ascii="Times New Roman" w:hAnsi="Times New Roman" w:eastAsia="仿宋_GB2312"/>
          <w:bCs/>
          <w:sz w:val="30"/>
          <w:szCs w:val="30"/>
        </w:rPr>
        <w:t>符合下列情形之一，且业务经营可能对专项计划及资产支持证券投资者的利益产生重大影响的原始权益人：</w:t>
      </w:r>
    </w:p>
    <w:p w14:paraId="1BEA6883">
      <w:pPr>
        <w:widowControl/>
        <w:numPr>
          <w:ilvl w:val="0"/>
          <w:numId w:val="0"/>
        </w:numPr>
        <w:spacing w:line="600" w:lineRule="exact"/>
        <w:ind w:left="0" w:firstLine="600"/>
        <w:rPr>
          <w:rFonts w:ascii="Times New Roman" w:hAnsi="Times New Roman" w:eastAsia="仿宋_GB2312"/>
          <w:bCs/>
          <w:sz w:val="30"/>
          <w:szCs w:val="30"/>
        </w:rPr>
      </w:pPr>
      <w:r>
        <w:rPr>
          <w:rFonts w:ascii="Times New Roman" w:hAnsi="Times New Roman" w:eastAsia="仿宋_GB2312"/>
          <w:bCs/>
          <w:sz w:val="30"/>
          <w:szCs w:val="30"/>
        </w:rPr>
        <w:t>1.与收取基础资产现金流权利相对应的义务尚未履行完毕；</w:t>
      </w:r>
    </w:p>
    <w:p w14:paraId="3C4DBF5E">
      <w:pPr>
        <w:widowControl/>
        <w:numPr>
          <w:ilvl w:val="0"/>
          <w:numId w:val="0"/>
        </w:numPr>
        <w:spacing w:line="600" w:lineRule="exact"/>
        <w:ind w:left="0" w:firstLine="600"/>
        <w:rPr>
          <w:rFonts w:ascii="Times New Roman" w:hAnsi="Times New Roman" w:eastAsia="仿宋_GB2312"/>
          <w:bCs/>
          <w:sz w:val="30"/>
          <w:szCs w:val="30"/>
        </w:rPr>
      </w:pPr>
      <w:r>
        <w:rPr>
          <w:rFonts w:ascii="Times New Roman" w:hAnsi="Times New Roman" w:eastAsia="仿宋_GB2312"/>
          <w:bCs/>
          <w:sz w:val="30"/>
          <w:szCs w:val="30"/>
        </w:rPr>
        <w:t>2.专项计划设置循环购买安排，后续合格基础资产的产生依赖原始权益人持续生成；</w:t>
      </w:r>
    </w:p>
    <w:p w14:paraId="3221A8B6">
      <w:pPr>
        <w:widowControl/>
        <w:numPr>
          <w:ilvl w:val="0"/>
          <w:numId w:val="0"/>
        </w:numPr>
        <w:spacing w:line="600" w:lineRule="exact"/>
        <w:ind w:left="0" w:firstLine="600"/>
        <w:rPr>
          <w:rFonts w:ascii="Times New Roman" w:hAnsi="Times New Roman" w:eastAsia="仿宋_GB2312"/>
          <w:bCs/>
          <w:sz w:val="30"/>
          <w:szCs w:val="30"/>
        </w:rPr>
      </w:pPr>
      <w:r>
        <w:rPr>
          <w:rFonts w:ascii="Times New Roman" w:hAnsi="Times New Roman" w:eastAsia="仿宋_GB2312"/>
          <w:bCs/>
          <w:sz w:val="30"/>
          <w:szCs w:val="30"/>
        </w:rPr>
        <w:t>3.基础资产现金流依赖原始权益人持续经营产生，或者原始权益人业务经营可能对专项计划及资产支持证券投资者利益产生重大影响的其他情形。</w:t>
      </w:r>
    </w:p>
    <w:p w14:paraId="59BA7EF2">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（二）实际融资人，是指</w:t>
      </w:r>
      <w:r>
        <w:rPr>
          <w:rFonts w:ascii="Times New Roman" w:hAnsi="Times New Roman" w:eastAsia="仿宋_GB2312"/>
          <w:bCs/>
          <w:sz w:val="30"/>
          <w:szCs w:val="30"/>
        </w:rPr>
        <w:t>依托其资产收入作为基础资产现金流来源，或者通过资产支持证券获得融资，或者结合专项计划交易安排认定的相关主体</w:t>
      </w:r>
      <w:r>
        <w:rPr>
          <w:rFonts w:ascii="Times New Roman" w:hAnsi="Times New Roman" w:eastAsia="仿宋_GB2312"/>
          <w:color w:val="000000"/>
          <w:sz w:val="30"/>
          <w:szCs w:val="30"/>
        </w:rPr>
        <w:t>。</w:t>
      </w:r>
    </w:p>
    <w:p w14:paraId="1A2C2579">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（三）底层资产，是指根据穿透原则在专项计划中作为专项计划现金流最终偿付来源的资产。</w:t>
      </w:r>
    </w:p>
    <w:p w14:paraId="05878A6A">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（四）相关资产，是指基础资产或底层资产所依附的土地使用权、建筑物、设施、设备等财产或财产权利。</w:t>
      </w:r>
    </w:p>
    <w:p w14:paraId="2A07EAF2">
      <w:pPr>
        <w:snapToGrid w:val="0"/>
        <w:spacing w:line="560" w:lineRule="exact"/>
        <w:ind w:firstLine="600"/>
        <w:rPr>
          <w:rFonts w:ascii="Times New Roman" w:hAnsi="Times New Roman" w:eastAsia="仿宋_GB2312"/>
          <w:color w:val="000000"/>
          <w:sz w:val="30"/>
          <w:szCs w:val="30"/>
        </w:rPr>
      </w:pPr>
      <w:r>
        <w:rPr>
          <w:rFonts w:ascii="Times New Roman" w:hAnsi="Times New Roman" w:eastAsia="仿宋_GB2312"/>
          <w:color w:val="000000"/>
          <w:sz w:val="30"/>
          <w:szCs w:val="30"/>
        </w:rPr>
        <w:t>（五）重要现金流提供方，是指现金流预测基准日基础资产或底层资产现金流单一提供方按照约定未支付现金流金额占基础资产未来现金流总额比例超过15%，或该单一提供方及其关联方的未支付现金流金额合计占基础资产未来现金流总额比例超过20%的现金流提供方。</w:t>
      </w:r>
    </w:p>
    <w:p w14:paraId="051BE40F">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color w:val="000000"/>
          <w:sz w:val="30"/>
          <w:szCs w:val="30"/>
        </w:rPr>
        <w:t xml:space="preserve">6.2 </w:t>
      </w:r>
      <w:r>
        <w:rPr>
          <w:rFonts w:ascii="Times New Roman" w:hAnsi="Times New Roman" w:eastAsia="仿宋_GB2312"/>
          <w:color w:val="000000"/>
          <w:sz w:val="30"/>
          <w:szCs w:val="30"/>
        </w:rPr>
        <w:t>本指引由本所负责解释。</w:t>
      </w:r>
    </w:p>
    <w:p w14:paraId="28DD96FC">
      <w:pPr>
        <w:snapToGrid w:val="0"/>
        <w:spacing w:line="560" w:lineRule="exact"/>
        <w:ind w:firstLine="602"/>
        <w:rPr>
          <w:rFonts w:ascii="Times New Roman" w:hAnsi="Times New Roman" w:eastAsia="仿宋_GB2312"/>
          <w:color w:val="000000"/>
          <w:sz w:val="30"/>
          <w:szCs w:val="30"/>
        </w:rPr>
      </w:pPr>
      <w:r>
        <w:rPr>
          <w:rFonts w:ascii="Times New Roman" w:hAnsi="Times New Roman" w:eastAsia="仿宋_GB2312"/>
          <w:b/>
          <w:bCs/>
          <w:color w:val="000000"/>
          <w:sz w:val="30"/>
          <w:szCs w:val="30"/>
        </w:rPr>
        <w:t xml:space="preserve">6.3 </w:t>
      </w:r>
      <w:r>
        <w:rPr>
          <w:rFonts w:ascii="Times New Roman" w:hAnsi="Times New Roman" w:eastAsia="仿宋_GB2312"/>
          <w:color w:val="000000"/>
          <w:sz w:val="30"/>
          <w:szCs w:val="30"/>
        </w:rPr>
        <w:t>本指引自发布之日起施行。</w:t>
      </w:r>
    </w:p>
    <w:p w14:paraId="6B239A2F">
      <w:pPr>
        <w:pStyle w:val="2"/>
        <w:ind w:firstLine="600"/>
        <w:rPr>
          <w:rFonts w:ascii="Times New Roman" w:hAnsi="Times New Roman" w:eastAsia="仿宋_GB2312"/>
          <w:color w:val="000000"/>
          <w:sz w:val="30"/>
          <w:szCs w:val="30"/>
        </w:rPr>
      </w:pPr>
    </w:p>
    <w:p w14:paraId="6E81C1A2">
      <w:pPr>
        <w:pStyle w:val="2"/>
        <w:ind w:firstLine="600"/>
        <w:rPr>
          <w:rFonts w:ascii="Times New Roman" w:hAnsi="Times New Roman" w:eastAsia="仿宋_GB2312"/>
          <w:color w:val="000000"/>
          <w:sz w:val="30"/>
          <w:szCs w:val="30"/>
        </w:rPr>
      </w:pPr>
    </w:p>
    <w:p w14:paraId="4197672B">
      <w:pPr>
        <w:pStyle w:val="2"/>
        <w:ind w:firstLine="600"/>
        <w:rPr>
          <w:rFonts w:ascii="Times New Roman" w:hAnsi="Times New Roman" w:eastAsia="仿宋_GB2312"/>
          <w:color w:val="000000"/>
          <w:sz w:val="30"/>
          <w:szCs w:val="30"/>
        </w:rPr>
      </w:pPr>
    </w:p>
    <w:p w14:paraId="5F7B2095">
      <w:pPr>
        <w:pStyle w:val="2"/>
        <w:rPr>
          <w:rFonts w:ascii="Times New Roman" w:hAnsi="Times New Roman"/>
        </w:rPr>
      </w:pPr>
    </w:p>
    <w:p w14:paraId="28B18547">
      <w:pPr>
        <w:pStyle w:val="3"/>
        <w:spacing w:line="600" w:lineRule="exact"/>
        <w:rPr>
          <w:rFonts w:ascii="Times New Roman" w:hAnsi="Times New Roman"/>
        </w:rPr>
      </w:pPr>
      <w:bookmarkStart w:id="47" w:name="_Toc118891186"/>
      <w:r>
        <w:rPr>
          <w:rFonts w:ascii="Times New Roman" w:hAnsi="Times New Roman"/>
        </w:rPr>
        <w:t>附件</w:t>
      </w:r>
      <w:bookmarkEnd w:id="47"/>
    </w:p>
    <w:p w14:paraId="0B6F12A2">
      <w:pPr>
        <w:pStyle w:val="4"/>
        <w:jc w:val="left"/>
        <w:rPr>
          <w:rFonts w:ascii="Times New Roman" w:hAnsi="Times New Roman"/>
          <w:bCs w:val="0"/>
          <w:iCs/>
          <w:kern w:val="2"/>
          <w:sz w:val="32"/>
          <w:szCs w:val="22"/>
          <w:shd w:val="clear" w:fill="auto"/>
        </w:rPr>
      </w:pPr>
      <w:bookmarkStart w:id="48" w:name="_Toc118891187"/>
      <w:r>
        <w:rPr>
          <w:rFonts w:ascii="Times New Roman" w:hAnsi="Times New Roman"/>
          <w:bCs w:val="0"/>
          <w:iCs/>
          <w:kern w:val="2"/>
          <w:sz w:val="32"/>
          <w:szCs w:val="22"/>
          <w:shd w:val="clear" w:fill="auto"/>
        </w:rPr>
        <w:t>附件1：资产支持证券挂牌转让申请材料清单</w:t>
      </w:r>
      <w:bookmarkEnd w:id="48"/>
    </w:p>
    <w:tbl>
      <w:tblPr>
        <w:tblStyle w:val="32"/>
        <w:tblW w:w="8472" w:type="dxa"/>
        <w:tblInd w:w="113" w:type="dxa"/>
        <w:tblLayout w:type="fixed"/>
        <w:tblCellMar>
          <w:top w:w="0" w:type="dxa"/>
          <w:left w:w="108" w:type="dxa"/>
          <w:bottom w:w="0" w:type="dxa"/>
          <w:right w:w="108" w:type="dxa"/>
        </w:tblCellMar>
      </w:tblPr>
      <w:tblGrid>
        <w:gridCol w:w="820"/>
        <w:gridCol w:w="2549"/>
        <w:gridCol w:w="5103"/>
      </w:tblGrid>
      <w:tr w14:paraId="74EFBCC3">
        <w:tblPrEx>
          <w:tblCellMar>
            <w:top w:w="0" w:type="dxa"/>
            <w:left w:w="108" w:type="dxa"/>
            <w:bottom w:w="0" w:type="dxa"/>
            <w:right w:w="108" w:type="dxa"/>
          </w:tblCellMar>
        </w:tblPrEx>
        <w:trPr>
          <w:trHeight w:val="454" w:hRule="atLeast"/>
          <w:tblHeader/>
        </w:trPr>
        <w:tc>
          <w:tcPr>
            <w:tcW w:w="820" w:type="dxa"/>
            <w:tcBorders>
              <w:top w:val="single" w:color="000000" w:sz="4" w:space="0"/>
              <w:left w:val="single" w:color="000000" w:sz="4" w:space="0"/>
              <w:bottom w:val="single" w:color="000000" w:sz="4" w:space="0"/>
              <w:right w:val="single" w:color="000000" w:sz="4" w:space="0"/>
            </w:tcBorders>
            <w:vAlign w:val="center"/>
          </w:tcPr>
          <w:p w14:paraId="01A5F86B">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序号</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1E7F">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材料名称</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439A">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说明</w:t>
            </w:r>
          </w:p>
        </w:tc>
      </w:tr>
      <w:tr w14:paraId="329972FB">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FA8">
            <w:pPr>
              <w:widowControl/>
              <w:jc w:val="center"/>
              <w:rPr>
                <w:rFonts w:ascii="Times New Roman" w:hAnsi="Times New Roman" w:eastAsia="仿宋_GB2312"/>
                <w:b/>
                <w:kern w:val="0"/>
                <w:szCs w:val="21"/>
              </w:rPr>
            </w:pPr>
            <w:r>
              <w:rPr>
                <w:rFonts w:ascii="Times New Roman" w:hAnsi="Times New Roman" w:eastAsia="仿宋_GB2312"/>
                <w:b/>
                <w:kern w:val="0"/>
                <w:szCs w:val="21"/>
              </w:rPr>
              <w:t>一</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9F38">
            <w:pPr>
              <w:widowControl/>
              <w:jc w:val="left"/>
              <w:rPr>
                <w:rFonts w:ascii="Times New Roman" w:hAnsi="Times New Roman" w:eastAsia="仿宋_GB2312"/>
                <w:b/>
                <w:bCs/>
                <w:kern w:val="0"/>
                <w:szCs w:val="21"/>
              </w:rPr>
            </w:pPr>
            <w:r>
              <w:rPr>
                <w:rFonts w:ascii="Times New Roman" w:hAnsi="Times New Roman" w:eastAsia="仿宋_GB2312"/>
                <w:b/>
                <w:bCs/>
                <w:kern w:val="0"/>
                <w:szCs w:val="21"/>
              </w:rPr>
              <w:t>挂牌转让申请书</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4FAD">
            <w:pPr>
              <w:spacing w:before="120" w:after="0"/>
              <w:ind w:firstLine="600"/>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首次申请时及封卷阶段应提交盖章版扫描件，抬头为上海证券交易所，落款处加盖计划管理人公章。申请书应后附挂牌转让申请报告并加盖计划管理人公章。格式请参照附件2。</w:t>
            </w:r>
          </w:p>
        </w:tc>
      </w:tr>
      <w:tr w14:paraId="47B1E4EC">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BBAB">
            <w:pPr>
              <w:widowControl/>
              <w:jc w:val="center"/>
              <w:rPr>
                <w:rFonts w:ascii="Times New Roman" w:hAnsi="Times New Roman" w:eastAsia="仿宋_GB2312"/>
                <w:b/>
                <w:kern w:val="0"/>
                <w:szCs w:val="21"/>
              </w:rPr>
            </w:pPr>
            <w:r>
              <w:rPr>
                <w:rFonts w:ascii="Times New Roman" w:hAnsi="Times New Roman" w:eastAsia="仿宋_GB2312"/>
                <w:b/>
                <w:kern w:val="0"/>
                <w:szCs w:val="21"/>
              </w:rPr>
              <w:t>二</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D65">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专项计划说明书</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9A3">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首次申请时及封卷阶段应提交盖章版扫描件，可标注申请稿字样；审核过程中涉及修改的，无需提交盖章版扫描件；盖章版文件的封面及签章页应加盖计划管理人公章。</w:t>
            </w:r>
          </w:p>
        </w:tc>
      </w:tr>
      <w:tr w14:paraId="63B9B534">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E92">
            <w:pPr>
              <w:widowControl/>
              <w:jc w:val="center"/>
              <w:rPr>
                <w:rFonts w:ascii="Times New Roman" w:hAnsi="Times New Roman" w:eastAsia="仿宋_GB2312"/>
                <w:b/>
                <w:kern w:val="0"/>
                <w:szCs w:val="21"/>
              </w:rPr>
            </w:pPr>
            <w:r>
              <w:rPr>
                <w:rFonts w:ascii="Times New Roman" w:hAnsi="Times New Roman" w:eastAsia="仿宋_GB2312"/>
                <w:b/>
                <w:kern w:val="0"/>
                <w:szCs w:val="21"/>
              </w:rPr>
              <w:t>三</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7E9">
            <w:pPr>
              <w:widowControl/>
              <w:jc w:val="left"/>
              <w:rPr>
                <w:rFonts w:ascii="Times New Roman" w:hAnsi="Times New Roman" w:eastAsia="仿宋_GB2312"/>
                <w:b/>
                <w:bCs/>
                <w:kern w:val="0"/>
                <w:szCs w:val="21"/>
              </w:rPr>
            </w:pPr>
            <w:r>
              <w:rPr>
                <w:rFonts w:ascii="Times New Roman" w:hAnsi="Times New Roman" w:eastAsia="仿宋_GB2312"/>
                <w:b/>
                <w:bCs/>
                <w:kern w:val="0"/>
                <w:szCs w:val="21"/>
              </w:rPr>
              <w:t>法律意见书</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F9C3">
            <w:pPr>
              <w:spacing w:before="120" w:after="0"/>
              <w:ind w:firstLine="600"/>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首次申请时及封卷阶段应提交盖章版扫描件，首次申请时可标注申请稿字样；审核过程中涉及修改无需提交盖章版扫描件；法律意见书应由两名经办律师及律师事务所负责人签名，加盖律师事务所公章。</w:t>
            </w:r>
          </w:p>
        </w:tc>
      </w:tr>
      <w:tr w14:paraId="32C46825">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E040">
            <w:pPr>
              <w:widowControl/>
              <w:jc w:val="center"/>
              <w:rPr>
                <w:rFonts w:ascii="Times New Roman" w:hAnsi="Times New Roman" w:eastAsia="仿宋_GB2312"/>
                <w:b/>
                <w:kern w:val="0"/>
                <w:szCs w:val="21"/>
              </w:rPr>
            </w:pPr>
            <w:r>
              <w:rPr>
                <w:rFonts w:ascii="Times New Roman" w:hAnsi="Times New Roman" w:eastAsia="仿宋_GB2312"/>
                <w:b/>
                <w:kern w:val="0"/>
                <w:szCs w:val="21"/>
              </w:rPr>
              <w:t>四</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62B7">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信用评级报告（如有）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A0A4">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封卷阶段加盖评级机构公章，并后附备案文件。</w:t>
            </w:r>
          </w:p>
        </w:tc>
      </w:tr>
      <w:tr w14:paraId="3D86D138">
        <w:tblPrEx>
          <w:tblCellMar>
            <w:top w:w="0" w:type="dxa"/>
            <w:left w:w="108" w:type="dxa"/>
            <w:bottom w:w="0" w:type="dxa"/>
            <w:right w:w="108" w:type="dxa"/>
          </w:tblCellMar>
        </w:tblPrEx>
        <w:trPr>
          <w:trHeight w:val="45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BF13A">
            <w:pPr>
              <w:jc w:val="center"/>
              <w:rPr>
                <w:rFonts w:ascii="Times New Roman" w:hAnsi="Times New Roman" w:eastAsia="仿宋_GB2312"/>
                <w:b/>
                <w:kern w:val="0"/>
                <w:szCs w:val="21"/>
              </w:rPr>
            </w:pPr>
            <w:r>
              <w:rPr>
                <w:rFonts w:ascii="Times New Roman" w:hAnsi="Times New Roman" w:eastAsia="仿宋_GB2312"/>
                <w:b/>
                <w:kern w:val="0"/>
                <w:szCs w:val="21"/>
              </w:rPr>
              <w:t>五</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6BF6">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专项计划标准条款（如有）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8AE4">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封卷阶段应当提交加盖计划管理人公章的扫描件。</w:t>
            </w:r>
          </w:p>
        </w:tc>
      </w:tr>
      <w:tr w14:paraId="6E88B17A">
        <w:tblPrEx>
          <w:tblCellMar>
            <w:top w:w="0" w:type="dxa"/>
            <w:left w:w="108" w:type="dxa"/>
            <w:bottom w:w="0" w:type="dxa"/>
            <w:right w:w="108" w:type="dxa"/>
          </w:tblCellMar>
        </w:tblPrEx>
        <w:trPr>
          <w:trHeight w:val="45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64136">
            <w:pPr>
              <w:jc w:val="center"/>
              <w:rPr>
                <w:rFonts w:ascii="Times New Roman" w:hAnsi="Times New Roman" w:eastAsia="仿宋_GB2312"/>
                <w:b/>
                <w:kern w:val="0"/>
                <w:szCs w:val="21"/>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DB1C">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专项计划基础资产买卖协议</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CE60">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封卷阶段应当提交加盖计划管理人及原始权益人公章的扫描件。</w:t>
            </w:r>
          </w:p>
        </w:tc>
      </w:tr>
      <w:tr w14:paraId="7C1612A5">
        <w:tblPrEx>
          <w:tblCellMar>
            <w:top w:w="0" w:type="dxa"/>
            <w:left w:w="108" w:type="dxa"/>
            <w:bottom w:w="0" w:type="dxa"/>
            <w:right w:w="108" w:type="dxa"/>
          </w:tblCellMar>
        </w:tblPrEx>
        <w:trPr>
          <w:trHeight w:val="45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7D23">
            <w:pPr>
              <w:jc w:val="center"/>
              <w:rPr>
                <w:rFonts w:ascii="Times New Roman" w:hAnsi="Times New Roman" w:eastAsia="仿宋_GB2312"/>
                <w:b/>
                <w:kern w:val="0"/>
                <w:szCs w:val="21"/>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D8EA">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专项计划托管协议</w:t>
            </w:r>
          </w:p>
        </w:tc>
        <w:tc>
          <w:tcPr>
            <w:tcW w:w="5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D85AC">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封卷阶段提交加盖计划管理人公章的扫描件。申请分期发行的项目，可提交拟签署的文本。</w:t>
            </w:r>
          </w:p>
        </w:tc>
      </w:tr>
      <w:tr w14:paraId="444AA65B">
        <w:tblPrEx>
          <w:tblCellMar>
            <w:top w:w="0" w:type="dxa"/>
            <w:left w:w="108" w:type="dxa"/>
            <w:bottom w:w="0" w:type="dxa"/>
            <w:right w:w="108" w:type="dxa"/>
          </w:tblCellMar>
        </w:tblPrEx>
        <w:trPr>
          <w:trHeight w:val="45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EA9A">
            <w:pPr>
              <w:jc w:val="center"/>
              <w:rPr>
                <w:rFonts w:ascii="Times New Roman" w:hAnsi="Times New Roman" w:eastAsia="仿宋_GB2312"/>
                <w:b/>
                <w:kern w:val="0"/>
                <w:szCs w:val="21"/>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928D">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专项计划监管协议（如有）</w:t>
            </w:r>
          </w:p>
        </w:tc>
        <w:tc>
          <w:tcPr>
            <w:tcW w:w="5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273D3">
            <w:pPr>
              <w:widowControl/>
              <w:ind w:firstLine="420"/>
              <w:jc w:val="left"/>
              <w:rPr>
                <w:rFonts w:ascii="Times New Roman" w:hAnsi="Times New Roman" w:eastAsia="仿宋_GB2312"/>
                <w:kern w:val="0"/>
                <w:szCs w:val="21"/>
              </w:rPr>
            </w:pPr>
          </w:p>
        </w:tc>
      </w:tr>
      <w:tr w14:paraId="44BCF2EB">
        <w:tblPrEx>
          <w:tblCellMar>
            <w:top w:w="0" w:type="dxa"/>
            <w:left w:w="108" w:type="dxa"/>
            <w:bottom w:w="0" w:type="dxa"/>
            <w:right w:w="108" w:type="dxa"/>
          </w:tblCellMar>
        </w:tblPrEx>
        <w:trPr>
          <w:trHeight w:val="45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9457F">
            <w:pPr>
              <w:jc w:val="center"/>
              <w:rPr>
                <w:rFonts w:ascii="Times New Roman" w:hAnsi="Times New Roman" w:eastAsia="仿宋_GB2312"/>
                <w:kern w:val="0"/>
                <w:szCs w:val="21"/>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CB21">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专项计划资产服务协议（如有）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EFA1">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封卷阶段应当由计划管理人及资产服务机构签字或盖章。</w:t>
            </w:r>
          </w:p>
        </w:tc>
      </w:tr>
      <w:tr w14:paraId="14DFDF21">
        <w:tblPrEx>
          <w:tblCellMar>
            <w:top w:w="0" w:type="dxa"/>
            <w:left w:w="108" w:type="dxa"/>
            <w:bottom w:w="0" w:type="dxa"/>
            <w:right w:w="108" w:type="dxa"/>
          </w:tblCellMar>
        </w:tblPrEx>
        <w:trPr>
          <w:trHeight w:val="45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96E4">
            <w:pPr>
              <w:keepNext/>
              <w:keepLines/>
              <w:widowControl/>
              <w:numPr>
                <w:ilvl w:val="0"/>
                <w:numId w:val="0"/>
              </w:numPr>
              <w:spacing w:before="260" w:after="260" w:line="418" w:lineRule="auto"/>
              <w:jc w:val="center"/>
              <w:outlineLvl w:val="2"/>
              <w:rPr>
                <w:rFonts w:ascii="Times New Roman" w:hAnsi="Times New Roman" w:eastAsia="仿宋_GB2312"/>
                <w:kern w:val="0"/>
                <w:szCs w:val="21"/>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3AE4">
            <w:pPr>
              <w:widowControl/>
              <w:jc w:val="left"/>
              <w:rPr>
                <w:rFonts w:ascii="Times New Roman" w:hAnsi="Times New Roman" w:eastAsia="仿宋_GB2312"/>
                <w:b/>
                <w:bCs/>
                <w:kern w:val="0"/>
                <w:szCs w:val="21"/>
              </w:rPr>
            </w:pPr>
            <w:r>
              <w:rPr>
                <w:rFonts w:ascii="Times New Roman" w:hAnsi="Times New Roman" w:eastAsia="仿宋_GB2312"/>
                <w:b/>
                <w:bCs/>
                <w:kern w:val="0"/>
                <w:szCs w:val="21"/>
              </w:rPr>
              <w:t>其他补充合同（如有）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B1C">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按照法律法规的规定签名盖章。</w:t>
            </w:r>
          </w:p>
        </w:tc>
      </w:tr>
      <w:tr w14:paraId="302DBC63">
        <w:tblPrEx>
          <w:tblCellMar>
            <w:top w:w="0" w:type="dxa"/>
            <w:left w:w="108" w:type="dxa"/>
            <w:bottom w:w="0" w:type="dxa"/>
            <w:right w:w="108" w:type="dxa"/>
          </w:tblCellMar>
        </w:tblPrEx>
        <w:trPr>
          <w:trHeight w:val="876"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79A">
            <w:pPr>
              <w:widowControl/>
              <w:jc w:val="center"/>
              <w:rPr>
                <w:rFonts w:ascii="Times New Roman" w:hAnsi="Times New Roman" w:eastAsia="仿宋_GB2312"/>
                <w:b/>
                <w:kern w:val="0"/>
                <w:szCs w:val="21"/>
              </w:rPr>
            </w:pPr>
            <w:r>
              <w:rPr>
                <w:rFonts w:ascii="Times New Roman" w:hAnsi="Times New Roman" w:eastAsia="仿宋_GB2312"/>
                <w:b/>
                <w:kern w:val="0"/>
                <w:szCs w:val="21"/>
              </w:rPr>
              <w:t>六</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CDF4">
            <w:pPr>
              <w:jc w:val="left"/>
              <w:rPr>
                <w:rFonts w:ascii="Times New Roman" w:hAnsi="Times New Roman" w:eastAsia="仿宋_GB2312"/>
                <w:b/>
                <w:bCs/>
                <w:kern w:val="0"/>
                <w:szCs w:val="21"/>
              </w:rPr>
            </w:pPr>
            <w:r>
              <w:rPr>
                <w:rFonts w:ascii="Times New Roman" w:hAnsi="Times New Roman" w:eastAsia="仿宋_GB2312"/>
                <w:b/>
                <w:bCs/>
                <w:kern w:val="0"/>
                <w:szCs w:val="21"/>
              </w:rPr>
              <w:t>特定原始权益人最近3年（未满3年的自成立之日起）经审计的财务报告、最近一期财务报告或会计报表</w:t>
            </w:r>
          </w:p>
        </w:tc>
        <w:tc>
          <w:tcPr>
            <w:tcW w:w="5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0CB1">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首次申请时应提交。</w:t>
            </w:r>
          </w:p>
          <w:p w14:paraId="369811E6">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审计报告或审阅报告应由两名注册会计师签名及盖章，并加盖会计师事务所公章。</w:t>
            </w:r>
          </w:p>
          <w:p w14:paraId="15263565">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财务报告或财务报表应由单位负责人和主管会计工作的负责人、会计机构负责人（会计主管人员）签名或盖章，并加盖特定原始权益人或增信机构公章。</w:t>
            </w:r>
          </w:p>
        </w:tc>
      </w:tr>
      <w:tr w14:paraId="1A12C357">
        <w:tblPrEx>
          <w:tblCellMar>
            <w:top w:w="0" w:type="dxa"/>
            <w:left w:w="108" w:type="dxa"/>
            <w:bottom w:w="0" w:type="dxa"/>
            <w:right w:w="108" w:type="dxa"/>
          </w:tblCellMar>
        </w:tblPrEx>
        <w:trPr>
          <w:trHeight w:val="876"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6CFF">
            <w:pPr>
              <w:widowControl/>
              <w:jc w:val="center"/>
              <w:rPr>
                <w:rFonts w:ascii="Times New Roman" w:hAnsi="Times New Roman" w:eastAsia="仿宋_GB2312"/>
                <w:b/>
                <w:kern w:val="0"/>
                <w:szCs w:val="21"/>
              </w:rPr>
            </w:pPr>
            <w:r>
              <w:rPr>
                <w:rFonts w:ascii="Times New Roman" w:hAnsi="Times New Roman" w:eastAsia="仿宋_GB2312"/>
                <w:b/>
                <w:kern w:val="0"/>
                <w:szCs w:val="21"/>
              </w:rPr>
              <w:t>七</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85E1">
            <w:pPr>
              <w:jc w:val="left"/>
              <w:rPr>
                <w:rFonts w:ascii="Times New Roman" w:hAnsi="Times New Roman" w:eastAsia="仿宋_GB2312"/>
                <w:b/>
                <w:bCs/>
                <w:kern w:val="0"/>
                <w:szCs w:val="21"/>
              </w:rPr>
            </w:pPr>
            <w:r>
              <w:rPr>
                <w:rFonts w:ascii="Times New Roman" w:hAnsi="Times New Roman" w:eastAsia="仿宋_GB2312"/>
                <w:b/>
                <w:bCs/>
                <w:kern w:val="0"/>
                <w:szCs w:val="21"/>
              </w:rPr>
              <w:t>增信机构最近一年经审计的财务报告、最近一期的财务报告或者财务报表（如有）</w:t>
            </w:r>
          </w:p>
        </w:tc>
        <w:tc>
          <w:tcPr>
            <w:tcW w:w="5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12513">
            <w:pPr>
              <w:widowControl/>
              <w:ind w:firstLine="420"/>
              <w:jc w:val="left"/>
              <w:rPr>
                <w:rFonts w:ascii="Times New Roman" w:hAnsi="Times New Roman" w:eastAsia="仿宋_GB2312"/>
                <w:kern w:val="0"/>
                <w:szCs w:val="21"/>
              </w:rPr>
            </w:pPr>
          </w:p>
        </w:tc>
      </w:tr>
      <w:tr w14:paraId="7D490C76">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BC9B">
            <w:pPr>
              <w:widowControl/>
              <w:jc w:val="center"/>
              <w:rPr>
                <w:rFonts w:ascii="Times New Roman" w:hAnsi="Times New Roman" w:eastAsia="仿宋_GB2312"/>
                <w:b/>
                <w:kern w:val="0"/>
                <w:szCs w:val="21"/>
              </w:rPr>
            </w:pPr>
            <w:r>
              <w:rPr>
                <w:rFonts w:ascii="Times New Roman" w:hAnsi="Times New Roman" w:eastAsia="仿宋_GB2312"/>
                <w:b/>
                <w:kern w:val="0"/>
                <w:szCs w:val="21"/>
              </w:rPr>
              <w:t>八</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5B04">
            <w:pPr>
              <w:widowControl/>
              <w:jc w:val="left"/>
              <w:rPr>
                <w:rFonts w:ascii="Times New Roman" w:hAnsi="Times New Roman" w:eastAsia="仿宋_GB2312"/>
                <w:b/>
                <w:bCs/>
                <w:kern w:val="0"/>
                <w:szCs w:val="21"/>
              </w:rPr>
            </w:pPr>
            <w:r>
              <w:rPr>
                <w:rFonts w:ascii="Times New Roman" w:hAnsi="Times New Roman" w:eastAsia="仿宋_GB2312"/>
                <w:b/>
                <w:bCs/>
                <w:kern w:val="0"/>
                <w:szCs w:val="21"/>
              </w:rPr>
              <w:t>关于专项计划会计处理意见的说明（如有）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B9AF">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封卷阶段应当提交加盖会计师事务所公章的扫描件。</w:t>
            </w:r>
          </w:p>
        </w:tc>
      </w:tr>
      <w:tr w14:paraId="3D27DBF8">
        <w:tblPrEx>
          <w:tblCellMar>
            <w:top w:w="0" w:type="dxa"/>
            <w:left w:w="108" w:type="dxa"/>
            <w:bottom w:w="0" w:type="dxa"/>
            <w:right w:w="108" w:type="dxa"/>
          </w:tblCellMar>
        </w:tblPrEx>
        <w:trPr>
          <w:trHeight w:val="624" w:hRule="atLeast"/>
        </w:trPr>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E5481">
            <w:pPr>
              <w:widowControl/>
              <w:jc w:val="center"/>
              <w:rPr>
                <w:rFonts w:ascii="Times New Roman" w:hAnsi="Times New Roman" w:eastAsia="仿宋_GB2312"/>
                <w:b/>
                <w:kern w:val="0"/>
                <w:szCs w:val="21"/>
              </w:rPr>
            </w:pPr>
            <w:r>
              <w:rPr>
                <w:rFonts w:ascii="Times New Roman" w:hAnsi="Times New Roman" w:eastAsia="仿宋_GB2312"/>
                <w:b/>
                <w:kern w:val="0"/>
                <w:szCs w:val="21"/>
              </w:rPr>
              <w:t>九</w:t>
            </w:r>
          </w:p>
        </w:tc>
        <w:tc>
          <w:tcPr>
            <w:tcW w:w="2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8F41A">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资产评估报告（如有）</w:t>
            </w:r>
          </w:p>
        </w:tc>
        <w:tc>
          <w:tcPr>
            <w:tcW w:w="5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22833">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封卷阶段应当提交加盖报告出具方公章的扫描件。</w:t>
            </w:r>
          </w:p>
          <w:p w14:paraId="0A0AE5CD">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基础资产涉及不动产的，需提供不动产评估报告或资产评估报告。若估价报告或评估报告采用收益法评估，且已披露不动产项目未来现金流预测情况的，可不提供现金流预测分析报告。</w:t>
            </w:r>
          </w:p>
        </w:tc>
      </w:tr>
      <w:tr w14:paraId="773D375E">
        <w:tblPrEx>
          <w:tblCellMar>
            <w:top w:w="0" w:type="dxa"/>
            <w:left w:w="108" w:type="dxa"/>
            <w:bottom w:w="0" w:type="dxa"/>
            <w:right w:w="108" w:type="dxa"/>
          </w:tblCellMar>
        </w:tblPrEx>
        <w:trPr>
          <w:trHeight w:val="624" w:hRule="atLeast"/>
        </w:trPr>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73D07">
            <w:pPr>
              <w:widowControl/>
              <w:jc w:val="center"/>
              <w:rPr>
                <w:rFonts w:ascii="Times New Roman" w:hAnsi="Times New Roman" w:eastAsia="仿宋_GB2312"/>
                <w:b/>
                <w:kern w:val="0"/>
                <w:szCs w:val="21"/>
              </w:rPr>
            </w:pPr>
          </w:p>
        </w:tc>
        <w:tc>
          <w:tcPr>
            <w:tcW w:w="2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6DC4">
            <w:pPr>
              <w:widowControl/>
              <w:jc w:val="center"/>
              <w:rPr>
                <w:rFonts w:ascii="Times New Roman" w:hAnsi="Times New Roman" w:eastAsia="仿宋_GB2312"/>
                <w:b/>
                <w:bCs/>
                <w:kern w:val="0"/>
                <w:szCs w:val="21"/>
              </w:rPr>
            </w:pPr>
          </w:p>
        </w:tc>
        <w:tc>
          <w:tcPr>
            <w:tcW w:w="5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752DB">
            <w:pPr>
              <w:widowControl/>
              <w:ind w:firstLine="420"/>
              <w:jc w:val="left"/>
              <w:rPr>
                <w:rFonts w:ascii="Times New Roman" w:hAnsi="Times New Roman" w:eastAsia="仿宋_GB2312"/>
                <w:kern w:val="0"/>
                <w:szCs w:val="21"/>
              </w:rPr>
            </w:pPr>
          </w:p>
        </w:tc>
      </w:tr>
      <w:tr w14:paraId="7515AE14">
        <w:tblPrEx>
          <w:tblCellMar>
            <w:top w:w="0" w:type="dxa"/>
            <w:left w:w="108" w:type="dxa"/>
            <w:bottom w:w="0" w:type="dxa"/>
            <w:right w:w="108" w:type="dxa"/>
          </w:tblCellMar>
        </w:tblPrEx>
        <w:trPr>
          <w:trHeight w:val="624" w:hRule="atLeast"/>
        </w:trPr>
        <w:tc>
          <w:tcPr>
            <w:tcW w:w="820" w:type="dxa"/>
            <w:vMerge w:val="continue"/>
            <w:tcBorders>
              <w:top w:val="single" w:color="000000" w:sz="4" w:space="0"/>
              <w:left w:val="single" w:color="000000" w:sz="4" w:space="0"/>
              <w:bottom w:val="single" w:color="000000" w:sz="4" w:space="0"/>
              <w:right w:val="single" w:color="000000" w:sz="4" w:space="0"/>
            </w:tcBorders>
            <w:vAlign w:val="center"/>
          </w:tcPr>
          <w:p w14:paraId="29AAB24A">
            <w:pPr>
              <w:widowControl/>
              <w:jc w:val="left"/>
              <w:rPr>
                <w:rFonts w:ascii="Times New Roman" w:hAnsi="Times New Roman" w:eastAsia="仿宋_GB2312"/>
                <w:b/>
                <w:kern w:val="0"/>
                <w:szCs w:val="21"/>
              </w:rPr>
            </w:pPr>
          </w:p>
        </w:tc>
        <w:tc>
          <w:tcPr>
            <w:tcW w:w="2549" w:type="dxa"/>
            <w:vMerge w:val="continue"/>
            <w:tcBorders>
              <w:top w:val="single" w:color="000000" w:sz="4" w:space="0"/>
              <w:left w:val="single" w:color="000000" w:sz="4" w:space="0"/>
              <w:bottom w:val="single" w:color="000000" w:sz="4" w:space="0"/>
              <w:right w:val="single" w:color="000000" w:sz="4" w:space="0"/>
            </w:tcBorders>
            <w:vAlign w:val="center"/>
          </w:tcPr>
          <w:p w14:paraId="3D29041F">
            <w:pPr>
              <w:widowControl/>
              <w:jc w:val="left"/>
              <w:rPr>
                <w:rFonts w:ascii="Times New Roman" w:hAnsi="Times New Roman" w:eastAsia="仿宋_GB2312"/>
                <w:b/>
                <w:bCs/>
                <w:kern w:val="0"/>
                <w:szCs w:val="21"/>
              </w:rPr>
            </w:pPr>
          </w:p>
        </w:tc>
        <w:tc>
          <w:tcPr>
            <w:tcW w:w="5103" w:type="dxa"/>
            <w:vMerge w:val="continue"/>
            <w:tcBorders>
              <w:top w:val="single" w:color="000000" w:sz="4" w:space="0"/>
              <w:left w:val="single" w:color="000000" w:sz="4" w:space="0"/>
              <w:bottom w:val="single" w:color="000000" w:sz="4" w:space="0"/>
              <w:right w:val="single" w:color="000000" w:sz="4" w:space="0"/>
            </w:tcBorders>
            <w:vAlign w:val="center"/>
          </w:tcPr>
          <w:p w14:paraId="72BC111B">
            <w:pPr>
              <w:widowControl/>
              <w:ind w:firstLine="420"/>
              <w:jc w:val="left"/>
              <w:rPr>
                <w:rFonts w:ascii="Times New Roman" w:hAnsi="Times New Roman" w:eastAsia="仿宋_GB2312"/>
                <w:kern w:val="0"/>
                <w:szCs w:val="21"/>
              </w:rPr>
            </w:pPr>
          </w:p>
        </w:tc>
      </w:tr>
      <w:tr w14:paraId="13863976">
        <w:tblPrEx>
          <w:tblCellMar>
            <w:top w:w="0" w:type="dxa"/>
            <w:left w:w="108" w:type="dxa"/>
            <w:bottom w:w="0" w:type="dxa"/>
            <w:right w:w="108" w:type="dxa"/>
          </w:tblCellMar>
        </w:tblPrEx>
        <w:trPr>
          <w:trHeight w:val="62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A05">
            <w:pPr>
              <w:widowControl/>
              <w:jc w:val="center"/>
              <w:rPr>
                <w:rFonts w:ascii="Times New Roman" w:hAnsi="Times New Roman" w:eastAsia="仿宋_GB2312"/>
                <w:b/>
                <w:kern w:val="0"/>
                <w:szCs w:val="21"/>
              </w:rPr>
            </w:pPr>
            <w:r>
              <w:rPr>
                <w:rFonts w:ascii="Times New Roman" w:hAnsi="Times New Roman" w:eastAsia="仿宋_GB2312"/>
                <w:b/>
                <w:kern w:val="0"/>
                <w:szCs w:val="21"/>
              </w:rPr>
              <w:t>十</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BC93">
            <w:pPr>
              <w:widowControl/>
              <w:rPr>
                <w:rFonts w:ascii="Times New Roman" w:hAnsi="Times New Roman" w:eastAsia="仿宋_GB2312"/>
                <w:b/>
                <w:bCs/>
                <w:kern w:val="0"/>
                <w:szCs w:val="21"/>
              </w:rPr>
            </w:pPr>
            <w:r>
              <w:rPr>
                <w:rFonts w:ascii="Times New Roman" w:hAnsi="Times New Roman" w:eastAsia="仿宋_GB2312"/>
                <w:b/>
                <w:bCs/>
                <w:kern w:val="0"/>
                <w:szCs w:val="21"/>
              </w:rPr>
              <w:t>现金流预测报告（如有）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7956">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封卷阶段应当提交加盖报告出具方公章的扫描件。</w:t>
            </w:r>
          </w:p>
          <w:p w14:paraId="4AD7409D">
            <w:pPr>
              <w:pStyle w:val="2"/>
              <w:rPr>
                <w:rFonts w:ascii="Times New Roman" w:hAnsi="Times New Roman"/>
              </w:rPr>
            </w:pPr>
            <w:r>
              <w:rPr>
                <w:rFonts w:ascii="Times New Roman" w:hAnsi="Times New Roman" w:eastAsia="仿宋_GB2312"/>
                <w:kern w:val="0"/>
                <w:szCs w:val="21"/>
              </w:rPr>
              <w:t>基础资产为债权，现金流回款金额和期限确定，支付未附加条件，笔数不多且不进行循环购买，投资者可清晰识别的，可不提交现金流预测分析报告。计划管理人应在计划说明书中详细披露现金流回款的基础数据、测算过程及结论。</w:t>
            </w:r>
          </w:p>
        </w:tc>
      </w:tr>
      <w:tr w14:paraId="34A3B5C7">
        <w:tblPrEx>
          <w:tblCellMar>
            <w:top w:w="0" w:type="dxa"/>
            <w:left w:w="108" w:type="dxa"/>
            <w:bottom w:w="0" w:type="dxa"/>
            <w:right w:w="108" w:type="dxa"/>
          </w:tblCellMar>
        </w:tblPrEx>
        <w:trPr>
          <w:trHeight w:val="6192"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071">
            <w:pPr>
              <w:widowControl/>
              <w:jc w:val="center"/>
              <w:rPr>
                <w:rFonts w:ascii="Times New Roman" w:hAnsi="Times New Roman" w:eastAsia="仿宋_GB2312"/>
                <w:b/>
                <w:kern w:val="0"/>
                <w:szCs w:val="21"/>
              </w:rPr>
            </w:pPr>
            <w:r>
              <w:rPr>
                <w:rFonts w:ascii="Times New Roman" w:hAnsi="Times New Roman" w:eastAsia="仿宋_GB2312"/>
                <w:b/>
                <w:kern w:val="0"/>
                <w:szCs w:val="21"/>
              </w:rPr>
              <w:t>十一</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8F3B">
            <w:pPr>
              <w:jc w:val="left"/>
              <w:rPr>
                <w:rFonts w:ascii="Times New Roman" w:hAnsi="Times New Roman" w:eastAsia="仿宋_GB2312"/>
                <w:b/>
                <w:bCs/>
                <w:kern w:val="0"/>
                <w:szCs w:val="21"/>
              </w:rPr>
            </w:pPr>
            <w:r>
              <w:rPr>
                <w:rFonts w:ascii="Times New Roman" w:hAnsi="Times New Roman" w:eastAsia="仿宋_GB2312"/>
                <w:b/>
                <w:bCs/>
                <w:kern w:val="0"/>
                <w:szCs w:val="21"/>
              </w:rPr>
              <w:t>差额支付承诺函、担保合同或担保函等增信文件，及增信机构就提供增信获得的授权文件（如有）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DA31">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首次申请时及封卷阶段，计划管理人应当提交担保协议或担保函/差额支付承诺函、相关授权文件的盖章版扫描件。</w:t>
            </w:r>
          </w:p>
          <w:p w14:paraId="6332A8F1">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增信合同（如有）:合同双方的法定代表人或授权代表签名或盖章，并分别加盖公章或合同专用章。</w:t>
            </w:r>
          </w:p>
          <w:p w14:paraId="1DE65C51">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担保函/差额支付承诺函：统一加盖骑缝章并在尾页加盖担保人/差额支付承诺人公章；若增信机构为自然人，应统一加盖骑缝章，并由增信机构在尾页签名或盖章。</w:t>
            </w:r>
          </w:p>
          <w:p w14:paraId="5EA38569">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担保人/差额支付承诺人就提供担保/差额支付获得的授权文件（专业担保公司除外）：相应文件加盖相应出具机构的公章。</w:t>
            </w:r>
          </w:p>
          <w:p w14:paraId="42C23E3C">
            <w:pPr>
              <w:spacing w:before="120" w:after="0"/>
              <w:ind w:firstLine="420"/>
              <w:rPr>
                <w:rFonts w:ascii="Times New Roman" w:hAnsi="Times New Roman" w:eastAsia="仿宋_GB2312"/>
                <w:kern w:val="0"/>
                <w:szCs w:val="21"/>
              </w:rPr>
            </w:pPr>
            <w:r>
              <w:rPr>
                <w:rFonts w:ascii="Times New Roman" w:hAnsi="Times New Roman" w:eastAsia="仿宋_GB2312"/>
                <w:kern w:val="0"/>
                <w:szCs w:val="21"/>
              </w:rPr>
              <w:t>须经主管机关批准、核准或同意的，应提供相应主管部门的批准、核准或同意的文件。</w:t>
            </w:r>
          </w:p>
        </w:tc>
      </w:tr>
      <w:tr w14:paraId="5238C87C">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C48">
            <w:pPr>
              <w:widowControl/>
              <w:jc w:val="center"/>
              <w:rPr>
                <w:rFonts w:ascii="Times New Roman" w:hAnsi="Times New Roman" w:eastAsia="仿宋_GB2312"/>
                <w:b/>
                <w:kern w:val="0"/>
                <w:szCs w:val="21"/>
              </w:rPr>
            </w:pPr>
            <w:r>
              <w:rPr>
                <w:rFonts w:ascii="Times New Roman" w:hAnsi="Times New Roman" w:eastAsia="仿宋_GB2312"/>
                <w:b/>
                <w:kern w:val="0"/>
                <w:szCs w:val="21"/>
              </w:rPr>
              <w:t>十二</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689">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专项计划尽职调查报告</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3C5C">
            <w:pPr>
              <w:widowControl/>
              <w:spacing w:line="400" w:lineRule="exact"/>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封卷阶段应当提交加盖计划管理人公章，并由项目组全体成员签字的扫描件。</w:t>
            </w:r>
          </w:p>
        </w:tc>
      </w:tr>
      <w:tr w14:paraId="6069C3BA">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2A6A">
            <w:pPr>
              <w:widowControl/>
              <w:jc w:val="center"/>
              <w:rPr>
                <w:rFonts w:ascii="Times New Roman" w:hAnsi="Times New Roman" w:eastAsia="仿宋_GB2312"/>
                <w:b/>
                <w:kern w:val="0"/>
                <w:szCs w:val="21"/>
              </w:rPr>
            </w:pPr>
            <w:r>
              <w:rPr>
                <w:rFonts w:ascii="Times New Roman" w:hAnsi="Times New Roman" w:eastAsia="仿宋_GB2312"/>
                <w:b/>
                <w:kern w:val="0"/>
                <w:szCs w:val="21"/>
              </w:rPr>
              <w:t>十三</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ABF">
            <w:pPr>
              <w:widowControl/>
              <w:jc w:val="left"/>
              <w:rPr>
                <w:rFonts w:ascii="Times New Roman" w:hAnsi="Times New Roman" w:eastAsia="仿宋_GB2312"/>
                <w:b/>
                <w:bCs/>
                <w:kern w:val="0"/>
                <w:szCs w:val="21"/>
              </w:rPr>
            </w:pPr>
            <w:r>
              <w:rPr>
                <w:rFonts w:ascii="Times New Roman" w:hAnsi="Times New Roman" w:eastAsia="仿宋_GB2312"/>
                <w:b/>
                <w:bCs/>
                <w:kern w:val="0"/>
                <w:szCs w:val="21"/>
              </w:rPr>
              <w:t>管理人的合规审查意见</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1E8C">
            <w:pPr>
              <w:widowControl/>
              <w:spacing w:line="400" w:lineRule="exact"/>
              <w:ind w:firstLine="420"/>
              <w:jc w:val="left"/>
              <w:rPr>
                <w:rFonts w:ascii="Times New Roman" w:hAnsi="Times New Roman" w:eastAsia="仿宋_GB2312"/>
                <w:kern w:val="0"/>
                <w:szCs w:val="21"/>
              </w:rPr>
            </w:pPr>
            <w:r>
              <w:rPr>
                <w:rFonts w:ascii="Times New Roman" w:hAnsi="Times New Roman" w:eastAsia="仿宋_GB2312"/>
                <w:kern w:val="0"/>
                <w:szCs w:val="21"/>
              </w:rPr>
              <w:t>首次申请时应由计划管理人合规负责人签字，并加盖公司公章。</w:t>
            </w:r>
          </w:p>
          <w:p w14:paraId="4EC9EC93">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合规审查意见应包含：计划管理人内核程序履行情况、内核会议关注的主要问题及解决情况、内核会议意见结果等内容。</w:t>
            </w:r>
          </w:p>
        </w:tc>
      </w:tr>
      <w:tr w14:paraId="0D83750C">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001E">
            <w:pPr>
              <w:widowControl/>
              <w:jc w:val="center"/>
              <w:rPr>
                <w:rFonts w:ascii="Times New Roman" w:hAnsi="Times New Roman" w:eastAsia="仿宋_GB2312"/>
                <w:b/>
                <w:kern w:val="0"/>
                <w:szCs w:val="21"/>
              </w:rPr>
            </w:pPr>
            <w:r>
              <w:rPr>
                <w:rFonts w:ascii="Times New Roman" w:hAnsi="Times New Roman" w:eastAsia="仿宋_GB2312"/>
                <w:b/>
                <w:kern w:val="0"/>
                <w:szCs w:val="21"/>
              </w:rPr>
              <w:t>十四</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B80F">
            <w:pPr>
              <w:widowControl/>
              <w:jc w:val="left"/>
              <w:rPr>
                <w:rFonts w:ascii="Times New Roman" w:hAnsi="Times New Roman" w:eastAsia="仿宋_GB2312"/>
                <w:b/>
                <w:bCs/>
                <w:kern w:val="0"/>
                <w:szCs w:val="21"/>
              </w:rPr>
            </w:pPr>
            <w:r>
              <w:rPr>
                <w:rFonts w:ascii="Times New Roman" w:hAnsi="Times New Roman" w:eastAsia="仿宋_GB2312"/>
                <w:b/>
                <w:bCs/>
                <w:kern w:val="0"/>
                <w:szCs w:val="21"/>
              </w:rPr>
              <w:t>法律法规或原始权益人公司章程规定的有权机构关于开展资产证券化融资相关事宜的决议</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37EB">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首次申请时提交加盖原始权益人或其有权机构公章的决议扫描件。</w:t>
            </w:r>
          </w:p>
          <w:p w14:paraId="306B198A">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一）原始权益人有权机构为股东会的，股东会决议应由出席会议的股东签名或盖章；有权机构为股东大会的，股东大会决议应由出席会议的股东代表或董事签名或盖章；有权机构为董事会的，董事会决议应由出席会议的董事签名。</w:t>
            </w:r>
          </w:p>
          <w:p w14:paraId="6AE0A33B">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二）按照法律法规、公司章程或原始权益人内部规章制度的相关规定，原始权益人有权机构为股东（大）会、董事会以外的其他机构（含人员）的，决议按规定或约定签名或盖章，并由原始权益人出具决议有效性说明。决议有效性说明应加盖原始权益人公章。</w:t>
            </w:r>
          </w:p>
          <w:p w14:paraId="0CAF37A3">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（三）原始权益人开展资产证券化融资相关事宜须经主管机关批准、核准或同意的，应提供相应主管部门的批准、核准或同意的文件。</w:t>
            </w:r>
          </w:p>
        </w:tc>
      </w:tr>
      <w:tr w14:paraId="40F1FC47">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6A3D">
            <w:pPr>
              <w:widowControl/>
              <w:jc w:val="center"/>
              <w:rPr>
                <w:rFonts w:ascii="Times New Roman" w:hAnsi="Times New Roman" w:eastAsia="仿宋_GB2312"/>
                <w:b/>
                <w:kern w:val="0"/>
                <w:szCs w:val="21"/>
              </w:rPr>
            </w:pPr>
            <w:r>
              <w:rPr>
                <w:rFonts w:ascii="Times New Roman" w:hAnsi="Times New Roman" w:eastAsia="仿宋_GB2312"/>
                <w:b/>
                <w:kern w:val="0"/>
                <w:szCs w:val="21"/>
              </w:rPr>
              <w:t>十五</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69E1">
            <w:pPr>
              <w:widowControl/>
              <w:jc w:val="left"/>
              <w:rPr>
                <w:rFonts w:ascii="Times New Roman" w:hAnsi="Times New Roman" w:eastAsia="仿宋_GB2312"/>
                <w:b/>
                <w:bCs/>
                <w:kern w:val="0"/>
                <w:szCs w:val="21"/>
              </w:rPr>
            </w:pPr>
            <w:r>
              <w:rPr>
                <w:rFonts w:ascii="Times New Roman" w:hAnsi="Times New Roman" w:eastAsia="仿宋_GB2312"/>
                <w:b/>
                <w:bCs/>
                <w:kern w:val="0"/>
                <w:szCs w:val="21"/>
              </w:rPr>
              <w:t>第三方评估意见或认证报告（如有）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BA1A">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封卷阶段应当提交加盖报告出具方公章的扫描件。</w:t>
            </w:r>
          </w:p>
        </w:tc>
      </w:tr>
      <w:tr w14:paraId="64DA83EF">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15F5">
            <w:pPr>
              <w:widowControl/>
              <w:jc w:val="center"/>
              <w:rPr>
                <w:rFonts w:ascii="Times New Roman" w:hAnsi="Times New Roman" w:eastAsia="仿宋_GB2312"/>
                <w:b/>
                <w:bCs/>
                <w:kern w:val="0"/>
                <w:szCs w:val="21"/>
              </w:rPr>
            </w:pPr>
            <w:r>
              <w:rPr>
                <w:rFonts w:ascii="Times New Roman" w:hAnsi="Times New Roman" w:eastAsia="仿宋_GB2312"/>
                <w:b/>
                <w:kern w:val="0"/>
                <w:szCs w:val="21"/>
              </w:rPr>
              <w:t>十六</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0E0B">
            <w:pPr>
              <w:widowControl/>
              <w:jc w:val="left"/>
              <w:rPr>
                <w:rFonts w:ascii="Times New Roman" w:hAnsi="Times New Roman" w:eastAsia="仿宋_GB2312"/>
                <w:b/>
                <w:bCs/>
                <w:kern w:val="0"/>
                <w:szCs w:val="21"/>
              </w:rPr>
            </w:pPr>
            <w:r>
              <w:rPr>
                <w:rFonts w:ascii="Times New Roman" w:hAnsi="Times New Roman" w:eastAsia="仿宋_GB2312"/>
                <w:b/>
                <w:bCs/>
                <w:kern w:val="0"/>
                <w:szCs w:val="21"/>
              </w:rPr>
              <w:t>特定行业主管部门出具的监管意见书（如有）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ECAA">
            <w:pPr>
              <w:ind w:firstLine="420"/>
              <w:rPr>
                <w:rFonts w:ascii="Times New Roman" w:hAnsi="Times New Roman" w:eastAsia="仿宋_GB2312"/>
                <w:kern w:val="0"/>
                <w:szCs w:val="21"/>
              </w:rPr>
            </w:pPr>
            <w:r>
              <w:rPr>
                <w:rFonts w:ascii="Times New Roman" w:hAnsi="Times New Roman" w:eastAsia="仿宋_GB2312"/>
                <w:kern w:val="0"/>
                <w:szCs w:val="21"/>
              </w:rPr>
              <w:t>监管部门按规定对原始权益人发行资产支持证券需出具监管意见的，应提供监管部门的监管意见书，由出具单位加盖公章。</w:t>
            </w:r>
          </w:p>
        </w:tc>
      </w:tr>
      <w:tr w14:paraId="2D900E05">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A4CE">
            <w:pPr>
              <w:widowControl/>
              <w:jc w:val="center"/>
              <w:rPr>
                <w:rFonts w:ascii="Times New Roman" w:hAnsi="Times New Roman" w:eastAsia="仿宋_GB2312"/>
                <w:b/>
                <w:bCs/>
                <w:kern w:val="0"/>
                <w:szCs w:val="21"/>
              </w:rPr>
            </w:pPr>
            <w:r>
              <w:rPr>
                <w:rFonts w:ascii="Times New Roman" w:hAnsi="Times New Roman" w:eastAsia="仿宋_GB2312"/>
                <w:b/>
                <w:kern w:val="0"/>
                <w:szCs w:val="21"/>
              </w:rPr>
              <w:t>十七</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2C70">
            <w:pPr>
              <w:widowControl/>
              <w:jc w:val="left"/>
              <w:rPr>
                <w:rFonts w:ascii="Times New Roman" w:hAnsi="Times New Roman" w:eastAsia="仿宋_GB2312"/>
                <w:b/>
                <w:bCs/>
                <w:kern w:val="0"/>
                <w:szCs w:val="21"/>
              </w:rPr>
            </w:pPr>
            <w:r>
              <w:rPr>
                <w:rFonts w:ascii="Times New Roman" w:hAnsi="Times New Roman" w:eastAsia="仿宋_GB2312"/>
                <w:b/>
                <w:bCs/>
                <w:kern w:val="0"/>
                <w:szCs w:val="21"/>
              </w:rPr>
              <w:t>资产支持专项计划挂牌转让申请承诺履行事项登记表（如有）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9872">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计划管理人应当在提交申报材料时就其知晓或应当知晓的待履行事项填写本表。</w:t>
            </w:r>
          </w:p>
          <w:p w14:paraId="5D70FBB2">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封卷阶段，计划管理人应当向本所提交加盖计划管理人公章的《登记表》及相应承诺（如有）的盖章版扫描件。若不涉及承诺事项，应当在本表注明“无承诺事项”，并提交盖章版扫描件。</w:t>
            </w:r>
          </w:p>
          <w:p w14:paraId="5FDF8A7D">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登记事项完成后，计划管理人应当在履行发行前备案程序时向本所提交更新后的上述文件盖章版原件扫描件及证明材料。</w:t>
            </w:r>
          </w:p>
        </w:tc>
      </w:tr>
      <w:tr w14:paraId="028B6609">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3CF8">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十八</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C663">
            <w:pPr>
              <w:widowControl/>
              <w:jc w:val="left"/>
              <w:rPr>
                <w:rFonts w:ascii="Times New Roman" w:hAnsi="Times New Roman" w:eastAsia="仿宋_GB2312"/>
                <w:b/>
                <w:bCs/>
                <w:kern w:val="0"/>
                <w:szCs w:val="21"/>
              </w:rPr>
            </w:pPr>
            <w:r>
              <w:rPr>
                <w:rFonts w:ascii="Times New Roman" w:hAnsi="Times New Roman" w:eastAsia="仿宋_GB2312"/>
                <w:b/>
                <w:bCs/>
                <w:kern w:val="0"/>
                <w:szCs w:val="21"/>
              </w:rPr>
              <w:t>基础资产未被列入负面清单的专项说明</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1B77">
            <w:pPr>
              <w:ind w:firstLine="420"/>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w:t>
            </w:r>
          </w:p>
        </w:tc>
      </w:tr>
      <w:tr w14:paraId="2363F1FE">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53EC">
            <w:pPr>
              <w:widowControl/>
              <w:jc w:val="center"/>
              <w:rPr>
                <w:rFonts w:ascii="Times New Roman" w:hAnsi="Times New Roman" w:eastAsia="仿宋_GB2312"/>
                <w:b/>
                <w:kern w:val="0"/>
                <w:szCs w:val="21"/>
              </w:rPr>
            </w:pPr>
            <w:r>
              <w:rPr>
                <w:rFonts w:ascii="Times New Roman" w:hAnsi="Times New Roman" w:eastAsia="仿宋_GB2312"/>
                <w:b/>
                <w:kern w:val="0"/>
                <w:szCs w:val="21"/>
              </w:rPr>
              <w:t>十九</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EFE">
            <w:pPr>
              <w:widowControl/>
              <w:jc w:val="left"/>
              <w:rPr>
                <w:rFonts w:ascii="Times New Roman" w:hAnsi="Times New Roman" w:eastAsia="仿宋_GB2312"/>
                <w:b/>
                <w:bCs/>
                <w:kern w:val="0"/>
                <w:szCs w:val="21"/>
              </w:rPr>
            </w:pPr>
            <w:r>
              <w:rPr>
                <w:rFonts w:ascii="Times New Roman" w:hAnsi="Times New Roman" w:eastAsia="仿宋_GB2312"/>
                <w:b/>
                <w:bCs/>
                <w:kern w:val="0"/>
                <w:szCs w:val="21"/>
              </w:rPr>
              <w:t>多期申报差异说明（如有）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8FE7">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同一管理人就同一原始权益人的同类型基础资产发起资产支持证券挂牌转让申请的，应当在首次申请时提交加盖计划管理人公章的扫描件。</w:t>
            </w:r>
          </w:p>
        </w:tc>
      </w:tr>
      <w:tr w14:paraId="245358E7">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C47C">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二十</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546F">
            <w:pPr>
              <w:widowControl/>
              <w:jc w:val="left"/>
              <w:rPr>
                <w:rFonts w:ascii="Times New Roman" w:hAnsi="Times New Roman" w:eastAsia="仿宋_GB2312"/>
                <w:b/>
                <w:bCs/>
                <w:kern w:val="0"/>
                <w:szCs w:val="21"/>
              </w:rPr>
            </w:pPr>
            <w:r>
              <w:rPr>
                <w:rFonts w:ascii="Times New Roman" w:hAnsi="Times New Roman" w:eastAsia="仿宋_GB2312"/>
                <w:b/>
                <w:bCs/>
                <w:kern w:val="0"/>
                <w:szCs w:val="21"/>
              </w:rPr>
              <w:t>管理人关于申请文件不适用情况的说明（如有）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F52A">
            <w:pPr>
              <w:ind w:firstLine="420"/>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w:t>
            </w:r>
          </w:p>
        </w:tc>
      </w:tr>
      <w:tr w14:paraId="104C6AB0">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4C4C">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二十一</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57D5">
            <w:pPr>
              <w:widowControl/>
              <w:jc w:val="left"/>
              <w:rPr>
                <w:rFonts w:ascii="Times New Roman" w:hAnsi="Times New Roman" w:eastAsia="仿宋_GB2312"/>
                <w:b/>
                <w:bCs/>
                <w:kern w:val="0"/>
                <w:szCs w:val="21"/>
              </w:rPr>
            </w:pPr>
            <w:r>
              <w:rPr>
                <w:rFonts w:ascii="Times New Roman" w:hAnsi="Times New Roman" w:eastAsia="仿宋_GB2312"/>
                <w:b/>
                <w:bCs/>
                <w:kern w:val="0"/>
                <w:szCs w:val="21"/>
              </w:rPr>
              <w:t>信息披露豁免申请（如有）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E125">
            <w:pPr>
              <w:ind w:firstLine="420"/>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w:t>
            </w:r>
          </w:p>
        </w:tc>
      </w:tr>
      <w:tr w14:paraId="6030EC53">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0BBB">
            <w:pPr>
              <w:widowControl/>
              <w:jc w:val="center"/>
              <w:rPr>
                <w:rFonts w:ascii="Times New Roman" w:hAnsi="Times New Roman" w:eastAsia="仿宋_GB2312"/>
                <w:b/>
                <w:kern w:val="0"/>
                <w:szCs w:val="21"/>
              </w:rPr>
            </w:pPr>
            <w:r>
              <w:rPr>
                <w:rFonts w:ascii="Times New Roman" w:hAnsi="Times New Roman" w:eastAsia="仿宋_GB2312"/>
                <w:b/>
                <w:kern w:val="0"/>
                <w:szCs w:val="21"/>
              </w:rPr>
              <w:t>二十二</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EF4E">
            <w:pPr>
              <w:pStyle w:val="81"/>
              <w:tabs>
                <w:tab w:val="left" w:pos="0"/>
                <w:tab w:val="left" w:pos="846"/>
              </w:tabs>
              <w:snapToGrid w:val="0"/>
              <w:ind w:firstLine="0"/>
              <w:rPr>
                <w:rFonts w:ascii="Times New Roman" w:hAnsi="Times New Roman" w:eastAsia="仿宋_GB2312"/>
                <w:b/>
                <w:bCs/>
                <w:kern w:val="0"/>
                <w:szCs w:val="21"/>
              </w:rPr>
            </w:pPr>
            <w:r>
              <w:rPr>
                <w:rFonts w:ascii="Times New Roman" w:hAnsi="Times New Roman" w:eastAsia="仿宋_GB2312"/>
                <w:b/>
                <w:bCs/>
                <w:kern w:val="0"/>
                <w:szCs w:val="21"/>
              </w:rPr>
              <w:t>律师对报送的电子文件和预留原件的一致性出具鉴证意见</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CD7">
            <w:pPr>
              <w:widowControl/>
              <w:ind w:firstLine="420"/>
              <w:jc w:val="left"/>
              <w:rPr>
                <w:rFonts w:ascii="Times New Roman" w:hAnsi="Times New Roman" w:eastAsia="仿宋_GB2312"/>
                <w:kern w:val="0"/>
                <w:szCs w:val="21"/>
              </w:rPr>
            </w:pPr>
            <w:r>
              <w:rPr>
                <w:rFonts w:ascii="Times New Roman" w:hAnsi="Times New Roman" w:eastAsia="仿宋_GB2312"/>
                <w:kern w:val="0"/>
                <w:szCs w:val="21"/>
              </w:rPr>
              <w:t>申请文件的原始纸质文件中需要由申报律师鉴证的文件，申报律师应在该文件首页注明“以下第XX页至第XX页与原件一致”，并签名和签署鉴证日期，律师事务所应在该文件首页加盖公章，并在第XX页至第XX页侧面以公章加盖骑缝章。</w:t>
            </w:r>
          </w:p>
        </w:tc>
      </w:tr>
      <w:tr w14:paraId="05CE318D">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3A40">
            <w:pPr>
              <w:widowControl/>
              <w:jc w:val="center"/>
              <w:rPr>
                <w:rFonts w:ascii="Times New Roman" w:hAnsi="Times New Roman" w:eastAsia="仿宋_GB2312"/>
                <w:b/>
                <w:bCs/>
                <w:kern w:val="0"/>
                <w:szCs w:val="21"/>
              </w:rPr>
            </w:pPr>
            <w:r>
              <w:rPr>
                <w:rFonts w:ascii="Times New Roman" w:hAnsi="Times New Roman" w:eastAsia="仿宋_GB2312"/>
                <w:b/>
                <w:bCs/>
                <w:kern w:val="0"/>
                <w:szCs w:val="21"/>
              </w:rPr>
              <w:t>二十三</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A43">
            <w:pPr>
              <w:widowControl/>
              <w:jc w:val="left"/>
              <w:rPr>
                <w:rFonts w:ascii="Times New Roman" w:hAnsi="Times New Roman" w:eastAsia="仿宋_GB2312"/>
                <w:b/>
                <w:bCs/>
                <w:kern w:val="0"/>
                <w:szCs w:val="21"/>
              </w:rPr>
            </w:pPr>
            <w:r>
              <w:rPr>
                <w:rFonts w:ascii="Times New Roman" w:hAnsi="Times New Roman" w:eastAsia="仿宋_GB2312"/>
                <w:b/>
                <w:bCs/>
                <w:kern w:val="0"/>
                <w:szCs w:val="21"/>
              </w:rPr>
              <w:t>廉洁从业承诺函</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6BD1">
            <w:pPr>
              <w:ind w:firstLine="420"/>
              <w:rPr>
                <w:rFonts w:ascii="Times New Roman" w:hAnsi="Times New Roman" w:eastAsia="仿宋_GB2312"/>
                <w:kern w:val="0"/>
                <w:szCs w:val="21"/>
              </w:rPr>
            </w:pPr>
            <w:r>
              <w:rPr>
                <w:rFonts w:ascii="Times New Roman" w:hAnsi="Times New Roman" w:eastAsia="仿宋_GB2312"/>
                <w:kern w:val="0"/>
                <w:szCs w:val="21"/>
              </w:rPr>
              <w:t>首次申请时及封卷阶段应提交盖章版扫描件。</w:t>
            </w:r>
          </w:p>
        </w:tc>
      </w:tr>
      <w:tr w14:paraId="1CE4D4E8">
        <w:tblPrEx>
          <w:tblCellMar>
            <w:top w:w="0" w:type="dxa"/>
            <w:left w:w="108" w:type="dxa"/>
            <w:bottom w:w="0" w:type="dxa"/>
            <w:right w:w="108" w:type="dxa"/>
          </w:tblCellMar>
        </w:tblPrEx>
        <w:trPr>
          <w:trHeight w:val="454" w:hRule="atLeast"/>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8D54">
            <w:pPr>
              <w:widowControl/>
              <w:jc w:val="center"/>
              <w:rPr>
                <w:rFonts w:ascii="Times New Roman" w:hAnsi="Times New Roman" w:eastAsia="仿宋_GB2312"/>
                <w:b/>
                <w:kern w:val="0"/>
                <w:szCs w:val="21"/>
              </w:rPr>
            </w:pPr>
            <w:r>
              <w:rPr>
                <w:rFonts w:ascii="Times New Roman" w:hAnsi="Times New Roman" w:eastAsia="仿宋_GB2312"/>
                <w:b/>
                <w:kern w:val="0"/>
                <w:szCs w:val="21"/>
              </w:rPr>
              <w:t>二十四</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221">
            <w:pPr>
              <w:pStyle w:val="81"/>
              <w:tabs>
                <w:tab w:val="left" w:pos="0"/>
                <w:tab w:val="left" w:pos="846"/>
              </w:tabs>
              <w:snapToGrid w:val="0"/>
              <w:ind w:firstLine="0"/>
              <w:rPr>
                <w:rFonts w:ascii="Times New Roman" w:hAnsi="Times New Roman" w:eastAsia="仿宋_GB2312"/>
                <w:b/>
                <w:bCs/>
                <w:kern w:val="0"/>
                <w:szCs w:val="21"/>
              </w:rPr>
            </w:pPr>
            <w:r>
              <w:rPr>
                <w:rFonts w:ascii="Times New Roman" w:hAnsi="Times New Roman" w:eastAsia="仿宋_GB2312"/>
                <w:b/>
                <w:bCs/>
                <w:kern w:val="0"/>
                <w:szCs w:val="21"/>
              </w:rPr>
              <w:t>本所要求的其他文件（如有）</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2687">
            <w:pPr>
              <w:keepNext/>
              <w:keepLines/>
              <w:widowControl/>
              <w:numPr>
                <w:ilvl w:val="0"/>
                <w:numId w:val="0"/>
              </w:numPr>
              <w:spacing w:before="260" w:after="260" w:line="418" w:lineRule="auto"/>
              <w:jc w:val="left"/>
              <w:outlineLvl w:val="2"/>
              <w:rPr>
                <w:rFonts w:ascii="Times New Roman" w:hAnsi="Times New Roman" w:eastAsia="仿宋_GB2312"/>
                <w:kern w:val="0"/>
                <w:szCs w:val="21"/>
              </w:rPr>
            </w:pPr>
          </w:p>
        </w:tc>
      </w:tr>
    </w:tbl>
    <w:p w14:paraId="06215206">
      <w:pPr>
        <w:spacing w:before="120" w:after="120" w:line="400" w:lineRule="exact"/>
        <w:ind w:firstLine="420"/>
        <w:rPr>
          <w:rFonts w:ascii="Times New Roman" w:hAnsi="Times New Roman" w:eastAsia="仿宋_GB2312"/>
          <w:kern w:val="0"/>
          <w:szCs w:val="21"/>
        </w:rPr>
      </w:pPr>
      <w:r>
        <w:rPr>
          <w:rFonts w:ascii="Times New Roman" w:hAnsi="Times New Roman" w:eastAsia="仿宋_GB2312"/>
          <w:kern w:val="0"/>
          <w:szCs w:val="21"/>
        </w:rPr>
        <w:t>附注：</w:t>
      </w:r>
    </w:p>
    <w:p w14:paraId="111D8007">
      <w:pPr>
        <w:spacing w:before="120" w:after="120" w:line="400" w:lineRule="exact"/>
        <w:ind w:firstLine="420"/>
        <w:rPr>
          <w:rFonts w:ascii="Times New Roman" w:hAnsi="Times New Roman" w:eastAsia="仿宋_GB2312"/>
          <w:kern w:val="0"/>
          <w:szCs w:val="21"/>
        </w:rPr>
      </w:pPr>
      <w:r>
        <w:rPr>
          <w:rFonts w:ascii="Times New Roman" w:hAnsi="Times New Roman" w:eastAsia="仿宋_GB2312"/>
          <w:kern w:val="0"/>
          <w:szCs w:val="21"/>
        </w:rPr>
        <w:t>1.计划管理人应当根据《资产支持专项计划说明书内容与格式指引（试行）》《证券公司及基金管理公司子公司资产证券化业务尽职调查工作指引》《证券公司及基金管理公司子公司资产证券化业务信息披露指引》等相关规定对计划说明书、尽调报告等申请文件内容的完备性进行核对。</w:t>
      </w:r>
    </w:p>
    <w:p w14:paraId="46AEF220">
      <w:pPr>
        <w:spacing w:before="120" w:after="120" w:line="400" w:lineRule="exact"/>
        <w:ind w:firstLine="420"/>
        <w:rPr>
          <w:rFonts w:ascii="Times New Roman" w:hAnsi="Times New Roman" w:eastAsia="仿宋_GB2312"/>
          <w:kern w:val="0"/>
          <w:szCs w:val="21"/>
        </w:rPr>
      </w:pPr>
      <w:r>
        <w:rPr>
          <w:rFonts w:ascii="Times New Roman" w:hAnsi="Times New Roman" w:eastAsia="仿宋_GB2312"/>
          <w:kern w:val="0"/>
          <w:szCs w:val="21"/>
        </w:rPr>
        <w:t>2.基础资产为信托贷款、委托贷款等基于底层基础资产现金流作为偿债资金来源的（双SPV交易结构），需参照特定原始权益人相关要求提交实际融资人相关财务报表等信息。</w:t>
      </w:r>
    </w:p>
    <w:p w14:paraId="6DF6F4A1">
      <w:pPr>
        <w:spacing w:before="120" w:after="120" w:line="400" w:lineRule="exact"/>
        <w:ind w:firstLine="420"/>
        <w:rPr>
          <w:rFonts w:ascii="Times New Roman" w:hAnsi="Times New Roman" w:eastAsia="仿宋_GB2312"/>
          <w:kern w:val="0"/>
          <w:szCs w:val="21"/>
        </w:rPr>
      </w:pPr>
      <w:r>
        <w:rPr>
          <w:rFonts w:ascii="Times New Roman" w:hAnsi="Times New Roman" w:eastAsia="仿宋_GB2312"/>
          <w:kern w:val="0"/>
          <w:szCs w:val="21"/>
        </w:rPr>
        <w:t>3.按照要求可在封卷阶段提交盖章版扫描件的文件，计划管理人应当在首次申请时提交拟签署的文本。</w:t>
      </w:r>
    </w:p>
    <w:p w14:paraId="7E49D98F">
      <w:pPr>
        <w:spacing w:before="120" w:after="120" w:line="400" w:lineRule="exact"/>
        <w:ind w:firstLine="420"/>
        <w:rPr>
          <w:rFonts w:ascii="Times New Roman" w:hAnsi="Times New Roman" w:eastAsia="仿宋_GB2312"/>
          <w:kern w:val="0"/>
          <w:szCs w:val="21"/>
        </w:rPr>
      </w:pPr>
      <w:r>
        <w:rPr>
          <w:rFonts w:ascii="Times New Roman" w:hAnsi="Times New Roman" w:eastAsia="仿宋_GB2312"/>
          <w:kern w:val="0"/>
          <w:szCs w:val="21"/>
        </w:rPr>
        <w:t>4.通过电子形式提交的申请文件，签章页原则上应为原件的彩色电子扫描件。电子申请文件的原始纸质文件原则上均应当为原件。原始权益人或计划管理人不能提供原件的，应由申报律师提供鉴证意见，或由出文单位盖章，以保证与原件一致。如原出文单位不再存续，由承继其职权的单位或作出撤销决定的单位出文证明文件的真实性。</w:t>
      </w:r>
    </w:p>
    <w:p w14:paraId="69397666">
      <w:pPr>
        <w:pStyle w:val="2"/>
        <w:spacing w:line="400" w:lineRule="exact"/>
        <w:rPr>
          <w:rFonts w:ascii="Times New Roman" w:hAnsi="Times New Roman" w:eastAsia="仿宋_GB2312"/>
          <w:kern w:val="0"/>
          <w:szCs w:val="21"/>
        </w:rPr>
      </w:pPr>
      <w:r>
        <w:rPr>
          <w:rFonts w:ascii="Times New Roman" w:hAnsi="Times New Roman" w:eastAsia="仿宋_GB2312"/>
          <w:kern w:val="0"/>
          <w:szCs w:val="21"/>
        </w:rPr>
        <w:t>5.申请文件中的公章，可为传统印章或符合条件的电子印章。若使用电子印章，需符合《电子签名法》等有关规定。</w:t>
      </w:r>
    </w:p>
    <w:p w14:paraId="26682750">
      <w:pPr>
        <w:pStyle w:val="2"/>
        <w:spacing w:line="400" w:lineRule="exact"/>
        <w:rPr>
          <w:rFonts w:ascii="Times New Roman" w:hAnsi="Times New Roman"/>
        </w:rPr>
      </w:pPr>
    </w:p>
    <w:p w14:paraId="1AEA9558">
      <w:pPr>
        <w:widowControl/>
        <w:jc w:val="left"/>
        <w:rPr>
          <w:rStyle w:val="38"/>
          <w:rFonts w:ascii="Times New Roman" w:hAnsi="Times New Roman" w:eastAsia="仿宋_GB2312"/>
          <w:b/>
          <w:bCs/>
          <w:i w:val="0"/>
          <w:kern w:val="2"/>
          <w:sz w:val="32"/>
          <w:szCs w:val="44"/>
        </w:rPr>
      </w:pPr>
      <w:r>
        <w:br w:type="page"/>
      </w:r>
    </w:p>
    <w:p w14:paraId="1B1CF264">
      <w:pPr>
        <w:pStyle w:val="4"/>
        <w:spacing w:before="0" w:after="330"/>
        <w:jc w:val="left"/>
        <w:rPr>
          <w:rStyle w:val="38"/>
          <w:rFonts w:ascii="Times New Roman" w:hAnsi="Times New Roman"/>
          <w:i w:val="0"/>
          <w:sz w:val="32"/>
          <w:shd w:val="clear" w:fill="auto"/>
        </w:rPr>
      </w:pPr>
      <w:bookmarkStart w:id="49" w:name="_Toc118891188"/>
      <w:r>
        <w:rPr>
          <w:rStyle w:val="38"/>
          <w:rFonts w:ascii="Times New Roman" w:hAnsi="Times New Roman"/>
          <w:i w:val="0"/>
          <w:sz w:val="32"/>
          <w:shd w:val="clear" w:fill="auto"/>
        </w:rPr>
        <w:t>附件2：资产支持证券挂牌转让申请书</w:t>
      </w:r>
      <w:bookmarkEnd w:id="49"/>
    </w:p>
    <w:p w14:paraId="5DA3C51D">
      <w:pPr>
        <w:spacing w:line="360" w:lineRule="auto"/>
        <w:jc w:val="center"/>
        <w:rPr>
          <w:rFonts w:ascii="Times New Roman" w:hAnsi="Times New Roman" w:eastAsia="黑体"/>
          <w:b/>
          <w:sz w:val="32"/>
          <w:szCs w:val="32"/>
        </w:rPr>
      </w:pPr>
      <w:r>
        <w:rPr>
          <w:rFonts w:ascii="Times New Roman" w:hAnsi="Times New Roman" w:eastAsia="黑体"/>
          <w:b/>
          <w:kern w:val="0"/>
          <w:sz w:val="32"/>
          <w:szCs w:val="32"/>
        </w:rPr>
        <w:t>XX资产支持专项计划资产支持证券挂牌转让申请书</w:t>
      </w:r>
    </w:p>
    <w:p w14:paraId="0F8C2D2B">
      <w:pPr>
        <w:spacing w:line="360" w:lineRule="auto"/>
        <w:rPr>
          <w:rFonts w:ascii="Times New Roman" w:hAnsi="Times New Roman" w:eastAsia="仿宋_GB2312"/>
          <w:sz w:val="30"/>
          <w:szCs w:val="30"/>
        </w:rPr>
      </w:pPr>
    </w:p>
    <w:p w14:paraId="39ADC977">
      <w:pPr>
        <w:spacing w:line="360" w:lineRule="auto"/>
        <w:rPr>
          <w:rFonts w:ascii="Times New Roman" w:hAnsi="Times New Roman" w:eastAsia="仿宋_GB2312"/>
          <w:kern w:val="0"/>
          <w:sz w:val="30"/>
          <w:szCs w:val="30"/>
        </w:rPr>
      </w:pPr>
      <w:r>
        <w:rPr>
          <w:rFonts w:ascii="Times New Roman" w:hAnsi="Times New Roman" w:eastAsia="仿宋_GB2312"/>
          <w:kern w:val="0"/>
          <w:sz w:val="30"/>
          <w:szCs w:val="30"/>
        </w:rPr>
        <w:t>上海证券交易所：</w:t>
      </w:r>
    </w:p>
    <w:p w14:paraId="5D29A634">
      <w:pPr>
        <w:spacing w:line="360" w:lineRule="auto"/>
        <w:ind w:firstLine="600"/>
        <w:rPr>
          <w:rFonts w:ascii="Times New Roman" w:hAnsi="Times New Roman" w:eastAsia="仿宋_GB2312"/>
          <w:kern w:val="0"/>
          <w:sz w:val="30"/>
          <w:szCs w:val="30"/>
        </w:rPr>
      </w:pPr>
      <w:r>
        <w:rPr>
          <w:rFonts w:ascii="Times New Roman" w:hAnsi="Times New Roman" w:eastAsia="仿宋_GB2312"/>
          <w:bCs/>
          <w:color w:val="000000"/>
          <w:sz w:val="30"/>
          <w:szCs w:val="30"/>
        </w:rPr>
        <w:t>XX</w:t>
      </w:r>
      <w:r>
        <w:rPr>
          <w:rFonts w:ascii="Times New Roman" w:hAnsi="Times New Roman" w:eastAsia="仿宋_GB2312"/>
          <w:kern w:val="0"/>
          <w:sz w:val="30"/>
          <w:szCs w:val="30"/>
        </w:rPr>
        <w:t>公司拟通过设立资产支持专项计划，发售</w:t>
      </w:r>
      <w:r>
        <w:rPr>
          <w:rFonts w:ascii="Times New Roman" w:hAnsi="Times New Roman" w:eastAsia="仿宋_GB2312"/>
          <w:bCs/>
          <w:color w:val="000000"/>
          <w:sz w:val="30"/>
          <w:szCs w:val="30"/>
        </w:rPr>
        <w:t>XX</w:t>
      </w:r>
      <w:r>
        <w:rPr>
          <w:rFonts w:ascii="Times New Roman" w:hAnsi="Times New Roman" w:eastAsia="仿宋_GB2312"/>
          <w:kern w:val="0"/>
          <w:sz w:val="30"/>
          <w:szCs w:val="30"/>
        </w:rPr>
        <w:t>资产支持证券并申请在你所挂牌转让。</w:t>
      </w:r>
    </w:p>
    <w:p w14:paraId="2B7BFF71">
      <w:pPr>
        <w:spacing w:line="360" w:lineRule="auto"/>
        <w:ind w:firstLine="600"/>
        <w:rPr>
          <w:rFonts w:ascii="Times New Roman" w:hAnsi="Times New Roman" w:eastAsia="仿宋_GB2312"/>
          <w:kern w:val="0"/>
          <w:sz w:val="30"/>
          <w:szCs w:val="30"/>
        </w:rPr>
      </w:pPr>
      <w:r>
        <w:rPr>
          <w:rFonts w:ascii="Times New Roman" w:hAnsi="Times New Roman" w:eastAsia="仿宋_GB2312"/>
          <w:bCs/>
          <w:color w:val="000000"/>
          <w:sz w:val="30"/>
          <w:szCs w:val="30"/>
        </w:rPr>
        <w:t>XX</w:t>
      </w:r>
      <w:r>
        <w:rPr>
          <w:rFonts w:ascii="Times New Roman" w:hAnsi="Times New Roman" w:eastAsia="仿宋_GB2312"/>
          <w:kern w:val="0"/>
          <w:sz w:val="30"/>
          <w:szCs w:val="30"/>
        </w:rPr>
        <w:t>公司承诺，本转让申请书所列明的信息及向你所提交的挂牌转让申请材料真实、准确、完整，本资产支持证券的业务参与人具有相关业务资质，符合《证券公司及基金管理公司子公司资产证券化业务管理规定》等相关规定，并愿就此承担相应法律责任。本转让申请书所附《</w:t>
      </w:r>
      <w:r>
        <w:rPr>
          <w:rFonts w:ascii="Times New Roman" w:hAnsi="Times New Roman" w:eastAsia="仿宋_GB2312"/>
          <w:bCs/>
          <w:color w:val="000000"/>
          <w:sz w:val="30"/>
          <w:szCs w:val="30"/>
        </w:rPr>
        <w:t>XXX资产支持证券挂牌转让申请报告》</w:t>
      </w:r>
      <w:r>
        <w:rPr>
          <w:rFonts w:ascii="Times New Roman" w:hAnsi="Times New Roman" w:eastAsia="仿宋_GB2312"/>
          <w:kern w:val="0"/>
          <w:sz w:val="30"/>
          <w:szCs w:val="30"/>
        </w:rPr>
        <w:t>列示的内容均已包括在计划说明书相关章节，并且与申报文件涉及的内容保持一致。</w:t>
      </w:r>
    </w:p>
    <w:p w14:paraId="3EA6A6D1">
      <w:pPr>
        <w:spacing w:line="360" w:lineRule="auto"/>
        <w:ind w:firstLine="600"/>
        <w:rPr>
          <w:rFonts w:ascii="Times New Roman" w:hAnsi="Times New Roman" w:eastAsia="仿宋_GB2312"/>
          <w:kern w:val="0"/>
          <w:sz w:val="30"/>
          <w:szCs w:val="30"/>
        </w:rPr>
      </w:pPr>
      <w:r>
        <w:rPr>
          <w:rFonts w:ascii="Times New Roman" w:hAnsi="Times New Roman" w:eastAsia="仿宋_GB2312"/>
          <w:kern w:val="0"/>
          <w:sz w:val="30"/>
          <w:szCs w:val="30"/>
        </w:rPr>
        <w:t>现特就</w:t>
      </w:r>
      <w:r>
        <w:rPr>
          <w:rFonts w:ascii="Times New Roman" w:hAnsi="Times New Roman" w:eastAsia="仿宋_GB2312"/>
          <w:bCs/>
          <w:color w:val="000000"/>
          <w:sz w:val="30"/>
          <w:szCs w:val="30"/>
        </w:rPr>
        <w:t>XX</w:t>
      </w:r>
      <w:r>
        <w:rPr>
          <w:rFonts w:ascii="Times New Roman" w:hAnsi="Times New Roman" w:eastAsia="仿宋_GB2312"/>
          <w:kern w:val="0"/>
          <w:sz w:val="30"/>
          <w:szCs w:val="30"/>
        </w:rPr>
        <w:t>资产支持证券向你所提交挂牌转让申请材料，请予接受。</w:t>
      </w:r>
    </w:p>
    <w:p w14:paraId="3A20E25A">
      <w:pPr>
        <w:spacing w:line="360" w:lineRule="auto"/>
        <w:ind w:firstLine="600"/>
        <w:rPr>
          <w:rFonts w:ascii="Times New Roman" w:hAnsi="Times New Roman" w:eastAsia="仿宋_GB2312"/>
          <w:kern w:val="0"/>
          <w:sz w:val="30"/>
          <w:szCs w:val="30"/>
        </w:rPr>
      </w:pPr>
      <w:r>
        <w:rPr>
          <w:rFonts w:ascii="Times New Roman" w:hAnsi="Times New Roman" w:eastAsia="仿宋_GB2312"/>
          <w:kern w:val="0"/>
          <w:sz w:val="30"/>
          <w:szCs w:val="30"/>
        </w:rPr>
        <w:t>附件：《</w:t>
      </w:r>
      <w:r>
        <w:rPr>
          <w:rFonts w:ascii="Times New Roman" w:hAnsi="Times New Roman" w:eastAsia="仿宋_GB2312"/>
          <w:bCs/>
          <w:color w:val="000000"/>
          <w:sz w:val="30"/>
          <w:szCs w:val="30"/>
        </w:rPr>
        <w:t>XXX资产支持证券挂牌转让申请报告》</w:t>
      </w:r>
    </w:p>
    <w:p w14:paraId="43D24143">
      <w:pPr>
        <w:spacing w:before="0" w:after="120" w:line="360" w:lineRule="auto"/>
        <w:jc w:val="left"/>
        <w:rPr>
          <w:rFonts w:ascii="Times New Roman" w:hAnsi="Times New Roman" w:eastAsia="仿宋_GB2312"/>
          <w:kern w:val="0"/>
          <w:sz w:val="30"/>
          <w:szCs w:val="30"/>
        </w:rPr>
      </w:pPr>
    </w:p>
    <w:p w14:paraId="7999ACE6">
      <w:pPr>
        <w:spacing w:before="0" w:after="120" w:line="360" w:lineRule="auto"/>
        <w:jc w:val="right"/>
        <w:rPr>
          <w:rFonts w:ascii="Times New Roman" w:hAnsi="Times New Roman" w:eastAsia="仿宋_GB2312"/>
          <w:sz w:val="30"/>
          <w:szCs w:val="30"/>
        </w:rPr>
      </w:pPr>
      <w:r>
        <w:rPr>
          <w:rFonts w:ascii="Times New Roman" w:hAnsi="Times New Roman" w:eastAsia="仿宋_GB2312"/>
          <w:kern w:val="0"/>
          <w:sz w:val="30"/>
          <w:szCs w:val="30"/>
        </w:rPr>
        <w:t>【计划管理人名称】</w:t>
      </w:r>
      <w:r>
        <w:rPr>
          <w:rFonts w:ascii="Times New Roman" w:hAnsi="Times New Roman" w:eastAsia="仿宋_GB2312"/>
          <w:sz w:val="30"/>
          <w:szCs w:val="30"/>
        </w:rPr>
        <w:t>（盖章）</w:t>
      </w:r>
    </w:p>
    <w:p w14:paraId="374995DC">
      <w:pPr>
        <w:spacing w:before="0" w:after="120" w:line="360" w:lineRule="auto"/>
        <w:jc w:val="right"/>
        <w:rPr>
          <w:rFonts w:ascii="Times New Roman" w:hAnsi="Times New Roman" w:eastAsia="黑体"/>
          <w:b/>
          <w:bCs/>
          <w:color w:val="0D0D0D"/>
          <w:kern w:val="0"/>
          <w:sz w:val="24"/>
        </w:rPr>
      </w:pPr>
      <w:r>
        <w:rPr>
          <w:rFonts w:ascii="Times New Roman" w:hAnsi="Times New Roman" w:eastAsia="仿宋_GB2312"/>
          <w:bCs/>
          <w:color w:val="000000"/>
          <w:sz w:val="30"/>
          <w:szCs w:val="30"/>
        </w:rPr>
        <w:t>XX</w:t>
      </w:r>
      <w:r>
        <w:rPr>
          <w:rFonts w:ascii="Times New Roman" w:hAnsi="Times New Roman" w:eastAsia="仿宋_GB2312"/>
          <w:sz w:val="30"/>
          <w:szCs w:val="30"/>
        </w:rPr>
        <w:t>年</w:t>
      </w:r>
      <w:r>
        <w:rPr>
          <w:rFonts w:ascii="Times New Roman" w:hAnsi="Times New Roman" w:eastAsia="仿宋_GB2312"/>
          <w:bCs/>
          <w:color w:val="000000"/>
          <w:sz w:val="30"/>
          <w:szCs w:val="30"/>
        </w:rPr>
        <w:t>XX</w:t>
      </w:r>
      <w:r>
        <w:rPr>
          <w:rFonts w:ascii="Times New Roman" w:hAnsi="Times New Roman" w:eastAsia="仿宋_GB2312"/>
          <w:sz w:val="30"/>
          <w:szCs w:val="30"/>
        </w:rPr>
        <w:t>月</w:t>
      </w:r>
      <w:r>
        <w:rPr>
          <w:rFonts w:ascii="Times New Roman" w:hAnsi="Times New Roman" w:eastAsia="仿宋_GB2312"/>
          <w:bCs/>
          <w:color w:val="000000"/>
          <w:sz w:val="30"/>
          <w:szCs w:val="30"/>
        </w:rPr>
        <w:t>XX</w:t>
      </w:r>
      <w:r>
        <w:rPr>
          <w:rFonts w:ascii="Times New Roman" w:hAnsi="Times New Roman" w:eastAsia="仿宋_GB2312"/>
          <w:sz w:val="30"/>
          <w:szCs w:val="30"/>
        </w:rPr>
        <w:t>日</w:t>
      </w:r>
    </w:p>
    <w:p w14:paraId="26D04965">
      <w:pPr>
        <w:widowControl/>
        <w:jc w:val="left"/>
        <w:rPr>
          <w:rFonts w:ascii="Times New Roman" w:hAnsi="Times New Roman" w:eastAsia="黑体"/>
          <w:b/>
          <w:sz w:val="36"/>
          <w:szCs w:val="36"/>
        </w:rPr>
      </w:pPr>
      <w:r>
        <w:br w:type="page"/>
      </w:r>
    </w:p>
    <w:p w14:paraId="57E73C88">
      <w:pPr>
        <w:spacing w:before="0" w:after="0"/>
        <w:jc w:val="center"/>
        <w:rPr>
          <w:rFonts w:ascii="Times New Roman" w:hAnsi="Times New Roman" w:eastAsia="黑体"/>
          <w:b/>
          <w:sz w:val="36"/>
          <w:szCs w:val="36"/>
        </w:rPr>
      </w:pPr>
      <w:r>
        <w:rPr>
          <w:rFonts w:ascii="Times New Roman" w:hAnsi="Times New Roman" w:eastAsia="黑体"/>
          <w:b/>
          <w:sz w:val="36"/>
          <w:szCs w:val="36"/>
        </w:rPr>
        <w:t>XX资产支持专项计划资产支持证券</w:t>
      </w:r>
    </w:p>
    <w:p w14:paraId="67809046">
      <w:pPr>
        <w:jc w:val="center"/>
        <w:rPr>
          <w:rFonts w:ascii="Times New Roman" w:hAnsi="Times New Roman" w:eastAsia="黑体"/>
          <w:b/>
          <w:sz w:val="36"/>
          <w:szCs w:val="36"/>
        </w:rPr>
      </w:pPr>
      <w:r>
        <w:rPr>
          <w:rFonts w:ascii="Times New Roman" w:hAnsi="Times New Roman" w:eastAsia="黑体"/>
          <w:b/>
          <w:sz w:val="36"/>
          <w:szCs w:val="36"/>
        </w:rPr>
        <w:t>挂牌转让申请报告</w:t>
      </w:r>
    </w:p>
    <w:p w14:paraId="22D43BF2">
      <w:pPr>
        <w:snapToGrid w:val="0"/>
        <w:spacing w:line="480" w:lineRule="auto"/>
        <w:jc w:val="center"/>
        <w:rPr>
          <w:rFonts w:ascii="Times New Roman" w:hAnsi="Times New Roman" w:eastAsia="仿宋_GB2312"/>
          <w:sz w:val="24"/>
          <w:szCs w:val="30"/>
        </w:rPr>
      </w:pPr>
    </w:p>
    <w:p w14:paraId="02A73478">
      <w:pPr>
        <w:snapToGrid w:val="0"/>
        <w:spacing w:line="360" w:lineRule="auto"/>
        <w:jc w:val="left"/>
        <w:rPr>
          <w:rFonts w:ascii="Times New Roman" w:hAnsi="Times New Roman" w:eastAsia="黑体"/>
          <w:b/>
          <w:kern w:val="0"/>
          <w:sz w:val="30"/>
          <w:szCs w:val="30"/>
        </w:rPr>
      </w:pPr>
    </w:p>
    <w:p w14:paraId="0029D5D5">
      <w:pPr>
        <w:snapToGrid w:val="0"/>
        <w:spacing w:line="360" w:lineRule="auto"/>
        <w:jc w:val="left"/>
        <w:rPr>
          <w:rFonts w:ascii="Times New Roman" w:hAnsi="Times New Roman" w:eastAsia="黑体"/>
          <w:b/>
          <w:kern w:val="0"/>
          <w:sz w:val="30"/>
          <w:szCs w:val="30"/>
        </w:rPr>
      </w:pPr>
      <w:r>
        <w:rPr>
          <w:rFonts w:ascii="Times New Roman" w:hAnsi="Times New Roman" w:eastAsia="黑体"/>
          <w:b/>
          <w:kern w:val="0"/>
          <w:sz w:val="30"/>
          <w:szCs w:val="30"/>
        </w:rPr>
        <w:t>填报说明：</w:t>
      </w:r>
    </w:p>
    <w:p w14:paraId="0529002A">
      <w:pPr>
        <w:numPr>
          <w:ilvl w:val="0"/>
          <w:numId w:val="0"/>
        </w:numPr>
        <w:tabs>
          <w:tab w:val="left" w:pos="756"/>
        </w:tabs>
        <w:spacing w:line="360" w:lineRule="auto"/>
        <w:ind w:left="420" w:leftChars="0" w:hanging="420" w:firstLineChars="0"/>
        <w:textAlignment w:val="baseline"/>
        <w:rPr>
          <w:rFonts w:ascii="Times New Roman" w:hAnsi="Times New Roman" w:eastAsia="仿宋_GB2312"/>
          <w:kern w:val="0"/>
          <w:sz w:val="30"/>
          <w:szCs w:val="30"/>
        </w:rPr>
      </w:pPr>
      <w:r>
        <w:rPr>
          <w:rFonts w:ascii="Times New Roman" w:hAnsi="Times New Roman" w:eastAsia="仿宋_GB2312" w:cs="Times New Roman"/>
          <w:color w:val="auto"/>
          <w:kern w:val="0"/>
          <w:sz w:val="30"/>
          <w:szCs w:val="30"/>
          <w:lang w:val="en-US" w:eastAsia="zh-CN" w:bidi="ar-SA"/>
        </w:rPr>
        <w:t>1.</w:t>
      </w:r>
      <w:r>
        <w:rPr>
          <w:rFonts w:ascii="Times New Roman" w:hAnsi="Times New Roman" w:eastAsia="仿宋_GB2312"/>
          <w:kern w:val="0"/>
          <w:sz w:val="30"/>
          <w:szCs w:val="30"/>
        </w:rPr>
        <w:t>请仔细阅读报告脚注，认真填写本申请报告，报告填写质量和完备性将计入申报材料质量考核，纳入中介机构执业质量评价体系；</w:t>
      </w:r>
    </w:p>
    <w:p w14:paraId="3F23D9D6">
      <w:pPr>
        <w:numPr>
          <w:ilvl w:val="0"/>
          <w:numId w:val="0"/>
        </w:numPr>
        <w:tabs>
          <w:tab w:val="left" w:pos="756"/>
        </w:tabs>
        <w:spacing w:line="360" w:lineRule="auto"/>
        <w:ind w:left="420" w:leftChars="0" w:hanging="420" w:firstLineChars="0"/>
        <w:textAlignment w:val="baseline"/>
        <w:rPr>
          <w:rFonts w:ascii="Times New Roman" w:hAnsi="Times New Roman" w:eastAsia="仿宋_GB2312"/>
          <w:kern w:val="0"/>
          <w:sz w:val="30"/>
          <w:szCs w:val="30"/>
        </w:rPr>
      </w:pPr>
      <w:r>
        <w:rPr>
          <w:rFonts w:ascii="Times New Roman" w:hAnsi="Times New Roman" w:eastAsia="仿宋_GB2312" w:cs="Times New Roman"/>
          <w:color w:val="auto"/>
          <w:kern w:val="0"/>
          <w:sz w:val="30"/>
          <w:szCs w:val="30"/>
          <w:lang w:val="en-US" w:eastAsia="zh-CN" w:bidi="ar-SA"/>
        </w:rPr>
        <w:t>2.</w:t>
      </w:r>
      <w:r>
        <w:rPr>
          <w:rFonts w:ascii="Times New Roman" w:hAnsi="Times New Roman" w:eastAsia="仿宋_GB2312"/>
          <w:kern w:val="0"/>
          <w:sz w:val="30"/>
          <w:szCs w:val="30"/>
        </w:rPr>
        <w:t>本报告内容表述须言简意赅，控制字数（每段话不超过200字）。本报告所列表格，可根据需要添删行数，可以删除不适用的表格，并注明理由；</w:t>
      </w:r>
    </w:p>
    <w:p w14:paraId="575346BA">
      <w:pPr>
        <w:numPr>
          <w:ilvl w:val="0"/>
          <w:numId w:val="0"/>
        </w:numPr>
        <w:tabs>
          <w:tab w:val="left" w:pos="756"/>
        </w:tabs>
        <w:spacing w:line="360" w:lineRule="auto"/>
        <w:ind w:left="420" w:leftChars="0" w:hanging="420" w:firstLineChars="0"/>
        <w:textAlignment w:val="baseline"/>
        <w:rPr>
          <w:rFonts w:ascii="Times New Roman" w:hAnsi="Times New Roman" w:eastAsia="仿宋_GB2312"/>
          <w:kern w:val="0"/>
          <w:sz w:val="30"/>
          <w:szCs w:val="30"/>
        </w:rPr>
      </w:pPr>
      <w:r>
        <w:rPr>
          <w:rFonts w:ascii="Times New Roman" w:hAnsi="Times New Roman" w:eastAsia="仿宋_GB2312" w:cs="Times New Roman"/>
          <w:color w:val="auto"/>
          <w:kern w:val="0"/>
          <w:sz w:val="30"/>
          <w:szCs w:val="30"/>
          <w:lang w:val="en-US" w:eastAsia="zh-CN" w:bidi="ar-SA"/>
        </w:rPr>
        <w:t>3.</w:t>
      </w:r>
      <w:r>
        <w:rPr>
          <w:rFonts w:ascii="Times New Roman" w:hAnsi="Times New Roman" w:eastAsia="仿宋_GB2312"/>
          <w:kern w:val="0"/>
          <w:sz w:val="30"/>
          <w:szCs w:val="30"/>
        </w:rPr>
        <w:t>单元格内请填写数字，保留两位小数，请勿填写单位；单元格若需填写“其他”，请在该单元格填写具体内容；单元格若不适用的，请填写“不适用”，并注明理由；请勿出现空白单元格；</w:t>
      </w:r>
    </w:p>
    <w:p w14:paraId="0AB79614">
      <w:pPr>
        <w:numPr>
          <w:ilvl w:val="0"/>
          <w:numId w:val="0"/>
        </w:numPr>
        <w:tabs>
          <w:tab w:val="left" w:pos="756"/>
        </w:tabs>
        <w:spacing w:line="360" w:lineRule="auto"/>
        <w:ind w:left="420" w:leftChars="0" w:hanging="420" w:firstLineChars="0"/>
        <w:textAlignment w:val="baseline"/>
        <w:rPr>
          <w:rFonts w:ascii="Times New Roman" w:hAnsi="Times New Roman" w:eastAsia="仿宋_GB2312"/>
          <w:kern w:val="0"/>
          <w:sz w:val="30"/>
          <w:szCs w:val="30"/>
        </w:rPr>
      </w:pPr>
      <w:r>
        <w:rPr>
          <w:rFonts w:ascii="Times New Roman" w:hAnsi="Times New Roman" w:eastAsia="仿宋_GB2312" w:cs="Times New Roman"/>
          <w:color w:val="auto"/>
          <w:kern w:val="0"/>
          <w:sz w:val="30"/>
          <w:szCs w:val="30"/>
          <w:lang w:val="en-US" w:eastAsia="zh-CN" w:bidi="ar-SA"/>
        </w:rPr>
        <w:t>4.</w:t>
      </w:r>
      <w:r>
        <w:rPr>
          <w:rFonts w:ascii="Times New Roman" w:hAnsi="Times New Roman" w:eastAsia="仿宋_GB2312"/>
          <w:kern w:val="0"/>
          <w:sz w:val="30"/>
          <w:szCs w:val="30"/>
        </w:rPr>
        <w:t>为使申请报告清晰易读，请在提交时删除报告模板中的填写说明和填写示例。</w:t>
      </w:r>
    </w:p>
    <w:p w14:paraId="4C37628E">
      <w:pPr>
        <w:sectPr>
          <w:footerReference r:id="rId6" w:type="first"/>
          <w:footerReference r:id="rId4" w:type="default"/>
          <w:footerReference r:id="rId5" w:type="even"/>
          <w:pgSz w:w="11906" w:h="16838"/>
          <w:pgMar w:top="1440" w:right="1800" w:bottom="1440" w:left="1800" w:header="0" w:footer="992" w:gutter="0"/>
          <w:pgNumType w:fmt="decimal"/>
          <w:cols w:space="720" w:num="1"/>
          <w:formProt w:val="0"/>
          <w:docGrid w:type="lines" w:linePitch="408" w:charSpace="0"/>
        </w:sectPr>
      </w:pPr>
    </w:p>
    <w:p w14:paraId="5676833C">
      <w:pPr>
        <w:tabs>
          <w:tab w:val="left" w:pos="756"/>
        </w:tabs>
        <w:spacing w:line="360" w:lineRule="auto"/>
        <w:textAlignment w:val="baseline"/>
        <w:rPr>
          <w:rFonts w:ascii="Times New Roman" w:hAnsi="Times New Roman" w:eastAsia="仿宋_GB2312"/>
          <w:kern w:val="0"/>
          <w:sz w:val="30"/>
          <w:szCs w:val="30"/>
        </w:rPr>
      </w:pPr>
    </w:p>
    <w:p w14:paraId="3157C3A9">
      <w:pPr>
        <w:sectPr>
          <w:type w:val="continuous"/>
          <w:pgSz w:w="11906" w:h="16838"/>
          <w:pgMar w:top="1440" w:right="1800" w:bottom="1440" w:left="1800" w:header="0" w:footer="992" w:gutter="0"/>
          <w:cols w:space="720" w:num="1"/>
          <w:formProt w:val="0"/>
          <w:docGrid w:type="lines" w:linePitch="408" w:charSpace="0"/>
        </w:sectPr>
      </w:pPr>
    </w:p>
    <w:p w14:paraId="3FE1A223">
      <w:pPr>
        <w:pStyle w:val="83"/>
        <w:numPr>
          <w:ilvl w:val="0"/>
          <w:numId w:val="0"/>
        </w:numPr>
        <w:ind w:left="846" w:leftChars="0" w:hanging="420" w:firstLineChars="0"/>
        <w:rPr>
          <w:rFonts w:ascii="Times New Roman" w:hAnsi="Times New Roman" w:eastAsia="黑体"/>
          <w:b/>
          <w:bCs/>
          <w:kern w:val="0"/>
          <w:sz w:val="32"/>
          <w:szCs w:val="30"/>
        </w:rPr>
      </w:pPr>
      <w:r>
        <w:rPr>
          <w:rFonts w:ascii="Times New Roman" w:hAnsi="Times New Roman" w:eastAsia="黑体" w:cs="Times New Roman"/>
          <w:b/>
          <w:bCs/>
          <w:color w:val="auto"/>
          <w:kern w:val="0"/>
          <w:sz w:val="32"/>
          <w:szCs w:val="30"/>
          <w:lang w:val="en-US" w:eastAsia="zh-CN" w:bidi="ar-SA"/>
        </w:rPr>
        <w:t>一、</w:t>
      </w:r>
      <w:r>
        <w:rPr>
          <w:rFonts w:ascii="Times New Roman" w:hAnsi="Times New Roman" w:eastAsia="黑体"/>
          <w:b/>
          <w:bCs/>
          <w:kern w:val="0"/>
          <w:sz w:val="32"/>
          <w:szCs w:val="30"/>
        </w:rPr>
        <w:t>专项计划概况</w:t>
      </w:r>
    </w:p>
    <w:p w14:paraId="4AA0EA99">
      <w:pPr>
        <w:pStyle w:val="83"/>
        <w:numPr>
          <w:ilvl w:val="0"/>
          <w:numId w:val="0"/>
        </w:numPr>
        <w:snapToGrid w:val="0"/>
        <w:spacing w:line="360" w:lineRule="auto"/>
        <w:ind w:left="0" w:leftChars="0" w:firstLine="602" w:firstLineChars="0"/>
        <w:rPr>
          <w:rFonts w:ascii="Times New Roman" w:hAnsi="Times New Roman" w:eastAsia="仿宋_GB2312"/>
          <w:b/>
          <w:kern w:val="0"/>
          <w:sz w:val="30"/>
          <w:szCs w:val="30"/>
        </w:rPr>
      </w:pPr>
      <w:r>
        <w:rPr>
          <w:rFonts w:ascii="Times New Roman" w:hAnsi="Times New Roman" w:eastAsia="仿宋_GB2312" w:cs="Times New Roman"/>
          <w:b/>
          <w:color w:val="auto"/>
          <w:kern w:val="0"/>
          <w:sz w:val="30"/>
          <w:szCs w:val="30"/>
          <w:lang w:val="en-US" w:eastAsia="zh-CN" w:bidi="ar-SA"/>
        </w:rPr>
        <w:t>(一)</w:t>
      </w:r>
      <w:r>
        <w:rPr>
          <w:rFonts w:ascii="Times New Roman" w:hAnsi="Times New Roman" w:eastAsia="仿宋_GB2312"/>
          <w:b/>
          <w:kern w:val="0"/>
          <w:sz w:val="30"/>
          <w:szCs w:val="30"/>
        </w:rPr>
        <w:t>基础资产与产品类型</w:t>
      </w:r>
    </w:p>
    <w:p w14:paraId="2746A427">
      <w:pPr>
        <w:spacing w:line="360" w:lineRule="auto"/>
        <w:ind w:firstLine="600"/>
        <w:rPr>
          <w:rFonts w:ascii="Times New Roman" w:hAnsi="Times New Roman" w:eastAsia="仿宋_GB2312"/>
          <w:sz w:val="30"/>
          <w:szCs w:val="30"/>
        </w:rPr>
      </w:pPr>
      <w:r>
        <w:rPr>
          <w:rFonts w:ascii="Times New Roman" w:hAnsi="Times New Roman" w:eastAsia="仿宋_GB2312"/>
          <w:sz w:val="30"/>
        </w:rPr>
        <w:t>填写示例：</w:t>
      </w:r>
      <w:r>
        <w:rPr>
          <w:rFonts w:ascii="Times New Roman" w:hAnsi="Times New Roman" w:eastAsia="仿宋_GB2312"/>
          <w:kern w:val="0"/>
          <w:sz w:val="30"/>
          <w:szCs w:val="30"/>
        </w:rPr>
        <w:t>本专项</w:t>
      </w:r>
      <w:r>
        <w:rPr>
          <w:rFonts w:ascii="Times New Roman" w:hAnsi="Times New Roman" w:eastAsia="仿宋_GB2312"/>
          <w:sz w:val="30"/>
          <w:szCs w:val="30"/>
        </w:rPr>
        <w:t>计划的原始权益人是XX，基础资产类型是XX（请参照申报系统基础资产类型三级分类填写，例如未来经营收入类-基础设施收费-供水），基础资产是XX（例如原始权益人依据特许经营合同，由于提供污水处理服务对污水处理服务付款方享有的特定期间内的污水处理收费收益权。）</w:t>
      </w:r>
    </w:p>
    <w:p w14:paraId="3E665A6C">
      <w:pPr>
        <w:spacing w:line="360" w:lineRule="auto"/>
        <w:ind w:firstLine="600"/>
        <w:rPr>
          <w:rFonts w:ascii="Times New Roman" w:hAnsi="Times New Roman" w:eastAsia="仿宋_GB2312"/>
          <w:sz w:val="30"/>
        </w:rPr>
      </w:pPr>
      <w:r>
        <w:rPr>
          <w:rFonts w:ascii="Times New Roman" w:hAnsi="Times New Roman" w:eastAsia="仿宋_GB2312"/>
          <w:bCs/>
          <w:sz w:val="30"/>
          <w:szCs w:val="30"/>
        </w:rPr>
        <w:t>核心企业供应链应收款</w:t>
      </w:r>
      <w:r>
        <w:rPr>
          <w:rFonts w:ascii="Times New Roman" w:hAnsi="Times New Roman" w:eastAsia="仿宋_GB2312"/>
          <w:sz w:val="30"/>
        </w:rPr>
        <w:t>填写示例：XX资产支持专项计划为</w:t>
      </w:r>
      <w:r>
        <w:rPr>
          <w:rFonts w:ascii="Times New Roman" w:hAnsi="Times New Roman" w:eastAsia="仿宋_GB2312"/>
          <w:bCs/>
          <w:sz w:val="30"/>
          <w:szCs w:val="30"/>
        </w:rPr>
        <w:t>核心企业供应链应收款</w:t>
      </w:r>
      <w:r>
        <w:rPr>
          <w:rFonts w:ascii="Times New Roman" w:hAnsi="Times New Roman" w:eastAsia="仿宋_GB2312"/>
          <w:sz w:val="30"/>
        </w:rPr>
        <w:t>产品，基础资产为应收账款债权，核心企业为XX。</w:t>
      </w:r>
    </w:p>
    <w:p w14:paraId="1D19035D">
      <w:pPr>
        <w:spacing w:line="360" w:lineRule="auto"/>
        <w:ind w:firstLine="600"/>
        <w:rPr>
          <w:rFonts w:ascii="Times New Roman" w:hAnsi="Times New Roman" w:eastAsia="仿宋_GB2312"/>
          <w:kern w:val="0"/>
          <w:sz w:val="30"/>
          <w:lang w:val="zh-CN"/>
        </w:rPr>
      </w:pPr>
      <w:r>
        <w:rPr>
          <w:rFonts w:ascii="Times New Roman" w:hAnsi="Times New Roman" w:eastAsia="仿宋_GB2312"/>
          <w:sz w:val="30"/>
        </w:rPr>
        <w:t>填写说明：</w:t>
      </w:r>
      <w:r>
        <w:rPr>
          <w:rFonts w:ascii="Times New Roman" w:hAnsi="Times New Roman" w:eastAsia="仿宋_GB2312"/>
          <w:kern w:val="0"/>
          <w:sz w:val="30"/>
          <w:lang w:val="zh-CN"/>
        </w:rPr>
        <w:t>存在双SPV结构的，请说明实际融资人，并说明基础资产和底层资产界定、底层现金流来源。</w:t>
      </w:r>
    </w:p>
    <w:p w14:paraId="3E093007">
      <w:pPr>
        <w:spacing w:line="360" w:lineRule="auto"/>
        <w:ind w:firstLine="600"/>
        <w:rPr>
          <w:rFonts w:ascii="Times New Roman" w:hAnsi="Times New Roman" w:eastAsia="仿宋_GB2312"/>
          <w:sz w:val="30"/>
        </w:rPr>
      </w:pPr>
      <w:r>
        <w:rPr>
          <w:rFonts w:ascii="Times New Roman" w:hAnsi="Times New Roman" w:eastAsia="仿宋_GB2312"/>
          <w:sz w:val="30"/>
        </w:rPr>
        <w:t>填写示例：XX资产支持专项计划原始权益人是XX，实际融资人是XX，基础资产类型为债权类-商业物业抵押贷款（CMBS）-写字楼，基础资产是XX财产权信托受益权，底层不动产为XX，底层现金流来源为XX写字楼的租金收入。</w:t>
      </w:r>
    </w:p>
    <w:p w14:paraId="5B25B5B4">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(二)</w:t>
      </w:r>
      <w:r>
        <w:rPr>
          <w:rFonts w:ascii="Times New Roman" w:hAnsi="Times New Roman" w:eastAsia="仿宋_GB2312"/>
          <w:b/>
          <w:sz w:val="30"/>
        </w:rPr>
        <w:t>交易</w:t>
      </w:r>
      <w:r>
        <w:rPr>
          <w:rFonts w:ascii="Times New Roman" w:hAnsi="Times New Roman" w:eastAsia="仿宋_GB2312"/>
          <w:b/>
          <w:kern w:val="0"/>
          <w:sz w:val="30"/>
          <w:szCs w:val="30"/>
        </w:rPr>
        <w:t>结构图</w:t>
      </w:r>
    </w:p>
    <w:p w14:paraId="538B7A5D">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请附交易结构图。</w:t>
      </w:r>
    </w:p>
    <w:p w14:paraId="02ED060E">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(三)</w:t>
      </w:r>
      <w:r>
        <w:rPr>
          <w:rFonts w:ascii="Times New Roman" w:hAnsi="Times New Roman" w:eastAsia="仿宋_GB2312"/>
          <w:b/>
          <w:sz w:val="30"/>
        </w:rPr>
        <w:t>参与人概况</w:t>
      </w:r>
    </w:p>
    <w:tbl>
      <w:tblPr>
        <w:tblStyle w:val="32"/>
        <w:tblW w:w="8472" w:type="dxa"/>
        <w:jc w:val="center"/>
        <w:tblLayout w:type="fixed"/>
        <w:tblCellMar>
          <w:top w:w="0" w:type="dxa"/>
          <w:left w:w="108" w:type="dxa"/>
          <w:bottom w:w="0" w:type="dxa"/>
          <w:right w:w="108" w:type="dxa"/>
        </w:tblCellMar>
      </w:tblPr>
      <w:tblGrid>
        <w:gridCol w:w="3226"/>
        <w:gridCol w:w="3686"/>
        <w:gridCol w:w="1560"/>
      </w:tblGrid>
      <w:tr w14:paraId="46BB4E77">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4A7ACF92">
            <w:pPr>
              <w:tabs>
                <w:tab w:val="left" w:pos="756"/>
              </w:tabs>
              <w:textAlignment w:val="baseline"/>
              <w:rPr>
                <w:rFonts w:ascii="Times New Roman" w:hAnsi="Times New Roman" w:eastAsia="仿宋_GB2312"/>
                <w:szCs w:val="21"/>
              </w:rPr>
            </w:pPr>
            <w:r>
              <w:rPr>
                <w:rFonts w:ascii="Times New Roman" w:hAnsi="Times New Roman" w:eastAsia="仿宋_GB2312"/>
                <w:szCs w:val="21"/>
              </w:rPr>
              <w:t>原始权益人</w:t>
            </w:r>
          </w:p>
        </w:tc>
        <w:tc>
          <w:tcPr>
            <w:tcW w:w="3686" w:type="dxa"/>
            <w:tcBorders>
              <w:top w:val="single" w:color="000000" w:sz="4" w:space="0"/>
              <w:left w:val="single" w:color="000000" w:sz="4" w:space="0"/>
              <w:bottom w:val="single" w:color="000000" w:sz="4" w:space="0"/>
              <w:right w:val="single" w:color="000000" w:sz="4" w:space="0"/>
            </w:tcBorders>
          </w:tcPr>
          <w:p w14:paraId="788BB70F">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c>
          <w:tcPr>
            <w:tcW w:w="1560" w:type="dxa"/>
            <w:tcBorders>
              <w:top w:val="single" w:color="000000" w:sz="4" w:space="0"/>
              <w:left w:val="single" w:color="000000" w:sz="4" w:space="0"/>
              <w:bottom w:val="single" w:color="000000" w:sz="4" w:space="0"/>
              <w:right w:val="single" w:color="000000" w:sz="4" w:space="0"/>
            </w:tcBorders>
          </w:tcPr>
          <w:p w14:paraId="536ED74A">
            <w:pPr>
              <w:tabs>
                <w:tab w:val="left" w:pos="756"/>
              </w:tabs>
              <w:textAlignment w:val="baseline"/>
              <w:rPr>
                <w:rFonts w:ascii="Times New Roman" w:hAnsi="Times New Roman" w:eastAsia="仿宋_GB2312"/>
                <w:szCs w:val="21"/>
              </w:rPr>
            </w:pPr>
            <w:r>
              <w:rPr>
                <w:rFonts w:ascii="Times New Roman" w:hAnsi="Times New Roman" w:eastAsia="仿宋_GB2312"/>
                <w:szCs w:val="21"/>
              </w:rPr>
              <w:t>主体评级XX</w:t>
            </w:r>
          </w:p>
        </w:tc>
      </w:tr>
      <w:tr w14:paraId="46EB2307">
        <w:tblPrEx>
          <w:tblCellMar>
            <w:top w:w="0" w:type="dxa"/>
            <w:left w:w="108" w:type="dxa"/>
            <w:bottom w:w="0" w:type="dxa"/>
            <w:right w:w="108" w:type="dxa"/>
          </w:tblCellMar>
        </w:tblPrEx>
        <w:trPr>
          <w:trHeight w:val="880" w:hRule="exact"/>
          <w:jc w:val="center"/>
        </w:trPr>
        <w:tc>
          <w:tcPr>
            <w:tcW w:w="3226" w:type="dxa"/>
            <w:tcBorders>
              <w:top w:val="single" w:color="000000" w:sz="4" w:space="0"/>
              <w:left w:val="single" w:color="000000" w:sz="4" w:space="0"/>
              <w:bottom w:val="single" w:color="000000" w:sz="4" w:space="0"/>
              <w:right w:val="single" w:color="000000" w:sz="4" w:space="0"/>
            </w:tcBorders>
          </w:tcPr>
          <w:p w14:paraId="0E0B560A">
            <w:pPr>
              <w:tabs>
                <w:tab w:val="left" w:pos="756"/>
              </w:tabs>
              <w:textAlignment w:val="baseline"/>
              <w:rPr>
                <w:rFonts w:ascii="Times New Roman" w:hAnsi="Times New Roman" w:eastAsia="仿宋_GB2312"/>
                <w:szCs w:val="21"/>
              </w:rPr>
            </w:pPr>
            <w:r>
              <w:rPr>
                <w:rFonts w:ascii="Times New Roman" w:hAnsi="Times New Roman" w:eastAsia="仿宋_GB2312"/>
                <w:szCs w:val="21"/>
              </w:rPr>
              <w:t>实际融资人（若为双SPV结构请填写）</w:t>
            </w:r>
          </w:p>
        </w:tc>
        <w:tc>
          <w:tcPr>
            <w:tcW w:w="3686" w:type="dxa"/>
            <w:tcBorders>
              <w:top w:val="single" w:color="000000" w:sz="4" w:space="0"/>
              <w:left w:val="single" w:color="000000" w:sz="4" w:space="0"/>
              <w:bottom w:val="single" w:color="000000" w:sz="4" w:space="0"/>
              <w:right w:val="single" w:color="000000" w:sz="4" w:space="0"/>
            </w:tcBorders>
          </w:tcPr>
          <w:p w14:paraId="0AA9D6BF">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c>
          <w:tcPr>
            <w:tcW w:w="1560" w:type="dxa"/>
            <w:tcBorders>
              <w:top w:val="single" w:color="000000" w:sz="4" w:space="0"/>
              <w:left w:val="single" w:color="000000" w:sz="4" w:space="0"/>
              <w:bottom w:val="single" w:color="000000" w:sz="4" w:space="0"/>
              <w:right w:val="single" w:color="000000" w:sz="4" w:space="0"/>
            </w:tcBorders>
          </w:tcPr>
          <w:p w14:paraId="7903DF91">
            <w:pPr>
              <w:tabs>
                <w:tab w:val="left" w:pos="756"/>
              </w:tabs>
              <w:textAlignment w:val="baseline"/>
              <w:rPr>
                <w:rFonts w:ascii="Times New Roman" w:hAnsi="Times New Roman" w:eastAsia="仿宋_GB2312"/>
                <w:szCs w:val="21"/>
              </w:rPr>
            </w:pPr>
            <w:r>
              <w:rPr>
                <w:rFonts w:ascii="Times New Roman" w:hAnsi="Times New Roman" w:eastAsia="仿宋_GB2312"/>
                <w:szCs w:val="21"/>
              </w:rPr>
              <w:t>主体评级XX</w:t>
            </w:r>
          </w:p>
        </w:tc>
      </w:tr>
      <w:tr w14:paraId="3EA49F59">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06402361">
            <w:pPr>
              <w:tabs>
                <w:tab w:val="left" w:pos="756"/>
              </w:tabs>
              <w:textAlignment w:val="baseline"/>
              <w:rPr>
                <w:rFonts w:ascii="Times New Roman" w:hAnsi="Times New Roman" w:eastAsia="仿宋_GB2312"/>
                <w:szCs w:val="21"/>
              </w:rPr>
            </w:pPr>
            <w:r>
              <w:rPr>
                <w:rFonts w:ascii="Times New Roman" w:hAnsi="Times New Roman" w:eastAsia="仿宋_GB2312"/>
                <w:szCs w:val="21"/>
              </w:rPr>
              <w:t>资产服务机构（如有）</w:t>
            </w:r>
          </w:p>
        </w:tc>
        <w:tc>
          <w:tcPr>
            <w:tcW w:w="3686" w:type="dxa"/>
            <w:tcBorders>
              <w:top w:val="single" w:color="000000" w:sz="4" w:space="0"/>
              <w:left w:val="single" w:color="000000" w:sz="4" w:space="0"/>
              <w:bottom w:val="single" w:color="000000" w:sz="4" w:space="0"/>
              <w:right w:val="single" w:color="000000" w:sz="4" w:space="0"/>
            </w:tcBorders>
          </w:tcPr>
          <w:p w14:paraId="0EE1B403">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c>
          <w:tcPr>
            <w:tcW w:w="1560" w:type="dxa"/>
            <w:tcBorders>
              <w:top w:val="single" w:color="000000" w:sz="4" w:space="0"/>
              <w:left w:val="single" w:color="000000" w:sz="4" w:space="0"/>
              <w:bottom w:val="single" w:color="000000" w:sz="4" w:space="0"/>
              <w:right w:val="single" w:color="000000" w:sz="4" w:space="0"/>
            </w:tcBorders>
          </w:tcPr>
          <w:p w14:paraId="730E0599">
            <w:pPr>
              <w:tabs>
                <w:tab w:val="left" w:pos="756"/>
              </w:tabs>
              <w:textAlignment w:val="baseline"/>
              <w:rPr>
                <w:rFonts w:ascii="Times New Roman" w:hAnsi="Times New Roman" w:eastAsia="仿宋_GB2312"/>
                <w:szCs w:val="21"/>
              </w:rPr>
            </w:pPr>
            <w:r>
              <w:rPr>
                <w:rFonts w:ascii="Times New Roman" w:hAnsi="Times New Roman" w:eastAsia="仿宋_GB2312"/>
                <w:szCs w:val="21"/>
              </w:rPr>
              <w:t>主体评级XX</w:t>
            </w:r>
          </w:p>
        </w:tc>
      </w:tr>
      <w:tr w14:paraId="0D3B1173">
        <w:tblPrEx>
          <w:tblCellMar>
            <w:top w:w="0" w:type="dxa"/>
            <w:left w:w="108" w:type="dxa"/>
            <w:bottom w:w="0" w:type="dxa"/>
            <w:right w:w="108" w:type="dxa"/>
          </w:tblCellMar>
        </w:tblPrEx>
        <w:trPr>
          <w:trHeight w:val="1280" w:hRule="exact"/>
          <w:jc w:val="center"/>
        </w:trPr>
        <w:tc>
          <w:tcPr>
            <w:tcW w:w="3226" w:type="dxa"/>
            <w:tcBorders>
              <w:top w:val="single" w:color="000000" w:sz="4" w:space="0"/>
              <w:left w:val="single" w:color="000000" w:sz="4" w:space="0"/>
              <w:bottom w:val="single" w:color="000000" w:sz="4" w:space="0"/>
              <w:right w:val="single" w:color="000000" w:sz="4" w:space="0"/>
            </w:tcBorders>
          </w:tcPr>
          <w:p w14:paraId="23554085">
            <w:pPr>
              <w:tabs>
                <w:tab w:val="left" w:pos="756"/>
              </w:tabs>
              <w:textAlignment w:val="baseline"/>
              <w:rPr>
                <w:rFonts w:ascii="Times New Roman" w:hAnsi="Times New Roman" w:eastAsia="仿宋_GB2312"/>
                <w:szCs w:val="21"/>
              </w:rPr>
            </w:pPr>
            <w:r>
              <w:rPr>
                <w:rFonts w:ascii="Times New Roman" w:hAnsi="Times New Roman" w:eastAsia="仿宋_GB2312"/>
                <w:szCs w:val="21"/>
              </w:rPr>
              <w:t>增信机构及增信方式（如有）</w:t>
            </w:r>
          </w:p>
        </w:tc>
        <w:tc>
          <w:tcPr>
            <w:tcW w:w="3686" w:type="dxa"/>
            <w:tcBorders>
              <w:top w:val="single" w:color="000000" w:sz="4" w:space="0"/>
              <w:left w:val="single" w:color="000000" w:sz="4" w:space="0"/>
              <w:bottom w:val="single" w:color="000000" w:sz="4" w:space="0"/>
              <w:right w:val="single" w:color="000000" w:sz="4" w:space="0"/>
            </w:tcBorders>
          </w:tcPr>
          <w:p w14:paraId="1F9E55E7">
            <w:pPr>
              <w:tabs>
                <w:tab w:val="left" w:pos="756"/>
              </w:tabs>
              <w:textAlignment w:val="baseline"/>
              <w:rPr>
                <w:rFonts w:ascii="Times New Roman" w:hAnsi="Times New Roman" w:eastAsia="仿宋_GB2312"/>
                <w:szCs w:val="21"/>
              </w:rPr>
            </w:pPr>
            <w:r>
              <w:rPr>
                <w:rFonts w:ascii="Times New Roman" w:hAnsi="Times New Roman" w:eastAsia="仿宋_GB2312"/>
                <w:szCs w:val="21"/>
              </w:rPr>
              <w:t>差额支付承诺人-XXX</w:t>
            </w:r>
          </w:p>
          <w:p w14:paraId="32794F3A">
            <w:pPr>
              <w:tabs>
                <w:tab w:val="left" w:pos="756"/>
              </w:tabs>
              <w:textAlignment w:val="baseline"/>
              <w:rPr>
                <w:rFonts w:ascii="Times New Roman" w:hAnsi="Times New Roman" w:eastAsia="仿宋_GB2312"/>
                <w:szCs w:val="21"/>
              </w:rPr>
            </w:pPr>
            <w:r>
              <w:rPr>
                <w:rFonts w:ascii="Times New Roman" w:hAnsi="Times New Roman" w:eastAsia="仿宋_GB2312"/>
                <w:szCs w:val="21"/>
              </w:rPr>
              <w:t>流动性支持机构-XXX</w:t>
            </w:r>
          </w:p>
          <w:p w14:paraId="1131C4F1">
            <w:pPr>
              <w:tabs>
                <w:tab w:val="left" w:pos="756"/>
              </w:tabs>
              <w:textAlignment w:val="baseline"/>
              <w:rPr>
                <w:rFonts w:ascii="Times New Roman" w:hAnsi="Times New Roman" w:eastAsia="仿宋_GB2312"/>
                <w:szCs w:val="21"/>
              </w:rPr>
            </w:pPr>
            <w:r>
              <w:rPr>
                <w:rFonts w:ascii="Times New Roman" w:hAnsi="Times New Roman" w:eastAsia="仿宋_GB2312"/>
                <w:szCs w:val="21"/>
              </w:rPr>
              <w:t>抵质押物-XX</w:t>
            </w:r>
          </w:p>
        </w:tc>
        <w:tc>
          <w:tcPr>
            <w:tcW w:w="1560" w:type="dxa"/>
            <w:tcBorders>
              <w:top w:val="single" w:color="000000" w:sz="4" w:space="0"/>
              <w:left w:val="single" w:color="000000" w:sz="4" w:space="0"/>
              <w:bottom w:val="single" w:color="000000" w:sz="4" w:space="0"/>
              <w:right w:val="single" w:color="000000" w:sz="4" w:space="0"/>
            </w:tcBorders>
          </w:tcPr>
          <w:p w14:paraId="22A858B5">
            <w:pPr>
              <w:tabs>
                <w:tab w:val="left" w:pos="756"/>
              </w:tabs>
              <w:textAlignment w:val="baseline"/>
              <w:rPr>
                <w:rFonts w:ascii="Times New Roman" w:hAnsi="Times New Roman" w:eastAsia="仿宋_GB2312"/>
                <w:szCs w:val="21"/>
              </w:rPr>
            </w:pPr>
            <w:r>
              <w:rPr>
                <w:rFonts w:ascii="Times New Roman" w:hAnsi="Times New Roman" w:eastAsia="仿宋_GB2312"/>
                <w:szCs w:val="21"/>
              </w:rPr>
              <w:t>主体评级XX</w:t>
            </w:r>
          </w:p>
        </w:tc>
      </w:tr>
      <w:tr w14:paraId="72B0B064">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6AAE99DB">
            <w:pPr>
              <w:tabs>
                <w:tab w:val="left" w:pos="756"/>
              </w:tabs>
              <w:textAlignment w:val="baseline"/>
              <w:rPr>
                <w:rFonts w:ascii="Times New Roman" w:hAnsi="Times New Roman" w:eastAsia="仿宋_GB2312"/>
                <w:szCs w:val="21"/>
              </w:rPr>
            </w:pPr>
            <w:r>
              <w:rPr>
                <w:rFonts w:ascii="Times New Roman" w:hAnsi="Times New Roman" w:eastAsia="仿宋_GB2312"/>
                <w:szCs w:val="21"/>
              </w:rPr>
              <w:t>计划管理人</w:t>
            </w:r>
          </w:p>
        </w:tc>
        <w:tc>
          <w:tcPr>
            <w:tcW w:w="5246" w:type="dxa"/>
            <w:gridSpan w:val="2"/>
            <w:tcBorders>
              <w:top w:val="single" w:color="000000" w:sz="4" w:space="0"/>
              <w:left w:val="single" w:color="000000" w:sz="4" w:space="0"/>
              <w:bottom w:val="single" w:color="000000" w:sz="4" w:space="0"/>
              <w:right w:val="single" w:color="000000" w:sz="4" w:space="0"/>
            </w:tcBorders>
          </w:tcPr>
          <w:p w14:paraId="0226BDC7">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r w14:paraId="6185B0DD">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55B28F6C">
            <w:pPr>
              <w:tabs>
                <w:tab w:val="left" w:pos="756"/>
              </w:tabs>
              <w:textAlignment w:val="baseline"/>
              <w:rPr>
                <w:rFonts w:ascii="Times New Roman" w:hAnsi="Times New Roman" w:eastAsia="仿宋_GB2312"/>
                <w:szCs w:val="21"/>
              </w:rPr>
            </w:pPr>
            <w:r>
              <w:rPr>
                <w:rFonts w:ascii="Times New Roman" w:hAnsi="Times New Roman" w:eastAsia="仿宋_GB2312"/>
                <w:szCs w:val="21"/>
              </w:rPr>
              <w:t>律师事务所</w:t>
            </w:r>
          </w:p>
        </w:tc>
        <w:tc>
          <w:tcPr>
            <w:tcW w:w="5246" w:type="dxa"/>
            <w:gridSpan w:val="2"/>
            <w:tcBorders>
              <w:top w:val="single" w:color="000000" w:sz="4" w:space="0"/>
              <w:left w:val="single" w:color="000000" w:sz="4" w:space="0"/>
              <w:bottom w:val="single" w:color="000000" w:sz="4" w:space="0"/>
              <w:right w:val="single" w:color="000000" w:sz="4" w:space="0"/>
            </w:tcBorders>
          </w:tcPr>
          <w:p w14:paraId="29128A82">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r w14:paraId="4835A608">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1612E4F0">
            <w:pPr>
              <w:tabs>
                <w:tab w:val="left" w:pos="756"/>
              </w:tabs>
              <w:textAlignment w:val="baseline"/>
              <w:rPr>
                <w:rFonts w:ascii="Times New Roman" w:hAnsi="Times New Roman" w:eastAsia="仿宋_GB2312"/>
                <w:szCs w:val="21"/>
              </w:rPr>
            </w:pPr>
            <w:r>
              <w:rPr>
                <w:rFonts w:ascii="Times New Roman" w:hAnsi="Times New Roman" w:eastAsia="仿宋_GB2312"/>
                <w:szCs w:val="21"/>
              </w:rPr>
              <w:t>评级机构</w:t>
            </w:r>
          </w:p>
        </w:tc>
        <w:tc>
          <w:tcPr>
            <w:tcW w:w="5246" w:type="dxa"/>
            <w:gridSpan w:val="2"/>
            <w:tcBorders>
              <w:top w:val="single" w:color="000000" w:sz="4" w:space="0"/>
              <w:left w:val="single" w:color="000000" w:sz="4" w:space="0"/>
              <w:bottom w:val="single" w:color="000000" w:sz="4" w:space="0"/>
              <w:right w:val="single" w:color="000000" w:sz="4" w:space="0"/>
            </w:tcBorders>
          </w:tcPr>
          <w:p w14:paraId="11D492BC">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r w14:paraId="0DB368A0">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52AD4168">
            <w:pPr>
              <w:tabs>
                <w:tab w:val="left" w:pos="756"/>
              </w:tabs>
              <w:textAlignment w:val="baseline"/>
              <w:rPr>
                <w:rFonts w:ascii="Times New Roman" w:hAnsi="Times New Roman" w:eastAsia="仿宋_GB2312"/>
                <w:szCs w:val="21"/>
              </w:rPr>
            </w:pPr>
            <w:r>
              <w:rPr>
                <w:rFonts w:ascii="Times New Roman" w:hAnsi="Times New Roman" w:eastAsia="仿宋_GB2312"/>
                <w:szCs w:val="21"/>
              </w:rPr>
              <w:t>评估机构（如有）</w:t>
            </w:r>
          </w:p>
        </w:tc>
        <w:tc>
          <w:tcPr>
            <w:tcW w:w="5246" w:type="dxa"/>
            <w:gridSpan w:val="2"/>
            <w:tcBorders>
              <w:top w:val="single" w:color="000000" w:sz="4" w:space="0"/>
              <w:left w:val="single" w:color="000000" w:sz="4" w:space="0"/>
              <w:bottom w:val="single" w:color="000000" w:sz="4" w:space="0"/>
              <w:right w:val="single" w:color="000000" w:sz="4" w:space="0"/>
            </w:tcBorders>
          </w:tcPr>
          <w:p w14:paraId="22F247A3">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r w14:paraId="76C9CD81">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372BDB5D">
            <w:pPr>
              <w:tabs>
                <w:tab w:val="left" w:pos="756"/>
              </w:tabs>
              <w:textAlignment w:val="baseline"/>
              <w:rPr>
                <w:rFonts w:ascii="Times New Roman" w:hAnsi="Times New Roman" w:eastAsia="仿宋_GB2312"/>
                <w:szCs w:val="21"/>
              </w:rPr>
            </w:pPr>
            <w:r>
              <w:rPr>
                <w:rFonts w:ascii="Times New Roman" w:hAnsi="Times New Roman" w:eastAsia="仿宋_GB2312"/>
                <w:szCs w:val="21"/>
              </w:rPr>
              <w:t>现金流预测机构（如有）</w:t>
            </w:r>
          </w:p>
        </w:tc>
        <w:tc>
          <w:tcPr>
            <w:tcW w:w="5246" w:type="dxa"/>
            <w:gridSpan w:val="2"/>
            <w:tcBorders>
              <w:top w:val="single" w:color="000000" w:sz="4" w:space="0"/>
              <w:left w:val="single" w:color="000000" w:sz="4" w:space="0"/>
              <w:bottom w:val="single" w:color="000000" w:sz="4" w:space="0"/>
              <w:right w:val="single" w:color="000000" w:sz="4" w:space="0"/>
            </w:tcBorders>
          </w:tcPr>
          <w:p w14:paraId="5C5A8048">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r w14:paraId="55974E4D">
        <w:tblPrEx>
          <w:tblCellMar>
            <w:top w:w="0" w:type="dxa"/>
            <w:left w:w="108" w:type="dxa"/>
            <w:bottom w:w="0" w:type="dxa"/>
            <w:right w:w="108" w:type="dxa"/>
          </w:tblCellMar>
        </w:tblPrEx>
        <w:trPr>
          <w:trHeight w:val="848" w:hRule="exact"/>
          <w:jc w:val="center"/>
        </w:trPr>
        <w:tc>
          <w:tcPr>
            <w:tcW w:w="3226" w:type="dxa"/>
            <w:tcBorders>
              <w:top w:val="single" w:color="000000" w:sz="4" w:space="0"/>
              <w:left w:val="single" w:color="000000" w:sz="4" w:space="0"/>
              <w:bottom w:val="single" w:color="000000" w:sz="4" w:space="0"/>
              <w:right w:val="single" w:color="000000" w:sz="4" w:space="0"/>
            </w:tcBorders>
          </w:tcPr>
          <w:p w14:paraId="672B21FB">
            <w:pPr>
              <w:tabs>
                <w:tab w:val="left" w:pos="756"/>
              </w:tabs>
              <w:textAlignment w:val="baseline"/>
              <w:rPr>
                <w:rFonts w:ascii="Times New Roman" w:hAnsi="Times New Roman" w:eastAsia="仿宋_GB2312"/>
                <w:szCs w:val="21"/>
              </w:rPr>
            </w:pPr>
            <w:r>
              <w:rPr>
                <w:rFonts w:ascii="Times New Roman" w:hAnsi="Times New Roman" w:eastAsia="仿宋_GB2312"/>
                <w:szCs w:val="21"/>
              </w:rPr>
              <w:t>第三方服务机构（如有，包括财务顾问等）</w:t>
            </w:r>
          </w:p>
        </w:tc>
        <w:tc>
          <w:tcPr>
            <w:tcW w:w="5246" w:type="dxa"/>
            <w:gridSpan w:val="2"/>
            <w:tcBorders>
              <w:top w:val="single" w:color="000000" w:sz="4" w:space="0"/>
              <w:left w:val="single" w:color="000000" w:sz="4" w:space="0"/>
              <w:bottom w:val="single" w:color="000000" w:sz="4" w:space="0"/>
              <w:right w:val="single" w:color="000000" w:sz="4" w:space="0"/>
            </w:tcBorders>
          </w:tcPr>
          <w:p w14:paraId="7EDBBF77">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r w14:paraId="7C0CD095">
        <w:tblPrEx>
          <w:tblCellMar>
            <w:top w:w="0" w:type="dxa"/>
            <w:left w:w="108" w:type="dxa"/>
            <w:bottom w:w="0" w:type="dxa"/>
            <w:right w:w="108" w:type="dxa"/>
          </w:tblCellMar>
        </w:tblPrEx>
        <w:trPr>
          <w:trHeight w:val="567" w:hRule="exact"/>
          <w:jc w:val="center"/>
        </w:trPr>
        <w:tc>
          <w:tcPr>
            <w:tcW w:w="3226" w:type="dxa"/>
            <w:tcBorders>
              <w:top w:val="single" w:color="000000" w:sz="4" w:space="0"/>
              <w:left w:val="single" w:color="000000" w:sz="4" w:space="0"/>
              <w:bottom w:val="single" w:color="000000" w:sz="4" w:space="0"/>
              <w:right w:val="single" w:color="000000" w:sz="4" w:space="0"/>
            </w:tcBorders>
          </w:tcPr>
          <w:p w14:paraId="4A2C8579">
            <w:pPr>
              <w:tabs>
                <w:tab w:val="left" w:pos="756"/>
              </w:tabs>
              <w:textAlignment w:val="baseline"/>
              <w:rPr>
                <w:rFonts w:ascii="Times New Roman" w:hAnsi="Times New Roman" w:eastAsia="仿宋_GB2312"/>
                <w:szCs w:val="21"/>
              </w:rPr>
            </w:pPr>
            <w:r>
              <w:rPr>
                <w:rFonts w:ascii="Times New Roman" w:hAnsi="Times New Roman" w:eastAsia="仿宋_GB2312"/>
                <w:szCs w:val="21"/>
              </w:rPr>
              <w:t>其他机构（如有）</w:t>
            </w:r>
          </w:p>
        </w:tc>
        <w:tc>
          <w:tcPr>
            <w:tcW w:w="5246" w:type="dxa"/>
            <w:gridSpan w:val="2"/>
            <w:tcBorders>
              <w:top w:val="single" w:color="000000" w:sz="4" w:space="0"/>
              <w:left w:val="single" w:color="000000" w:sz="4" w:space="0"/>
              <w:bottom w:val="single" w:color="000000" w:sz="4" w:space="0"/>
              <w:right w:val="single" w:color="000000" w:sz="4" w:space="0"/>
            </w:tcBorders>
          </w:tcPr>
          <w:p w14:paraId="41EADF30">
            <w:pPr>
              <w:keepNext/>
              <w:keepLines/>
              <w:numPr>
                <w:ilvl w:val="0"/>
                <w:numId w:val="0"/>
              </w:numPr>
              <w:tabs>
                <w:tab w:val="left" w:pos="756"/>
              </w:tabs>
              <w:spacing w:before="260" w:after="260" w:line="418" w:lineRule="auto"/>
              <w:textAlignment w:val="baseline"/>
              <w:outlineLvl w:val="2"/>
              <w:rPr>
                <w:rFonts w:ascii="Times New Roman" w:hAnsi="Times New Roman" w:eastAsia="仿宋_GB2312"/>
                <w:szCs w:val="21"/>
              </w:rPr>
            </w:pPr>
          </w:p>
        </w:tc>
      </w:tr>
    </w:tbl>
    <w:p w14:paraId="59660CFE">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(四)</w:t>
      </w:r>
      <w:r>
        <w:rPr>
          <w:rFonts w:ascii="Times New Roman" w:hAnsi="Times New Roman" w:eastAsia="仿宋_GB2312"/>
          <w:b/>
          <w:kern w:val="0"/>
          <w:sz w:val="30"/>
          <w:szCs w:val="30"/>
        </w:rPr>
        <w:t>资产支持</w:t>
      </w:r>
      <w:r>
        <w:rPr>
          <w:rFonts w:ascii="Times New Roman" w:hAnsi="Times New Roman" w:eastAsia="仿宋_GB2312"/>
          <w:b/>
          <w:sz w:val="30"/>
        </w:rPr>
        <w:t>证券概况</w:t>
      </w:r>
    </w:p>
    <w:p w14:paraId="0773FD94">
      <w:pPr>
        <w:pStyle w:val="83"/>
        <w:spacing w:line="360" w:lineRule="auto"/>
        <w:ind w:firstLine="600"/>
        <w:rPr>
          <w:rFonts w:ascii="Times New Roman" w:hAnsi="Times New Roman" w:eastAsia="仿宋_GB2312"/>
          <w:bCs/>
          <w:sz w:val="30"/>
        </w:rPr>
      </w:pPr>
      <w:r>
        <w:rPr>
          <w:rFonts w:ascii="Times New Roman" w:hAnsi="Times New Roman" w:eastAsia="仿宋_GB2312"/>
          <w:bCs/>
          <w:sz w:val="30"/>
        </w:rPr>
        <w:t>单期发行填写示例：【专项计划申请单期发行，总规模XX亿元，其中优先级规模XX亿元，次级规模XX亿元。</w:t>
      </w:r>
    </w:p>
    <w:p w14:paraId="6D6EFE53">
      <w:pPr>
        <w:pStyle w:val="83"/>
        <w:spacing w:line="360" w:lineRule="auto"/>
        <w:ind w:firstLine="600"/>
        <w:rPr>
          <w:rFonts w:ascii="Times New Roman" w:hAnsi="Times New Roman" w:eastAsia="仿宋_GB2312"/>
          <w:bCs/>
          <w:sz w:val="30"/>
        </w:rPr>
      </w:pPr>
      <w:r>
        <w:rPr>
          <w:rFonts w:ascii="Times New Roman" w:hAnsi="Times New Roman" w:eastAsia="仿宋_GB2312"/>
          <w:bCs/>
          <w:sz w:val="30"/>
        </w:rPr>
        <w:t>专项计划以真实池/模拟池申报，资产支持证券分层情况如下：】</w:t>
      </w:r>
    </w:p>
    <w:p w14:paraId="272A7475">
      <w:pPr>
        <w:pStyle w:val="83"/>
        <w:spacing w:line="360" w:lineRule="auto"/>
        <w:ind w:firstLine="600"/>
        <w:rPr>
          <w:rFonts w:ascii="Times New Roman" w:hAnsi="Times New Roman" w:eastAsia="仿宋_GB2312"/>
          <w:bCs/>
          <w:sz w:val="30"/>
        </w:rPr>
      </w:pPr>
      <w:r>
        <w:rPr>
          <w:rFonts w:ascii="Times New Roman" w:hAnsi="Times New Roman" w:eastAsia="仿宋_GB2312"/>
          <w:bCs/>
          <w:sz w:val="30"/>
        </w:rPr>
        <w:t>分期发行填写示例：【专项计划申请分期发行，申请总规模XX亿元，其中优先级规模XX亿元，次级规模XX亿元，不超过X期，期限不超过X年。</w:t>
      </w:r>
    </w:p>
    <w:p w14:paraId="50334A58">
      <w:pPr>
        <w:pStyle w:val="83"/>
        <w:spacing w:line="360" w:lineRule="auto"/>
        <w:ind w:firstLine="600"/>
        <w:rPr>
          <w:rFonts w:ascii="Times New Roman" w:hAnsi="Times New Roman" w:eastAsia="仿宋_GB2312"/>
          <w:b/>
          <w:sz w:val="30"/>
        </w:rPr>
      </w:pPr>
      <w:r>
        <w:rPr>
          <w:rFonts w:ascii="Times New Roman" w:hAnsi="Times New Roman" w:eastAsia="仿宋_GB2312"/>
          <w:bCs/>
          <w:sz w:val="30"/>
        </w:rPr>
        <w:t>专项计划以首期真实池/模拟池申报，首期真实池/模拟池对应的资产支持证券分层情况如下：】</w:t>
      </w:r>
    </w:p>
    <w:tbl>
      <w:tblPr>
        <w:tblStyle w:val="32"/>
        <w:tblW w:w="8757" w:type="dxa"/>
        <w:jc w:val="center"/>
        <w:tblLayout w:type="fixed"/>
        <w:tblCellMar>
          <w:top w:w="0" w:type="dxa"/>
          <w:left w:w="108" w:type="dxa"/>
          <w:bottom w:w="0" w:type="dxa"/>
          <w:right w:w="108" w:type="dxa"/>
        </w:tblCellMar>
      </w:tblPr>
      <w:tblGrid>
        <w:gridCol w:w="1801"/>
        <w:gridCol w:w="1225"/>
        <w:gridCol w:w="1161"/>
        <w:gridCol w:w="979"/>
        <w:gridCol w:w="1219"/>
        <w:gridCol w:w="1294"/>
        <w:gridCol w:w="1077"/>
      </w:tblGrid>
      <w:tr w14:paraId="177C92B8">
        <w:tblPrEx>
          <w:tblCellMar>
            <w:top w:w="0" w:type="dxa"/>
            <w:left w:w="108" w:type="dxa"/>
            <w:bottom w:w="0" w:type="dxa"/>
            <w:right w:w="108" w:type="dxa"/>
          </w:tblCellMar>
        </w:tblPrEx>
        <w:trPr>
          <w:trHeight w:val="300" w:hRule="atLeast"/>
          <w:tblHeader/>
          <w:jc w:val="center"/>
        </w:trPr>
        <w:tc>
          <w:tcPr>
            <w:tcW w:w="18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E01046">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资产支持证券产品分层</w:t>
            </w:r>
          </w:p>
        </w:tc>
        <w:tc>
          <w:tcPr>
            <w:tcW w:w="1225" w:type="dxa"/>
            <w:tcBorders>
              <w:top w:val="single" w:color="000000" w:sz="4" w:space="0"/>
              <w:bottom w:val="single" w:color="000000" w:sz="4" w:space="0"/>
              <w:right w:val="single" w:color="000000" w:sz="4" w:space="0"/>
            </w:tcBorders>
            <w:shd w:val="clear" w:color="000000" w:fill="FFFFFF"/>
            <w:vAlign w:val="center"/>
          </w:tcPr>
          <w:p w14:paraId="1066D513">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发行规模（万元）</w:t>
            </w:r>
          </w:p>
        </w:tc>
        <w:tc>
          <w:tcPr>
            <w:tcW w:w="1161" w:type="dxa"/>
            <w:tcBorders>
              <w:top w:val="single" w:color="000000" w:sz="4" w:space="0"/>
              <w:bottom w:val="single" w:color="000000" w:sz="4" w:space="0"/>
              <w:right w:val="single" w:color="000000" w:sz="4" w:space="0"/>
            </w:tcBorders>
            <w:shd w:val="clear" w:color="000000" w:fill="FFFFFF"/>
            <w:vAlign w:val="center"/>
          </w:tcPr>
          <w:p w14:paraId="0FCC2D34">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发行规模占比（%）</w:t>
            </w:r>
          </w:p>
        </w:tc>
        <w:tc>
          <w:tcPr>
            <w:tcW w:w="979" w:type="dxa"/>
            <w:tcBorders>
              <w:top w:val="single" w:color="000000" w:sz="4" w:space="0"/>
              <w:bottom w:val="single" w:color="000000" w:sz="4" w:space="0"/>
              <w:right w:val="single" w:color="000000" w:sz="4" w:space="0"/>
            </w:tcBorders>
            <w:shd w:val="clear" w:color="000000" w:fill="FFFFFF"/>
            <w:vAlign w:val="center"/>
          </w:tcPr>
          <w:p w14:paraId="69E98A74">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期限（年）</w:t>
            </w:r>
          </w:p>
        </w:tc>
        <w:tc>
          <w:tcPr>
            <w:tcW w:w="1219" w:type="dxa"/>
            <w:tcBorders>
              <w:top w:val="single" w:color="000000" w:sz="4" w:space="0"/>
              <w:bottom w:val="single" w:color="000000" w:sz="4" w:space="0"/>
              <w:right w:val="single" w:color="000000" w:sz="4" w:space="0"/>
            </w:tcBorders>
            <w:shd w:val="clear" w:color="000000" w:fill="FFFFFF"/>
            <w:vAlign w:val="center"/>
          </w:tcPr>
          <w:p w14:paraId="53E054D3">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还本方式</w:t>
            </w:r>
          </w:p>
        </w:tc>
        <w:tc>
          <w:tcPr>
            <w:tcW w:w="1294" w:type="dxa"/>
            <w:tcBorders>
              <w:top w:val="single" w:color="000000" w:sz="4" w:space="0"/>
              <w:bottom w:val="single" w:color="000000" w:sz="4" w:space="0"/>
              <w:right w:val="single" w:color="000000" w:sz="4" w:space="0"/>
            </w:tcBorders>
            <w:shd w:val="clear" w:color="000000" w:fill="FFFFFF"/>
            <w:vAlign w:val="center"/>
          </w:tcPr>
          <w:p w14:paraId="6CBE3A4C">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计息频率</w:t>
            </w:r>
          </w:p>
        </w:tc>
        <w:tc>
          <w:tcPr>
            <w:tcW w:w="1077" w:type="dxa"/>
            <w:tcBorders>
              <w:top w:val="single" w:color="000000" w:sz="4" w:space="0"/>
              <w:bottom w:val="single" w:color="000000" w:sz="4" w:space="0"/>
              <w:right w:val="single" w:color="000000" w:sz="4" w:space="0"/>
            </w:tcBorders>
            <w:shd w:val="clear" w:color="000000" w:fill="FFFFFF"/>
            <w:vAlign w:val="center"/>
          </w:tcPr>
          <w:p w14:paraId="6C416985">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资信评级</w:t>
            </w:r>
          </w:p>
        </w:tc>
      </w:tr>
      <w:tr w14:paraId="12B818F0">
        <w:tblPrEx>
          <w:tblCellMar>
            <w:top w:w="0" w:type="dxa"/>
            <w:left w:w="108" w:type="dxa"/>
            <w:bottom w:w="0" w:type="dxa"/>
            <w:right w:w="108" w:type="dxa"/>
          </w:tblCellMar>
        </w:tblPrEx>
        <w:trPr>
          <w:trHeight w:val="567" w:hRule="exact"/>
          <w:jc w:val="center"/>
        </w:trPr>
        <w:tc>
          <w:tcPr>
            <w:tcW w:w="1801" w:type="dxa"/>
            <w:tcBorders>
              <w:left w:val="single" w:color="000000" w:sz="4" w:space="0"/>
              <w:bottom w:val="single" w:color="000000" w:sz="4" w:space="0"/>
              <w:right w:val="single" w:color="000000" w:sz="4" w:space="0"/>
            </w:tcBorders>
            <w:shd w:val="clear" w:color="000000" w:fill="FFFFFF"/>
          </w:tcPr>
          <w:p w14:paraId="0BD64DCF">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优先01</w:t>
            </w:r>
          </w:p>
        </w:tc>
        <w:tc>
          <w:tcPr>
            <w:tcW w:w="1225" w:type="dxa"/>
            <w:tcBorders>
              <w:bottom w:val="single" w:color="000000" w:sz="4" w:space="0"/>
              <w:right w:val="single" w:color="000000" w:sz="4" w:space="0"/>
            </w:tcBorders>
            <w:shd w:val="clear" w:color="000000" w:fill="FFFFFF"/>
          </w:tcPr>
          <w:p w14:paraId="27A58D04">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161" w:type="dxa"/>
            <w:tcBorders>
              <w:bottom w:val="single" w:color="000000" w:sz="4" w:space="0"/>
              <w:right w:val="single" w:color="000000" w:sz="4" w:space="0"/>
            </w:tcBorders>
            <w:shd w:val="clear" w:color="000000" w:fill="FFFFFF"/>
          </w:tcPr>
          <w:p w14:paraId="4FFE91EB">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979" w:type="dxa"/>
            <w:tcBorders>
              <w:bottom w:val="single" w:color="000000" w:sz="4" w:space="0"/>
              <w:right w:val="single" w:color="000000" w:sz="4" w:space="0"/>
            </w:tcBorders>
            <w:shd w:val="clear" w:color="000000" w:fill="FFFFFF"/>
          </w:tcPr>
          <w:p w14:paraId="06BE0FB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19" w:type="dxa"/>
            <w:tcBorders>
              <w:bottom w:val="single" w:color="000000" w:sz="4" w:space="0"/>
              <w:right w:val="single" w:color="000000" w:sz="4" w:space="0"/>
            </w:tcBorders>
            <w:shd w:val="clear" w:color="000000" w:fill="FFFFFF"/>
          </w:tcPr>
          <w:p w14:paraId="692F00BD">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94" w:type="dxa"/>
            <w:tcBorders>
              <w:bottom w:val="single" w:color="000000" w:sz="4" w:space="0"/>
              <w:right w:val="single" w:color="000000" w:sz="4" w:space="0"/>
            </w:tcBorders>
            <w:shd w:val="clear" w:color="000000" w:fill="FFFFFF"/>
          </w:tcPr>
          <w:p w14:paraId="3E740D0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77" w:type="dxa"/>
            <w:tcBorders>
              <w:bottom w:val="single" w:color="000000" w:sz="4" w:space="0"/>
              <w:right w:val="single" w:color="000000" w:sz="4" w:space="0"/>
            </w:tcBorders>
            <w:shd w:val="clear" w:color="000000" w:fill="FFFFFF"/>
          </w:tcPr>
          <w:p w14:paraId="0A606385">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6FB79F20">
        <w:tblPrEx>
          <w:tblCellMar>
            <w:top w:w="0" w:type="dxa"/>
            <w:left w:w="108" w:type="dxa"/>
            <w:bottom w:w="0" w:type="dxa"/>
            <w:right w:w="108" w:type="dxa"/>
          </w:tblCellMar>
        </w:tblPrEx>
        <w:trPr>
          <w:trHeight w:val="567" w:hRule="exact"/>
          <w:jc w:val="center"/>
        </w:trPr>
        <w:tc>
          <w:tcPr>
            <w:tcW w:w="1801" w:type="dxa"/>
            <w:tcBorders>
              <w:left w:val="single" w:color="000000" w:sz="4" w:space="0"/>
              <w:bottom w:val="single" w:color="000000" w:sz="4" w:space="0"/>
              <w:right w:val="single" w:color="000000" w:sz="4" w:space="0"/>
            </w:tcBorders>
            <w:shd w:val="clear" w:color="000000" w:fill="FFFFFF"/>
          </w:tcPr>
          <w:p w14:paraId="2C608AB9">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优先02</w:t>
            </w:r>
          </w:p>
        </w:tc>
        <w:tc>
          <w:tcPr>
            <w:tcW w:w="1225" w:type="dxa"/>
            <w:tcBorders>
              <w:bottom w:val="single" w:color="000000" w:sz="4" w:space="0"/>
              <w:right w:val="single" w:color="000000" w:sz="4" w:space="0"/>
            </w:tcBorders>
            <w:shd w:val="clear" w:color="000000" w:fill="FFFFFF"/>
          </w:tcPr>
          <w:p w14:paraId="33826AD0">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161" w:type="dxa"/>
            <w:tcBorders>
              <w:bottom w:val="single" w:color="000000" w:sz="4" w:space="0"/>
              <w:right w:val="single" w:color="000000" w:sz="4" w:space="0"/>
            </w:tcBorders>
            <w:shd w:val="clear" w:color="000000" w:fill="FFFFFF"/>
          </w:tcPr>
          <w:p w14:paraId="12672017">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979" w:type="dxa"/>
            <w:tcBorders>
              <w:bottom w:val="single" w:color="000000" w:sz="4" w:space="0"/>
              <w:right w:val="single" w:color="000000" w:sz="4" w:space="0"/>
            </w:tcBorders>
            <w:shd w:val="clear" w:color="000000" w:fill="FFFFFF"/>
          </w:tcPr>
          <w:p w14:paraId="0D8EA6C8">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19" w:type="dxa"/>
            <w:tcBorders>
              <w:bottom w:val="single" w:color="000000" w:sz="4" w:space="0"/>
              <w:right w:val="single" w:color="000000" w:sz="4" w:space="0"/>
            </w:tcBorders>
            <w:shd w:val="clear" w:color="000000" w:fill="FFFFFF"/>
          </w:tcPr>
          <w:p w14:paraId="260FCA20">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94" w:type="dxa"/>
            <w:tcBorders>
              <w:bottom w:val="single" w:color="000000" w:sz="4" w:space="0"/>
              <w:right w:val="single" w:color="000000" w:sz="4" w:space="0"/>
            </w:tcBorders>
            <w:shd w:val="clear" w:color="000000" w:fill="FFFFFF"/>
          </w:tcPr>
          <w:p w14:paraId="36C94AB8">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77" w:type="dxa"/>
            <w:tcBorders>
              <w:bottom w:val="single" w:color="000000" w:sz="4" w:space="0"/>
              <w:right w:val="single" w:color="000000" w:sz="4" w:space="0"/>
            </w:tcBorders>
            <w:shd w:val="clear" w:color="000000" w:fill="FFFFFF"/>
          </w:tcPr>
          <w:p w14:paraId="2544D17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5F7B8DED">
        <w:tblPrEx>
          <w:tblCellMar>
            <w:top w:w="0" w:type="dxa"/>
            <w:left w:w="108" w:type="dxa"/>
            <w:bottom w:w="0" w:type="dxa"/>
            <w:right w:w="108" w:type="dxa"/>
          </w:tblCellMar>
        </w:tblPrEx>
        <w:trPr>
          <w:trHeight w:val="567" w:hRule="exact"/>
          <w:jc w:val="center"/>
        </w:trPr>
        <w:tc>
          <w:tcPr>
            <w:tcW w:w="1801" w:type="dxa"/>
            <w:tcBorders>
              <w:left w:val="single" w:color="000000" w:sz="4" w:space="0"/>
              <w:bottom w:val="single" w:color="000000" w:sz="4" w:space="0"/>
              <w:right w:val="single" w:color="000000" w:sz="4" w:space="0"/>
            </w:tcBorders>
            <w:shd w:val="clear" w:color="000000" w:fill="FFFFFF"/>
          </w:tcPr>
          <w:p w14:paraId="33D3FB59">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优先级规模小计</w:t>
            </w:r>
          </w:p>
        </w:tc>
        <w:tc>
          <w:tcPr>
            <w:tcW w:w="1225" w:type="dxa"/>
            <w:tcBorders>
              <w:bottom w:val="single" w:color="000000" w:sz="4" w:space="0"/>
              <w:right w:val="single" w:color="000000" w:sz="4" w:space="0"/>
            </w:tcBorders>
            <w:shd w:val="clear" w:color="000000" w:fill="FFFFFF"/>
          </w:tcPr>
          <w:p w14:paraId="589758C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161" w:type="dxa"/>
            <w:tcBorders>
              <w:bottom w:val="single" w:color="000000" w:sz="4" w:space="0"/>
              <w:right w:val="single" w:color="000000" w:sz="4" w:space="0"/>
            </w:tcBorders>
            <w:shd w:val="clear" w:color="000000" w:fill="FFFFFF"/>
          </w:tcPr>
          <w:p w14:paraId="30CBCD1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979" w:type="dxa"/>
            <w:tcBorders>
              <w:bottom w:val="single" w:color="000000" w:sz="4" w:space="0"/>
              <w:right w:val="single" w:color="000000" w:sz="4" w:space="0"/>
            </w:tcBorders>
            <w:shd w:val="clear" w:color="000000" w:fill="FFFFFF"/>
          </w:tcPr>
          <w:p w14:paraId="1A8A6AE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19" w:type="dxa"/>
            <w:tcBorders>
              <w:bottom w:val="single" w:color="000000" w:sz="4" w:space="0"/>
              <w:right w:val="single" w:color="000000" w:sz="4" w:space="0"/>
            </w:tcBorders>
            <w:shd w:val="clear" w:color="000000" w:fill="FFFFFF"/>
          </w:tcPr>
          <w:p w14:paraId="0464D28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94" w:type="dxa"/>
            <w:tcBorders>
              <w:bottom w:val="single" w:color="000000" w:sz="4" w:space="0"/>
              <w:right w:val="single" w:color="000000" w:sz="4" w:space="0"/>
            </w:tcBorders>
            <w:shd w:val="clear" w:color="000000" w:fill="FFFFFF"/>
          </w:tcPr>
          <w:p w14:paraId="2B1D29C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77" w:type="dxa"/>
            <w:tcBorders>
              <w:bottom w:val="single" w:color="000000" w:sz="4" w:space="0"/>
              <w:right w:val="single" w:color="000000" w:sz="4" w:space="0"/>
            </w:tcBorders>
            <w:shd w:val="clear" w:color="000000" w:fill="FFFFFF"/>
          </w:tcPr>
          <w:p w14:paraId="562E4F57">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3932AD35">
        <w:tblPrEx>
          <w:tblCellMar>
            <w:top w:w="0" w:type="dxa"/>
            <w:left w:w="108" w:type="dxa"/>
            <w:bottom w:w="0" w:type="dxa"/>
            <w:right w:w="108" w:type="dxa"/>
          </w:tblCellMar>
        </w:tblPrEx>
        <w:trPr>
          <w:trHeight w:val="567" w:hRule="exact"/>
          <w:jc w:val="center"/>
        </w:trPr>
        <w:tc>
          <w:tcPr>
            <w:tcW w:w="1801" w:type="dxa"/>
            <w:tcBorders>
              <w:left w:val="single" w:color="000000" w:sz="4" w:space="0"/>
              <w:bottom w:val="single" w:color="000000" w:sz="4" w:space="0"/>
              <w:right w:val="single" w:color="000000" w:sz="4" w:space="0"/>
            </w:tcBorders>
            <w:shd w:val="clear" w:color="000000" w:fill="FFFFFF"/>
          </w:tcPr>
          <w:p w14:paraId="79A74C94">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次级规模</w:t>
            </w:r>
          </w:p>
        </w:tc>
        <w:tc>
          <w:tcPr>
            <w:tcW w:w="1225" w:type="dxa"/>
            <w:tcBorders>
              <w:bottom w:val="single" w:color="000000" w:sz="4" w:space="0"/>
              <w:right w:val="single" w:color="000000" w:sz="4" w:space="0"/>
            </w:tcBorders>
            <w:shd w:val="clear" w:color="000000" w:fill="FFFFFF"/>
          </w:tcPr>
          <w:p w14:paraId="2CE0D05A">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161" w:type="dxa"/>
            <w:tcBorders>
              <w:bottom w:val="single" w:color="000000" w:sz="4" w:space="0"/>
              <w:right w:val="single" w:color="000000" w:sz="4" w:space="0"/>
            </w:tcBorders>
            <w:shd w:val="clear" w:color="000000" w:fill="FFFFFF"/>
          </w:tcPr>
          <w:p w14:paraId="2CE85A82">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979" w:type="dxa"/>
            <w:tcBorders>
              <w:bottom w:val="single" w:color="000000" w:sz="4" w:space="0"/>
              <w:right w:val="single" w:color="000000" w:sz="4" w:space="0"/>
            </w:tcBorders>
            <w:shd w:val="clear" w:color="000000" w:fill="FFFFFF"/>
          </w:tcPr>
          <w:p w14:paraId="5950B4EB">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19" w:type="dxa"/>
            <w:tcBorders>
              <w:bottom w:val="single" w:color="000000" w:sz="4" w:space="0"/>
              <w:right w:val="single" w:color="000000" w:sz="4" w:space="0"/>
            </w:tcBorders>
            <w:shd w:val="clear" w:color="000000" w:fill="FFFFFF"/>
          </w:tcPr>
          <w:p w14:paraId="30937333">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94" w:type="dxa"/>
            <w:tcBorders>
              <w:bottom w:val="single" w:color="000000" w:sz="4" w:space="0"/>
              <w:right w:val="single" w:color="000000" w:sz="4" w:space="0"/>
            </w:tcBorders>
            <w:shd w:val="clear" w:color="000000" w:fill="FFFFFF"/>
          </w:tcPr>
          <w:p w14:paraId="5711BB9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77" w:type="dxa"/>
            <w:tcBorders>
              <w:bottom w:val="single" w:color="000000" w:sz="4" w:space="0"/>
              <w:right w:val="single" w:color="000000" w:sz="4" w:space="0"/>
            </w:tcBorders>
            <w:shd w:val="clear" w:color="000000" w:fill="FFFFFF"/>
          </w:tcPr>
          <w:p w14:paraId="422F91C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28234A4C">
        <w:tblPrEx>
          <w:tblCellMar>
            <w:top w:w="0" w:type="dxa"/>
            <w:left w:w="108" w:type="dxa"/>
            <w:bottom w:w="0" w:type="dxa"/>
            <w:right w:w="108" w:type="dxa"/>
          </w:tblCellMar>
        </w:tblPrEx>
        <w:trPr>
          <w:trHeight w:val="567" w:hRule="exact"/>
          <w:jc w:val="center"/>
        </w:trPr>
        <w:tc>
          <w:tcPr>
            <w:tcW w:w="1801" w:type="dxa"/>
            <w:tcBorders>
              <w:left w:val="single" w:color="000000" w:sz="4" w:space="0"/>
              <w:bottom w:val="single" w:color="000000" w:sz="4" w:space="0"/>
              <w:right w:val="single" w:color="000000" w:sz="4" w:space="0"/>
            </w:tcBorders>
            <w:shd w:val="clear" w:color="000000" w:fill="FFFFFF"/>
          </w:tcPr>
          <w:p w14:paraId="4F46DD3F">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总规模</w:t>
            </w:r>
          </w:p>
        </w:tc>
        <w:tc>
          <w:tcPr>
            <w:tcW w:w="1225" w:type="dxa"/>
            <w:tcBorders>
              <w:bottom w:val="single" w:color="000000" w:sz="4" w:space="0"/>
              <w:right w:val="single" w:color="000000" w:sz="4" w:space="0"/>
            </w:tcBorders>
            <w:shd w:val="clear" w:color="000000" w:fill="FFFFFF"/>
          </w:tcPr>
          <w:p w14:paraId="287F991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161" w:type="dxa"/>
            <w:tcBorders>
              <w:bottom w:val="single" w:color="000000" w:sz="4" w:space="0"/>
              <w:right w:val="single" w:color="000000" w:sz="4" w:space="0"/>
            </w:tcBorders>
            <w:shd w:val="clear" w:color="000000" w:fill="FFFFFF"/>
          </w:tcPr>
          <w:p w14:paraId="5E907BEB">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979" w:type="dxa"/>
            <w:tcBorders>
              <w:bottom w:val="single" w:color="000000" w:sz="4" w:space="0"/>
              <w:right w:val="single" w:color="000000" w:sz="4" w:space="0"/>
            </w:tcBorders>
            <w:shd w:val="clear" w:color="000000" w:fill="FFFFFF"/>
          </w:tcPr>
          <w:p w14:paraId="7A03F70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19" w:type="dxa"/>
            <w:tcBorders>
              <w:bottom w:val="single" w:color="000000" w:sz="4" w:space="0"/>
              <w:right w:val="single" w:color="000000" w:sz="4" w:space="0"/>
            </w:tcBorders>
            <w:shd w:val="clear" w:color="000000" w:fill="FFFFFF"/>
          </w:tcPr>
          <w:p w14:paraId="78573C87">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294" w:type="dxa"/>
            <w:tcBorders>
              <w:bottom w:val="single" w:color="000000" w:sz="4" w:space="0"/>
              <w:right w:val="single" w:color="000000" w:sz="4" w:space="0"/>
            </w:tcBorders>
            <w:shd w:val="clear" w:color="000000" w:fill="FFFFFF"/>
          </w:tcPr>
          <w:p w14:paraId="6EA7680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77" w:type="dxa"/>
            <w:tcBorders>
              <w:bottom w:val="single" w:color="000000" w:sz="4" w:space="0"/>
              <w:right w:val="single" w:color="000000" w:sz="4" w:space="0"/>
            </w:tcBorders>
            <w:shd w:val="clear" w:color="000000" w:fill="FFFFFF"/>
          </w:tcPr>
          <w:p w14:paraId="34E56DD8">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bl>
    <w:p w14:paraId="614940B8">
      <w:pPr>
        <w:spacing w:line="360" w:lineRule="auto"/>
        <w:ind w:firstLine="600"/>
        <w:rPr>
          <w:rFonts w:ascii="Times New Roman" w:hAnsi="Times New Roman" w:eastAsia="仿宋_GB2312"/>
          <w:sz w:val="30"/>
        </w:rPr>
      </w:pPr>
      <w:r>
        <w:rPr>
          <w:rFonts w:ascii="Times New Roman" w:hAnsi="Times New Roman" w:eastAsia="仿宋_GB2312"/>
          <w:kern w:val="0"/>
          <w:sz w:val="30"/>
          <w:lang w:val="zh-CN"/>
        </w:rPr>
        <w:t>请简述</w:t>
      </w:r>
      <w:r>
        <w:rPr>
          <w:rFonts w:ascii="Times New Roman" w:hAnsi="Times New Roman" w:eastAsia="仿宋_GB2312"/>
          <w:sz w:val="30"/>
        </w:rPr>
        <w:t>原始权益人风险自留安排，以及基础资产是否出表。</w:t>
      </w:r>
    </w:p>
    <w:p w14:paraId="389F891E">
      <w:pPr>
        <w:spacing w:line="360" w:lineRule="auto"/>
        <w:ind w:firstLine="600"/>
        <w:rPr>
          <w:rFonts w:ascii="Times New Roman" w:hAnsi="Times New Roman" w:eastAsia="仿宋_GB2312"/>
          <w:sz w:val="30"/>
        </w:rPr>
      </w:pPr>
      <w:r>
        <w:rPr>
          <w:rFonts w:ascii="Times New Roman" w:hAnsi="Times New Roman" w:eastAsia="仿宋_GB2312"/>
          <w:sz w:val="30"/>
        </w:rPr>
        <w:t>对于转让基础资产所取得的资金有具体用途指向或限制的项目，请简述资金用途。</w:t>
      </w:r>
    </w:p>
    <w:p w14:paraId="3CF3D014">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(五)</w:t>
      </w:r>
      <w:r>
        <w:rPr>
          <w:rFonts w:ascii="Times New Roman" w:hAnsi="Times New Roman" w:eastAsia="仿宋_GB2312"/>
          <w:b/>
          <w:kern w:val="0"/>
          <w:sz w:val="30"/>
          <w:szCs w:val="30"/>
        </w:rPr>
        <w:t>特定品种标识</w:t>
      </w:r>
    </w:p>
    <w:p w14:paraId="08BB76D9">
      <w:pPr>
        <w:spacing w:line="360" w:lineRule="auto"/>
        <w:ind w:firstLine="600"/>
        <w:rPr>
          <w:rFonts w:ascii="Times New Roman" w:hAnsi="Times New Roman" w:eastAsia="仿宋_GB2312"/>
          <w:sz w:val="30"/>
        </w:rPr>
      </w:pPr>
      <w:r>
        <w:rPr>
          <w:rFonts w:ascii="Times New Roman" w:hAnsi="Times New Roman" w:eastAsia="仿宋_GB2312"/>
          <w:kern w:val="0"/>
          <w:sz w:val="30"/>
          <w:szCs w:val="30"/>
        </w:rPr>
        <w:t>专项计划使用绿色（蓝色/碳中和）、低碳转型、乡村振兴、知识产权、住房租赁、“一带一路”、疫情防控、科技创新、可续发型等特定品种标识的</w:t>
      </w:r>
      <w:r>
        <w:rPr>
          <w:rFonts w:ascii="Times New Roman" w:hAnsi="Times New Roman" w:eastAsia="仿宋_GB2312"/>
          <w:sz w:val="30"/>
        </w:rPr>
        <w:t>，请简述依据。</w:t>
      </w:r>
      <w:bookmarkStart w:id="50" w:name="_Toc113068447"/>
      <w:bookmarkStart w:id="51" w:name="_Toc113428947"/>
      <w:bookmarkStart w:id="52" w:name="_Toc103590006"/>
    </w:p>
    <w:bookmarkEnd w:id="50"/>
    <w:bookmarkEnd w:id="51"/>
    <w:bookmarkEnd w:id="52"/>
    <w:p w14:paraId="18FB7D9A">
      <w:pPr>
        <w:pStyle w:val="83"/>
        <w:numPr>
          <w:ilvl w:val="0"/>
          <w:numId w:val="0"/>
        </w:numPr>
        <w:ind w:left="846" w:leftChars="0" w:hanging="420" w:firstLineChars="0"/>
        <w:rPr>
          <w:rFonts w:ascii="Times New Roman" w:hAnsi="Times New Roman" w:eastAsia="黑体"/>
          <w:b/>
          <w:bCs/>
          <w:kern w:val="0"/>
          <w:sz w:val="32"/>
          <w:szCs w:val="32"/>
          <w:lang w:val="zh-CN"/>
        </w:rPr>
      </w:pPr>
      <w:bookmarkStart w:id="53" w:name="_Toc478717261"/>
      <w:r>
        <w:rPr>
          <w:rFonts w:ascii="Times New Roman" w:hAnsi="Times New Roman" w:eastAsia="黑体" w:cs="Times New Roman"/>
          <w:b/>
          <w:bCs/>
          <w:color w:val="auto"/>
          <w:kern w:val="0"/>
          <w:sz w:val="32"/>
          <w:szCs w:val="32"/>
          <w:lang w:val="zh-CN" w:eastAsia="zh-CN" w:bidi="ar-SA"/>
        </w:rPr>
        <w:t>二、</w:t>
      </w:r>
      <w:r>
        <w:rPr>
          <w:rFonts w:ascii="Times New Roman" w:hAnsi="Times New Roman" w:eastAsia="黑体"/>
          <w:b/>
          <w:bCs/>
          <w:kern w:val="0"/>
          <w:sz w:val="32"/>
          <w:szCs w:val="30"/>
        </w:rPr>
        <w:t>基础资产</w:t>
      </w:r>
      <w:r>
        <w:rPr>
          <w:rFonts w:ascii="Times New Roman" w:hAnsi="Times New Roman" w:eastAsia="黑体"/>
          <w:b/>
          <w:bCs/>
          <w:kern w:val="0"/>
          <w:sz w:val="32"/>
          <w:szCs w:val="32"/>
        </w:rPr>
        <w:t>基本情况</w:t>
      </w:r>
      <w:bookmarkEnd w:id="53"/>
    </w:p>
    <w:p w14:paraId="19E8B4C4">
      <w:pPr>
        <w:snapToGrid w:val="0"/>
        <w:spacing w:line="360" w:lineRule="auto"/>
        <w:ind w:firstLine="600"/>
        <w:rPr>
          <w:rFonts w:ascii="Times New Roman" w:hAnsi="Times New Roman" w:eastAsia="仿宋_GB2312"/>
          <w:sz w:val="30"/>
        </w:rPr>
      </w:pPr>
      <w:r>
        <w:rPr>
          <w:rFonts w:ascii="Times New Roman" w:hAnsi="Times New Roman" w:eastAsia="仿宋_GB2312"/>
          <w:sz w:val="30"/>
        </w:rPr>
        <w:t>填写说明：请根据基础资产类型</w:t>
      </w:r>
      <w:r>
        <w:rPr>
          <w:rStyle w:val="41"/>
          <w:rFonts w:ascii="Times New Roman" w:hAnsi="Times New Roman" w:eastAsia="仿宋_GB2312"/>
          <w:sz w:val="30"/>
          <w:vertAlign w:val="superscript"/>
        </w:rPr>
        <w:footnoteReference w:id="0"/>
      </w:r>
      <w:r>
        <w:rPr>
          <w:rFonts w:ascii="Times New Roman" w:hAnsi="Times New Roman" w:eastAsia="仿宋_GB2312"/>
          <w:sz w:val="30"/>
        </w:rPr>
        <w:t>选择填写第（一）至（三）部分内容。</w:t>
      </w:r>
    </w:p>
    <w:p w14:paraId="0054300C">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(一)</w:t>
      </w:r>
      <w:r>
        <w:rPr>
          <w:rFonts w:ascii="Times New Roman" w:hAnsi="Times New Roman" w:eastAsia="仿宋_GB2312"/>
          <w:b/>
          <w:sz w:val="30"/>
        </w:rPr>
        <w:t>债权类基础资产情况</w:t>
      </w:r>
    </w:p>
    <w:p w14:paraId="60F45FC7">
      <w:pPr>
        <w:spacing w:line="360" w:lineRule="auto"/>
        <w:ind w:firstLine="600"/>
        <w:rPr>
          <w:rFonts w:ascii="Times New Roman" w:hAnsi="Times New Roman" w:eastAsia="仿宋_GB2312"/>
          <w:kern w:val="0"/>
          <w:sz w:val="30"/>
          <w:lang w:val="zh-CN"/>
        </w:rPr>
      </w:pPr>
      <w:r>
        <w:rPr>
          <w:rFonts w:ascii="Times New Roman" w:hAnsi="Times New Roman" w:eastAsia="仿宋_GB2312"/>
          <w:kern w:val="0"/>
          <w:sz w:val="30"/>
          <w:lang w:val="zh-CN"/>
        </w:rPr>
        <w:t>1.原始权益人展业情况，包括但不限于：</w:t>
      </w:r>
    </w:p>
    <w:p w14:paraId="24349B96">
      <w:pPr>
        <w:spacing w:line="360" w:lineRule="auto"/>
        <w:ind w:firstLine="600"/>
        <w:rPr>
          <w:rFonts w:ascii="Times New Roman" w:hAnsi="Times New Roman" w:eastAsia="仿宋_GB2312"/>
          <w:kern w:val="0"/>
          <w:sz w:val="30"/>
          <w:lang w:val="zh-CN"/>
        </w:rPr>
      </w:pPr>
      <w:r>
        <w:rPr>
          <w:rFonts w:ascii="Times New Roman" w:hAnsi="Times New Roman" w:eastAsia="仿宋_GB2312"/>
          <w:kern w:val="0"/>
          <w:sz w:val="30"/>
          <w:lang w:val="zh-CN"/>
        </w:rPr>
        <w:t>原始权益人展业起始日，原始权益人近三年逾期率、违约率等指标（包括其定义及计算公式）。</w:t>
      </w:r>
    </w:p>
    <w:p w14:paraId="0D715259">
      <w:pPr>
        <w:spacing w:line="360" w:lineRule="auto"/>
        <w:ind w:firstLine="600"/>
        <w:rPr>
          <w:rFonts w:ascii="Times New Roman" w:hAnsi="Times New Roman" w:eastAsia="仿宋_GB2312"/>
          <w:kern w:val="0"/>
          <w:sz w:val="30"/>
          <w:lang w:val="zh-CN"/>
        </w:rPr>
      </w:pPr>
      <w:r>
        <w:rPr>
          <w:rFonts w:ascii="Times New Roman" w:hAnsi="Times New Roman" w:eastAsia="仿宋_GB2312"/>
          <w:kern w:val="0"/>
          <w:sz w:val="30"/>
          <w:lang w:val="zh-CN"/>
        </w:rPr>
        <w:t>若基础资产是租赁债权等生息债权，请填写原始权益人近三年与基础资产相关的累计放款量（亿元）及截至最近一期放款余额（亿元）；若基础资产是应收账款等非生息债权，请填写原始权益人近三年与基础资产相关业务收入金额（亿元）及截至最近一期应收账款余额（亿元）；若为供应链项目，请填写核心企业近三年末应付账款余额（亿元）。</w:t>
      </w:r>
    </w:p>
    <w:p w14:paraId="3A0B3065">
      <w:pPr>
        <w:spacing w:line="360" w:lineRule="auto"/>
        <w:ind w:firstLine="600"/>
        <w:rPr>
          <w:rFonts w:ascii="Times New Roman" w:hAnsi="Times New Roman" w:eastAsia="仿宋_GB2312"/>
          <w:kern w:val="0"/>
          <w:sz w:val="30"/>
        </w:rPr>
      </w:pPr>
      <w:r>
        <w:rPr>
          <w:rFonts w:ascii="Times New Roman" w:hAnsi="Times New Roman" w:eastAsia="仿宋_GB2312"/>
          <w:kern w:val="0"/>
          <w:sz w:val="30"/>
        </w:rPr>
        <w:t>租赁类基础资产填写主要类型，比如汽车融资租赁，设备等融资租赁。</w:t>
      </w:r>
    </w:p>
    <w:p w14:paraId="6A06E3AD">
      <w:pPr>
        <w:spacing w:line="360" w:lineRule="auto"/>
        <w:ind w:firstLine="600"/>
        <w:rPr>
          <w:rFonts w:ascii="Times New Roman" w:hAnsi="Times New Roman" w:eastAsia="仿宋_GB2312"/>
          <w:kern w:val="0"/>
          <w:sz w:val="30"/>
        </w:rPr>
      </w:pPr>
      <w:r>
        <w:rPr>
          <w:rFonts w:ascii="Times New Roman" w:hAnsi="Times New Roman" w:eastAsia="仿宋_GB2312"/>
          <w:kern w:val="0"/>
          <w:sz w:val="30"/>
        </w:rPr>
        <w:t>小额贷款类需填写合作方、基础资产来源，主要贷款类型（比如个人或企业经营类小额贷款，个人消费类贷款）、贷款余额等。</w:t>
      </w:r>
    </w:p>
    <w:p w14:paraId="6E7B0EB6">
      <w:pPr>
        <w:spacing w:line="360" w:lineRule="auto"/>
        <w:ind w:firstLine="600"/>
        <w:rPr>
          <w:rFonts w:ascii="Times New Roman" w:hAnsi="Times New Roman" w:eastAsia="仿宋_GB2312"/>
          <w:sz w:val="30"/>
        </w:rPr>
      </w:pPr>
      <w:r>
        <w:rPr>
          <w:rFonts w:ascii="Times New Roman" w:hAnsi="Times New Roman" w:eastAsia="仿宋_GB2312"/>
          <w:sz w:val="30"/>
        </w:rPr>
        <w:t>2.基础资产池/首期基础资产池/模拟基础资产池总体特征</w:t>
      </w:r>
    </w:p>
    <w:tbl>
      <w:tblPr>
        <w:tblStyle w:val="32"/>
        <w:tblW w:w="8522" w:type="dxa"/>
        <w:jc w:val="center"/>
        <w:tblLayout w:type="fixed"/>
        <w:tblCellMar>
          <w:top w:w="0" w:type="dxa"/>
          <w:left w:w="108" w:type="dxa"/>
          <w:bottom w:w="0" w:type="dxa"/>
          <w:right w:w="108" w:type="dxa"/>
        </w:tblCellMar>
      </w:tblPr>
      <w:tblGrid>
        <w:gridCol w:w="5777"/>
        <w:gridCol w:w="2744"/>
      </w:tblGrid>
      <w:tr w14:paraId="2B6BA84E">
        <w:tblPrEx>
          <w:tblCellMar>
            <w:top w:w="0" w:type="dxa"/>
            <w:left w:w="108" w:type="dxa"/>
            <w:bottom w:w="0" w:type="dxa"/>
            <w:right w:w="108" w:type="dxa"/>
          </w:tblCellMar>
        </w:tblPrEx>
        <w:trPr>
          <w:trHeight w:val="567" w:hRule="exact"/>
          <w:jc w:val="center"/>
        </w:trPr>
        <w:tc>
          <w:tcPr>
            <w:tcW w:w="8521"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35B4EF5">
            <w:pPr>
              <w:widowControl/>
              <w:jc w:val="left"/>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资产池基本情况</w:t>
            </w:r>
          </w:p>
        </w:tc>
      </w:tr>
      <w:tr w14:paraId="35DE2227">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319652">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资产池本金余额（万元）</w:t>
            </w:r>
          </w:p>
        </w:tc>
        <w:tc>
          <w:tcPr>
            <w:tcW w:w="2744" w:type="dxa"/>
            <w:tcBorders>
              <w:top w:val="single" w:color="000000" w:sz="4" w:space="0"/>
              <w:bottom w:val="single" w:color="000000" w:sz="4" w:space="0"/>
              <w:right w:val="single" w:color="000000" w:sz="4" w:space="0"/>
            </w:tcBorders>
            <w:shd w:val="clear" w:color="auto" w:fill="auto"/>
            <w:vAlign w:val="center"/>
          </w:tcPr>
          <w:p w14:paraId="37B88D68">
            <w:pPr>
              <w:widowControl/>
              <w:jc w:val="left"/>
              <w:rPr>
                <w:rFonts w:ascii="Times New Roman" w:hAnsi="Times New Roman" w:eastAsia="仿宋_GB2312"/>
                <w:color w:val="000000"/>
                <w:kern w:val="0"/>
                <w:sz w:val="22"/>
              </w:rPr>
            </w:pPr>
          </w:p>
        </w:tc>
      </w:tr>
      <w:tr w14:paraId="113FDB0A">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C5CFA4">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基础资产总笔数</w:t>
            </w:r>
          </w:p>
        </w:tc>
        <w:tc>
          <w:tcPr>
            <w:tcW w:w="2744" w:type="dxa"/>
            <w:tcBorders>
              <w:top w:val="single" w:color="000000" w:sz="4" w:space="0"/>
              <w:bottom w:val="single" w:color="000000" w:sz="4" w:space="0"/>
              <w:right w:val="single" w:color="000000" w:sz="4" w:space="0"/>
            </w:tcBorders>
            <w:shd w:val="clear" w:color="auto" w:fill="auto"/>
            <w:vAlign w:val="center"/>
          </w:tcPr>
          <w:p w14:paraId="7A5AE2AD">
            <w:pPr>
              <w:widowControl/>
              <w:jc w:val="left"/>
              <w:rPr>
                <w:rFonts w:ascii="Times New Roman" w:hAnsi="Times New Roman" w:eastAsia="仿宋_GB2312"/>
                <w:color w:val="000000"/>
                <w:kern w:val="0"/>
                <w:sz w:val="22"/>
              </w:rPr>
            </w:pPr>
          </w:p>
        </w:tc>
      </w:tr>
      <w:tr w14:paraId="7E2A225E">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ECD9D4">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资产池本金余额对专项计划本金</w:t>
            </w:r>
            <w:r>
              <w:rPr>
                <w:rStyle w:val="41"/>
                <w:rFonts w:ascii="Times New Roman" w:hAnsi="Times New Roman" w:eastAsia="仿宋_GB2312"/>
                <w:color w:val="000000"/>
                <w:kern w:val="0"/>
                <w:sz w:val="22"/>
                <w:vertAlign w:val="superscript"/>
              </w:rPr>
              <w:footnoteReference w:id="1"/>
            </w:r>
            <w:r>
              <w:rPr>
                <w:rFonts w:ascii="Times New Roman" w:hAnsi="Times New Roman" w:eastAsia="仿宋_GB2312"/>
                <w:color w:val="000000"/>
                <w:kern w:val="0"/>
                <w:sz w:val="22"/>
              </w:rPr>
              <w:t>覆盖倍数</w:t>
            </w:r>
          </w:p>
        </w:tc>
        <w:tc>
          <w:tcPr>
            <w:tcW w:w="2744" w:type="dxa"/>
            <w:tcBorders>
              <w:top w:val="single" w:color="000000" w:sz="4" w:space="0"/>
              <w:bottom w:val="single" w:color="000000" w:sz="4" w:space="0"/>
              <w:right w:val="single" w:color="000000" w:sz="4" w:space="0"/>
            </w:tcBorders>
            <w:shd w:val="clear" w:color="auto" w:fill="auto"/>
            <w:vAlign w:val="center"/>
          </w:tcPr>
          <w:p w14:paraId="71934C14">
            <w:pPr>
              <w:widowControl/>
              <w:jc w:val="left"/>
              <w:rPr>
                <w:rFonts w:ascii="Times New Roman" w:hAnsi="Times New Roman" w:eastAsia="仿宋_GB2312"/>
                <w:color w:val="000000"/>
                <w:kern w:val="0"/>
                <w:sz w:val="22"/>
              </w:rPr>
            </w:pPr>
          </w:p>
        </w:tc>
      </w:tr>
      <w:tr w14:paraId="744FD410">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9FBE9F">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债务人数量（如有关联方，请标注关联方的数量及占比）</w:t>
            </w:r>
          </w:p>
        </w:tc>
        <w:tc>
          <w:tcPr>
            <w:tcW w:w="2744" w:type="dxa"/>
            <w:tcBorders>
              <w:top w:val="single" w:color="000000" w:sz="4" w:space="0"/>
              <w:bottom w:val="single" w:color="000000" w:sz="4" w:space="0"/>
              <w:right w:val="single" w:color="000000" w:sz="4" w:space="0"/>
            </w:tcBorders>
            <w:shd w:val="clear" w:color="auto" w:fill="auto"/>
            <w:vAlign w:val="center"/>
          </w:tcPr>
          <w:p w14:paraId="5F245404">
            <w:pPr>
              <w:widowControl/>
              <w:jc w:val="left"/>
              <w:rPr>
                <w:rFonts w:ascii="Times New Roman" w:hAnsi="Times New Roman" w:eastAsia="仿宋_GB2312"/>
                <w:color w:val="000000"/>
                <w:kern w:val="0"/>
                <w:sz w:val="22"/>
              </w:rPr>
            </w:pPr>
          </w:p>
        </w:tc>
      </w:tr>
      <w:tr w14:paraId="65F16E2B">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DE9807">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基础资产对资产支持证券的覆盖倍数</w:t>
            </w:r>
          </w:p>
        </w:tc>
        <w:tc>
          <w:tcPr>
            <w:tcW w:w="2744" w:type="dxa"/>
            <w:tcBorders>
              <w:top w:val="single" w:color="000000" w:sz="4" w:space="0"/>
              <w:bottom w:val="single" w:color="000000" w:sz="4" w:space="0"/>
              <w:right w:val="single" w:color="000000" w:sz="4" w:space="0"/>
            </w:tcBorders>
            <w:shd w:val="clear" w:color="auto" w:fill="auto"/>
            <w:vAlign w:val="center"/>
          </w:tcPr>
          <w:p w14:paraId="4E0FC77A">
            <w:pPr>
              <w:widowControl/>
              <w:jc w:val="left"/>
              <w:rPr>
                <w:rFonts w:ascii="Times New Roman" w:hAnsi="Times New Roman" w:eastAsia="仿宋_GB2312"/>
                <w:color w:val="000000"/>
                <w:kern w:val="0"/>
                <w:sz w:val="22"/>
              </w:rPr>
            </w:pPr>
          </w:p>
        </w:tc>
      </w:tr>
      <w:tr w14:paraId="3919AA7B">
        <w:tblPrEx>
          <w:tblCellMar>
            <w:top w:w="0" w:type="dxa"/>
            <w:left w:w="108" w:type="dxa"/>
            <w:bottom w:w="0" w:type="dxa"/>
            <w:right w:w="108" w:type="dxa"/>
          </w:tblCellMar>
        </w:tblPrEx>
        <w:trPr>
          <w:trHeight w:val="567" w:hRule="exact"/>
          <w:jc w:val="center"/>
        </w:trPr>
        <w:tc>
          <w:tcPr>
            <w:tcW w:w="8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99B43">
            <w:pPr>
              <w:widowControl/>
              <w:jc w:val="left"/>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资产池分布特征</w:t>
            </w:r>
          </w:p>
        </w:tc>
      </w:tr>
      <w:tr w14:paraId="57F8E3D4">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44812F">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单笔合同平均本金余额（万元）</w:t>
            </w:r>
          </w:p>
        </w:tc>
        <w:tc>
          <w:tcPr>
            <w:tcW w:w="2744" w:type="dxa"/>
            <w:tcBorders>
              <w:top w:val="single" w:color="000000" w:sz="4" w:space="0"/>
              <w:bottom w:val="single" w:color="000000" w:sz="4" w:space="0"/>
              <w:right w:val="single" w:color="000000" w:sz="4" w:space="0"/>
            </w:tcBorders>
            <w:shd w:val="clear" w:color="auto" w:fill="auto"/>
            <w:vAlign w:val="center"/>
          </w:tcPr>
          <w:p w14:paraId="49A8876F">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4EECE439">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3C7D54">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以合同本金余额为权重的加权平均利率（%）</w:t>
            </w:r>
          </w:p>
        </w:tc>
        <w:tc>
          <w:tcPr>
            <w:tcW w:w="2744" w:type="dxa"/>
            <w:tcBorders>
              <w:top w:val="single" w:color="000000" w:sz="4" w:space="0"/>
              <w:bottom w:val="single" w:color="000000" w:sz="4" w:space="0"/>
              <w:right w:val="single" w:color="000000" w:sz="4" w:space="0"/>
            </w:tcBorders>
            <w:shd w:val="clear" w:color="auto" w:fill="auto"/>
            <w:vAlign w:val="center"/>
          </w:tcPr>
          <w:p w14:paraId="0194933C">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7C0A8E5A">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F896AB">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加权平均合同剩余期限（月）</w:t>
            </w:r>
          </w:p>
        </w:tc>
        <w:tc>
          <w:tcPr>
            <w:tcW w:w="2744" w:type="dxa"/>
            <w:tcBorders>
              <w:top w:val="single" w:color="000000" w:sz="4" w:space="0"/>
              <w:bottom w:val="single" w:color="000000" w:sz="4" w:space="0"/>
              <w:right w:val="single" w:color="000000" w:sz="4" w:space="0"/>
            </w:tcBorders>
            <w:shd w:val="clear" w:color="auto" w:fill="auto"/>
            <w:vAlign w:val="center"/>
          </w:tcPr>
          <w:p w14:paraId="44B32107">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3B2704A2">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092B25">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加权平均影子评级（如有）</w:t>
            </w:r>
          </w:p>
        </w:tc>
        <w:tc>
          <w:tcPr>
            <w:tcW w:w="2744" w:type="dxa"/>
            <w:tcBorders>
              <w:top w:val="single" w:color="000000" w:sz="4" w:space="0"/>
              <w:bottom w:val="single" w:color="000000" w:sz="4" w:space="0"/>
              <w:right w:val="single" w:color="000000" w:sz="4" w:space="0"/>
            </w:tcBorders>
            <w:shd w:val="clear" w:color="auto" w:fill="auto"/>
            <w:vAlign w:val="center"/>
          </w:tcPr>
          <w:p w14:paraId="700EA3EC">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0E0CDED1">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6411D0">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本金余额最高的前五名债务人集中度（%）</w:t>
            </w:r>
          </w:p>
        </w:tc>
        <w:tc>
          <w:tcPr>
            <w:tcW w:w="2744" w:type="dxa"/>
            <w:tcBorders>
              <w:top w:val="single" w:color="000000" w:sz="4" w:space="0"/>
              <w:bottom w:val="single" w:color="000000" w:sz="4" w:space="0"/>
              <w:right w:val="single" w:color="000000" w:sz="4" w:space="0"/>
            </w:tcBorders>
            <w:shd w:val="clear" w:color="auto" w:fill="auto"/>
            <w:vAlign w:val="center"/>
          </w:tcPr>
          <w:p w14:paraId="51776621">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169FAED6">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0F0959">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本金余额最高的前五个行业集中度（%）</w:t>
            </w:r>
          </w:p>
        </w:tc>
        <w:tc>
          <w:tcPr>
            <w:tcW w:w="2744" w:type="dxa"/>
            <w:tcBorders>
              <w:top w:val="single" w:color="000000" w:sz="4" w:space="0"/>
              <w:bottom w:val="single" w:color="000000" w:sz="4" w:space="0"/>
              <w:right w:val="single" w:color="000000" w:sz="4" w:space="0"/>
            </w:tcBorders>
            <w:shd w:val="clear" w:color="auto" w:fill="auto"/>
            <w:vAlign w:val="center"/>
          </w:tcPr>
          <w:p w14:paraId="7A8BB4B7">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06491C92">
        <w:tblPrEx>
          <w:tblCellMar>
            <w:top w:w="0" w:type="dxa"/>
            <w:left w:w="108" w:type="dxa"/>
            <w:bottom w:w="0" w:type="dxa"/>
            <w:right w:w="108" w:type="dxa"/>
          </w:tblCellMar>
        </w:tblPrEx>
        <w:trPr>
          <w:trHeight w:val="567" w:hRule="exact"/>
          <w:jc w:val="center"/>
        </w:trPr>
        <w:tc>
          <w:tcPr>
            <w:tcW w:w="57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EF41CA">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本金余额最高的前五个地区集中度（地级市）（%）</w:t>
            </w:r>
          </w:p>
        </w:tc>
        <w:tc>
          <w:tcPr>
            <w:tcW w:w="2744" w:type="dxa"/>
            <w:tcBorders>
              <w:top w:val="single" w:color="000000" w:sz="4" w:space="0"/>
              <w:bottom w:val="single" w:color="000000" w:sz="4" w:space="0"/>
              <w:right w:val="single" w:color="000000" w:sz="4" w:space="0"/>
            </w:tcBorders>
            <w:shd w:val="clear" w:color="auto" w:fill="auto"/>
            <w:vAlign w:val="center"/>
          </w:tcPr>
          <w:p w14:paraId="43DBE53F">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bl>
    <w:p w14:paraId="3FFC9C77">
      <w:pPr>
        <w:tabs>
          <w:tab w:val="left" w:pos="600"/>
        </w:tabs>
        <w:spacing w:line="560" w:lineRule="exact"/>
        <w:ind w:firstLine="600"/>
        <w:textAlignment w:val="baseline"/>
        <w:rPr>
          <w:rFonts w:ascii="Times New Roman" w:hAnsi="Times New Roman" w:eastAsia="仿宋_GB2312"/>
          <w:sz w:val="30"/>
          <w:szCs w:val="30"/>
          <w:lang w:bidi="bo-CN"/>
        </w:rPr>
      </w:pPr>
      <w:r>
        <w:rPr>
          <w:rFonts w:ascii="Times New Roman" w:hAnsi="Times New Roman" w:eastAsia="仿宋_GB2312"/>
          <w:sz w:val="30"/>
          <w:szCs w:val="30"/>
          <w:lang w:bidi="bo-CN"/>
        </w:rPr>
        <w:t>3.</w:t>
      </w:r>
      <w:r>
        <w:rPr>
          <w:rFonts w:ascii="Times New Roman" w:hAnsi="Times New Roman" w:eastAsia="仿宋_GB2312"/>
          <w:sz w:val="30"/>
        </w:rPr>
        <w:t>基础资产池/首期基础资产池/模拟</w:t>
      </w:r>
      <w:r>
        <w:rPr>
          <w:rFonts w:ascii="Times New Roman" w:hAnsi="Times New Roman" w:eastAsia="仿宋_GB2312"/>
          <w:sz w:val="30"/>
          <w:szCs w:val="30"/>
          <w:lang w:bidi="bo-CN"/>
        </w:rPr>
        <w:t>资产影子评级（如有）</w:t>
      </w:r>
    </w:p>
    <w:tbl>
      <w:tblPr>
        <w:tblStyle w:val="32"/>
        <w:tblW w:w="8620" w:type="dxa"/>
        <w:jc w:val="center"/>
        <w:tblLayout w:type="fixed"/>
        <w:tblCellMar>
          <w:top w:w="0" w:type="dxa"/>
          <w:left w:w="108" w:type="dxa"/>
          <w:bottom w:w="0" w:type="dxa"/>
          <w:right w:w="108" w:type="dxa"/>
        </w:tblCellMar>
      </w:tblPr>
      <w:tblGrid>
        <w:gridCol w:w="3179"/>
        <w:gridCol w:w="2841"/>
        <w:gridCol w:w="2600"/>
      </w:tblGrid>
      <w:tr w14:paraId="5A7F5101">
        <w:tblPrEx>
          <w:tblCellMar>
            <w:top w:w="0" w:type="dxa"/>
            <w:left w:w="108" w:type="dxa"/>
            <w:bottom w:w="0" w:type="dxa"/>
            <w:right w:w="108" w:type="dxa"/>
          </w:tblCellMar>
        </w:tblPrEx>
        <w:trPr>
          <w:trHeight w:val="567" w:hRule="exact"/>
          <w:tblHeader/>
          <w:jc w:val="center"/>
        </w:trPr>
        <w:tc>
          <w:tcPr>
            <w:tcW w:w="3179" w:type="dxa"/>
            <w:tcBorders>
              <w:top w:val="single" w:color="000000" w:sz="4" w:space="0"/>
              <w:left w:val="single" w:color="000000" w:sz="4" w:space="0"/>
              <w:bottom w:val="single" w:color="000000" w:sz="4" w:space="0"/>
              <w:right w:val="single" w:color="000000" w:sz="4" w:space="0"/>
            </w:tcBorders>
            <w:shd w:val="clear" w:color="000000" w:fill="FFFFFF"/>
          </w:tcPr>
          <w:p w14:paraId="483396F2">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资产池影子评级</w:t>
            </w:r>
          </w:p>
        </w:tc>
        <w:tc>
          <w:tcPr>
            <w:tcW w:w="2841" w:type="dxa"/>
            <w:tcBorders>
              <w:top w:val="single" w:color="000000" w:sz="4" w:space="0"/>
              <w:bottom w:val="single" w:color="000000" w:sz="4" w:space="0"/>
            </w:tcBorders>
            <w:shd w:val="clear" w:color="000000" w:fill="FFFFFF"/>
          </w:tcPr>
          <w:p w14:paraId="036BD379">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债务人个数</w:t>
            </w:r>
          </w:p>
        </w:tc>
        <w:tc>
          <w:tcPr>
            <w:tcW w:w="2600" w:type="dxa"/>
            <w:tcBorders>
              <w:top w:val="single" w:color="000000" w:sz="4" w:space="0"/>
              <w:left w:val="single" w:color="000000" w:sz="4" w:space="0"/>
              <w:bottom w:val="single" w:color="000000" w:sz="4" w:space="0"/>
              <w:right w:val="single" w:color="000000" w:sz="4" w:space="0"/>
            </w:tcBorders>
            <w:shd w:val="clear" w:color="000000" w:fill="FFFFFF"/>
          </w:tcPr>
          <w:p w14:paraId="1DBC708F">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入池金额占比（%）</w:t>
            </w:r>
          </w:p>
        </w:tc>
      </w:tr>
      <w:tr w14:paraId="4F1A0B96">
        <w:tblPrEx>
          <w:tblCellMar>
            <w:top w:w="0" w:type="dxa"/>
            <w:left w:w="108" w:type="dxa"/>
            <w:bottom w:w="0" w:type="dxa"/>
            <w:right w:w="108" w:type="dxa"/>
          </w:tblCellMar>
        </w:tblPrEx>
        <w:trPr>
          <w:trHeight w:val="567" w:hRule="exact"/>
          <w:jc w:val="center"/>
        </w:trPr>
        <w:tc>
          <w:tcPr>
            <w:tcW w:w="3179" w:type="dxa"/>
            <w:tcBorders>
              <w:left w:val="single" w:color="000000" w:sz="4" w:space="0"/>
              <w:bottom w:val="single" w:color="000000" w:sz="4" w:space="0"/>
              <w:right w:val="single" w:color="000000" w:sz="4" w:space="0"/>
            </w:tcBorders>
            <w:shd w:val="clear" w:color="000000" w:fill="FFFFFF"/>
          </w:tcPr>
          <w:p w14:paraId="10B0EA75">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AAA</w:t>
            </w:r>
          </w:p>
        </w:tc>
        <w:tc>
          <w:tcPr>
            <w:tcW w:w="2841" w:type="dxa"/>
            <w:tcBorders>
              <w:bottom w:val="single" w:color="000000" w:sz="4" w:space="0"/>
            </w:tcBorders>
            <w:shd w:val="clear" w:color="000000" w:fill="FFFFFF"/>
          </w:tcPr>
          <w:p w14:paraId="2A8FCA47">
            <w:pPr>
              <w:keepNext/>
              <w:keepLines/>
              <w:widowControl/>
              <w:numPr>
                <w:ilvl w:val="0"/>
                <w:numId w:val="0"/>
              </w:numPr>
              <w:spacing w:before="340" w:after="330"/>
              <w:jc w:val="center"/>
              <w:outlineLvl w:val="0"/>
              <w:rPr>
                <w:rFonts w:ascii="Times New Roman" w:hAnsi="Times New Roman" w:eastAsia="仿宋_GB2312"/>
                <w:b/>
                <w:bCs/>
                <w:color w:val="000000"/>
                <w:kern w:val="0"/>
                <w:sz w:val="22"/>
              </w:rPr>
            </w:pPr>
          </w:p>
        </w:tc>
        <w:tc>
          <w:tcPr>
            <w:tcW w:w="2600" w:type="dxa"/>
            <w:tcBorders>
              <w:left w:val="single" w:color="000000" w:sz="4" w:space="0"/>
              <w:bottom w:val="single" w:color="000000" w:sz="4" w:space="0"/>
              <w:right w:val="single" w:color="000000" w:sz="4" w:space="0"/>
            </w:tcBorders>
            <w:shd w:val="clear" w:color="000000" w:fill="FFFFFF"/>
          </w:tcPr>
          <w:p w14:paraId="3A7D7C92">
            <w:pPr>
              <w:keepNext/>
              <w:keepLines/>
              <w:widowControl/>
              <w:numPr>
                <w:ilvl w:val="0"/>
                <w:numId w:val="0"/>
              </w:numPr>
              <w:spacing w:before="340" w:after="330"/>
              <w:jc w:val="center"/>
              <w:outlineLvl w:val="0"/>
              <w:rPr>
                <w:rFonts w:ascii="Times New Roman" w:hAnsi="Times New Roman" w:eastAsia="仿宋_GB2312"/>
                <w:color w:val="000000"/>
                <w:kern w:val="0"/>
                <w:sz w:val="22"/>
              </w:rPr>
            </w:pPr>
          </w:p>
        </w:tc>
      </w:tr>
      <w:tr w14:paraId="07225EBF">
        <w:tblPrEx>
          <w:tblCellMar>
            <w:top w:w="0" w:type="dxa"/>
            <w:left w:w="108" w:type="dxa"/>
            <w:bottom w:w="0" w:type="dxa"/>
            <w:right w:w="108" w:type="dxa"/>
          </w:tblCellMar>
        </w:tblPrEx>
        <w:trPr>
          <w:trHeight w:val="567" w:hRule="exact"/>
          <w:jc w:val="center"/>
        </w:trPr>
        <w:tc>
          <w:tcPr>
            <w:tcW w:w="3179" w:type="dxa"/>
            <w:tcBorders>
              <w:left w:val="single" w:color="000000" w:sz="4" w:space="0"/>
              <w:bottom w:val="single" w:color="000000" w:sz="4" w:space="0"/>
              <w:right w:val="single" w:color="000000" w:sz="4" w:space="0"/>
            </w:tcBorders>
            <w:shd w:val="clear" w:color="000000" w:fill="FFFFFF"/>
            <w:vAlign w:val="center"/>
          </w:tcPr>
          <w:p w14:paraId="117FAA57">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AA+</w:t>
            </w:r>
          </w:p>
        </w:tc>
        <w:tc>
          <w:tcPr>
            <w:tcW w:w="2841" w:type="dxa"/>
            <w:tcBorders>
              <w:bottom w:val="single" w:color="000000" w:sz="4" w:space="0"/>
            </w:tcBorders>
            <w:shd w:val="clear" w:color="000000" w:fill="FFFFFF"/>
          </w:tcPr>
          <w:p w14:paraId="0D52A00E">
            <w:pPr>
              <w:keepNext/>
              <w:keepLines/>
              <w:widowControl/>
              <w:numPr>
                <w:ilvl w:val="0"/>
                <w:numId w:val="0"/>
              </w:numPr>
              <w:spacing w:before="340" w:after="330"/>
              <w:jc w:val="center"/>
              <w:outlineLvl w:val="0"/>
              <w:rPr>
                <w:rFonts w:ascii="Times New Roman" w:hAnsi="Times New Roman" w:eastAsia="仿宋_GB2312"/>
                <w:b/>
                <w:bCs/>
                <w:color w:val="000000"/>
                <w:kern w:val="0"/>
                <w:sz w:val="22"/>
              </w:rPr>
            </w:pPr>
          </w:p>
        </w:tc>
        <w:tc>
          <w:tcPr>
            <w:tcW w:w="2600" w:type="dxa"/>
            <w:tcBorders>
              <w:left w:val="single" w:color="000000" w:sz="4" w:space="0"/>
              <w:bottom w:val="single" w:color="000000" w:sz="4" w:space="0"/>
              <w:right w:val="single" w:color="000000" w:sz="4" w:space="0"/>
            </w:tcBorders>
            <w:shd w:val="clear" w:color="000000" w:fill="FFFFFF"/>
            <w:vAlign w:val="center"/>
          </w:tcPr>
          <w:p w14:paraId="4D5B99C5">
            <w:pPr>
              <w:keepNext/>
              <w:keepLines/>
              <w:widowControl/>
              <w:numPr>
                <w:ilvl w:val="0"/>
                <w:numId w:val="0"/>
              </w:numPr>
              <w:spacing w:before="340" w:after="330"/>
              <w:jc w:val="center"/>
              <w:outlineLvl w:val="0"/>
              <w:rPr>
                <w:rFonts w:ascii="Times New Roman" w:hAnsi="Times New Roman" w:eastAsia="仿宋_GB2312"/>
                <w:color w:val="000000"/>
                <w:kern w:val="0"/>
                <w:sz w:val="22"/>
              </w:rPr>
            </w:pPr>
          </w:p>
        </w:tc>
      </w:tr>
      <w:tr w14:paraId="0351F0C9">
        <w:tblPrEx>
          <w:tblCellMar>
            <w:top w:w="0" w:type="dxa"/>
            <w:left w:w="108" w:type="dxa"/>
            <w:bottom w:w="0" w:type="dxa"/>
            <w:right w:w="108" w:type="dxa"/>
          </w:tblCellMar>
        </w:tblPrEx>
        <w:trPr>
          <w:trHeight w:val="567" w:hRule="exact"/>
          <w:jc w:val="center"/>
        </w:trPr>
        <w:tc>
          <w:tcPr>
            <w:tcW w:w="3179" w:type="dxa"/>
            <w:tcBorders>
              <w:left w:val="single" w:color="000000" w:sz="4" w:space="0"/>
              <w:bottom w:val="single" w:color="000000" w:sz="4" w:space="0"/>
              <w:right w:val="single" w:color="000000" w:sz="4" w:space="0"/>
            </w:tcBorders>
            <w:shd w:val="clear" w:color="000000" w:fill="FFFFFF"/>
            <w:vAlign w:val="center"/>
          </w:tcPr>
          <w:p w14:paraId="14011947">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w:t>
            </w:r>
          </w:p>
        </w:tc>
        <w:tc>
          <w:tcPr>
            <w:tcW w:w="2841" w:type="dxa"/>
            <w:tcBorders>
              <w:bottom w:val="single" w:color="000000" w:sz="4" w:space="0"/>
            </w:tcBorders>
            <w:shd w:val="clear" w:color="000000" w:fill="FFFFFF"/>
          </w:tcPr>
          <w:p w14:paraId="367F9A0F">
            <w:pPr>
              <w:keepNext/>
              <w:keepLines/>
              <w:widowControl/>
              <w:numPr>
                <w:ilvl w:val="0"/>
                <w:numId w:val="0"/>
              </w:numPr>
              <w:spacing w:before="340" w:after="330"/>
              <w:jc w:val="center"/>
              <w:outlineLvl w:val="0"/>
              <w:rPr>
                <w:rFonts w:ascii="Times New Roman" w:hAnsi="Times New Roman" w:eastAsia="仿宋_GB2312"/>
                <w:b/>
                <w:bCs/>
                <w:color w:val="000000"/>
                <w:kern w:val="0"/>
                <w:sz w:val="22"/>
              </w:rPr>
            </w:pPr>
          </w:p>
        </w:tc>
        <w:tc>
          <w:tcPr>
            <w:tcW w:w="2600" w:type="dxa"/>
            <w:tcBorders>
              <w:left w:val="single" w:color="000000" w:sz="4" w:space="0"/>
              <w:bottom w:val="single" w:color="000000" w:sz="4" w:space="0"/>
              <w:right w:val="single" w:color="000000" w:sz="4" w:space="0"/>
            </w:tcBorders>
            <w:shd w:val="clear" w:color="000000" w:fill="FFFFFF"/>
            <w:vAlign w:val="center"/>
          </w:tcPr>
          <w:p w14:paraId="28A41F80">
            <w:pPr>
              <w:keepNext/>
              <w:keepLines/>
              <w:widowControl/>
              <w:numPr>
                <w:ilvl w:val="0"/>
                <w:numId w:val="0"/>
              </w:numPr>
              <w:spacing w:before="340" w:after="330"/>
              <w:jc w:val="center"/>
              <w:outlineLvl w:val="0"/>
              <w:rPr>
                <w:rFonts w:ascii="Times New Roman" w:hAnsi="Times New Roman" w:eastAsia="仿宋_GB2312"/>
                <w:color w:val="000000"/>
                <w:kern w:val="0"/>
                <w:sz w:val="22"/>
              </w:rPr>
            </w:pPr>
          </w:p>
        </w:tc>
      </w:tr>
      <w:tr w14:paraId="0B0CC1F5">
        <w:tblPrEx>
          <w:tblCellMar>
            <w:top w:w="0" w:type="dxa"/>
            <w:left w:w="108" w:type="dxa"/>
            <w:bottom w:w="0" w:type="dxa"/>
            <w:right w:w="108" w:type="dxa"/>
          </w:tblCellMar>
        </w:tblPrEx>
        <w:trPr>
          <w:trHeight w:val="567" w:hRule="exact"/>
          <w:jc w:val="center"/>
        </w:trPr>
        <w:tc>
          <w:tcPr>
            <w:tcW w:w="3179" w:type="dxa"/>
            <w:tcBorders>
              <w:left w:val="single" w:color="000000" w:sz="4" w:space="0"/>
              <w:bottom w:val="single" w:color="000000" w:sz="4" w:space="0"/>
              <w:right w:val="single" w:color="000000" w:sz="4" w:space="0"/>
            </w:tcBorders>
            <w:shd w:val="clear" w:color="000000" w:fill="FFFFFF"/>
            <w:vAlign w:val="center"/>
          </w:tcPr>
          <w:p w14:paraId="36D27E1A">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合计</w:t>
            </w:r>
          </w:p>
        </w:tc>
        <w:tc>
          <w:tcPr>
            <w:tcW w:w="2841" w:type="dxa"/>
            <w:tcBorders>
              <w:bottom w:val="single" w:color="000000" w:sz="4" w:space="0"/>
            </w:tcBorders>
            <w:shd w:val="clear" w:color="auto" w:fill="auto"/>
            <w:vAlign w:val="center"/>
          </w:tcPr>
          <w:p w14:paraId="0ABEB1EB">
            <w:pPr>
              <w:keepNext/>
              <w:keepLines/>
              <w:widowControl/>
              <w:numPr>
                <w:ilvl w:val="0"/>
                <w:numId w:val="0"/>
              </w:numPr>
              <w:spacing w:before="340" w:after="330"/>
              <w:jc w:val="center"/>
              <w:outlineLvl w:val="0"/>
              <w:rPr>
                <w:rFonts w:ascii="Times New Roman" w:hAnsi="Times New Roman" w:eastAsia="仿宋_GB2312"/>
                <w:color w:val="000000"/>
                <w:kern w:val="0"/>
                <w:sz w:val="22"/>
              </w:rPr>
            </w:pPr>
          </w:p>
        </w:tc>
        <w:tc>
          <w:tcPr>
            <w:tcW w:w="2600" w:type="dxa"/>
            <w:tcBorders>
              <w:left w:val="single" w:color="000000" w:sz="4" w:space="0"/>
              <w:bottom w:val="single" w:color="000000" w:sz="4" w:space="0"/>
              <w:right w:val="single" w:color="000000" w:sz="4" w:space="0"/>
            </w:tcBorders>
            <w:shd w:val="clear" w:color="auto" w:fill="auto"/>
            <w:vAlign w:val="center"/>
          </w:tcPr>
          <w:p w14:paraId="103C763A">
            <w:pPr>
              <w:keepNext/>
              <w:keepLines/>
              <w:widowControl/>
              <w:numPr>
                <w:ilvl w:val="0"/>
                <w:numId w:val="0"/>
              </w:numPr>
              <w:spacing w:before="340" w:after="330"/>
              <w:jc w:val="center"/>
              <w:outlineLvl w:val="0"/>
              <w:rPr>
                <w:rFonts w:ascii="Times New Roman" w:hAnsi="Times New Roman" w:eastAsia="仿宋_GB2312"/>
                <w:color w:val="000000"/>
                <w:kern w:val="0"/>
                <w:sz w:val="22"/>
              </w:rPr>
            </w:pPr>
          </w:p>
        </w:tc>
      </w:tr>
    </w:tbl>
    <w:p w14:paraId="612D0B40">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(二)</w:t>
      </w:r>
      <w:r>
        <w:rPr>
          <w:rFonts w:ascii="Times New Roman" w:hAnsi="Times New Roman" w:eastAsia="仿宋_GB2312"/>
          <w:b/>
          <w:sz w:val="30"/>
        </w:rPr>
        <w:t>未来经营收入类基础资产情况</w:t>
      </w:r>
    </w:p>
    <w:p w14:paraId="0B6713C4">
      <w:pPr>
        <w:spacing w:line="360" w:lineRule="auto"/>
        <w:ind w:firstLine="600"/>
        <w:rPr>
          <w:rFonts w:ascii="Times New Roman" w:hAnsi="Times New Roman" w:eastAsia="仿宋_GB2312"/>
          <w:sz w:val="30"/>
          <w:szCs w:val="30"/>
          <w:lang w:bidi="bo-CN"/>
        </w:rPr>
      </w:pPr>
      <w:r>
        <w:rPr>
          <w:rFonts w:ascii="Times New Roman" w:hAnsi="Times New Roman" w:eastAsia="仿宋_GB2312"/>
          <w:sz w:val="30"/>
          <w:szCs w:val="30"/>
          <w:lang w:bidi="bo-CN"/>
        </w:rPr>
        <w:t>1.基础资产业务概况</w:t>
      </w:r>
    </w:p>
    <w:p w14:paraId="62842FE2">
      <w:pPr>
        <w:spacing w:line="360" w:lineRule="auto"/>
        <w:ind w:firstLine="600"/>
        <w:rPr>
          <w:rFonts w:ascii="Times New Roman" w:hAnsi="Times New Roman" w:eastAsia="仿宋_GB2312"/>
          <w:sz w:val="30"/>
          <w:szCs w:val="30"/>
          <w:lang w:bidi="bo-CN"/>
        </w:rPr>
      </w:pPr>
      <w:r>
        <w:rPr>
          <w:rFonts w:ascii="Times New Roman" w:hAnsi="Times New Roman" w:eastAsia="仿宋_GB2312"/>
          <w:sz w:val="30"/>
          <w:szCs w:val="30"/>
          <w:lang w:bidi="bo-CN"/>
        </w:rPr>
        <w:t>请用一句话简述基础资产业务概况，运营主体及其主体信用等级，基础资产相关业务占其营业收入比重。</w:t>
      </w:r>
    </w:p>
    <w:p w14:paraId="6EF7C6B9">
      <w:pPr>
        <w:spacing w:line="360" w:lineRule="auto"/>
        <w:ind w:firstLine="600"/>
        <w:rPr>
          <w:rFonts w:ascii="Times New Roman" w:hAnsi="Times New Roman" w:eastAsia="仿宋_GB2312"/>
          <w:sz w:val="30"/>
          <w:szCs w:val="30"/>
          <w:lang w:bidi="bo-CN"/>
        </w:rPr>
      </w:pPr>
      <w:r>
        <w:rPr>
          <w:rFonts w:ascii="Times New Roman" w:hAnsi="Times New Roman" w:eastAsia="仿宋_GB2312"/>
          <w:sz w:val="30"/>
          <w:szCs w:val="30"/>
          <w:lang w:bidi="bo-CN"/>
        </w:rPr>
        <w:t>基础设施类项目请说明经营资质情况及展期（如需）情况，并简要论述垄断性、排他性。</w:t>
      </w:r>
    </w:p>
    <w:p w14:paraId="345A264D">
      <w:pPr>
        <w:spacing w:line="360" w:lineRule="auto"/>
        <w:ind w:firstLine="600"/>
        <w:rPr>
          <w:rFonts w:ascii="Times New Roman" w:hAnsi="Times New Roman" w:eastAsia="仿宋_GB2312"/>
          <w:sz w:val="30"/>
          <w:szCs w:val="30"/>
          <w:lang w:bidi="bo-CN"/>
        </w:rPr>
      </w:pPr>
      <w:r>
        <w:rPr>
          <w:rFonts w:ascii="Times New Roman" w:hAnsi="Times New Roman" w:eastAsia="仿宋_GB2312"/>
          <w:sz w:val="30"/>
          <w:szCs w:val="30"/>
          <w:lang w:bidi="bo-CN"/>
        </w:rPr>
        <w:t>2.基础资产现金流预测</w:t>
      </w:r>
    </w:p>
    <w:p w14:paraId="3AB1D8D2">
      <w:pPr>
        <w:spacing w:line="360" w:lineRule="auto"/>
        <w:ind w:firstLine="600"/>
        <w:rPr>
          <w:rFonts w:ascii="Times New Roman" w:hAnsi="Times New Roman" w:eastAsia="仿宋_GB2312"/>
          <w:sz w:val="30"/>
          <w:szCs w:val="30"/>
          <w:lang w:bidi="bo-CN"/>
        </w:rPr>
      </w:pPr>
      <w:r>
        <w:rPr>
          <w:rFonts w:ascii="Times New Roman" w:hAnsi="Times New Roman" w:eastAsia="仿宋_GB2312"/>
          <w:sz w:val="30"/>
          <w:szCs w:val="30"/>
          <w:lang w:bidi="bo-CN"/>
        </w:rPr>
        <w:t>本项目采用【现金流入/净现金流】进行预测。</w:t>
      </w:r>
    </w:p>
    <w:p w14:paraId="053C9365">
      <w:pPr>
        <w:spacing w:line="360" w:lineRule="auto"/>
        <w:ind w:firstLine="600"/>
        <w:rPr>
          <w:rFonts w:ascii="Times New Roman" w:hAnsi="Times New Roman" w:eastAsia="仿宋_GB2312"/>
          <w:sz w:val="30"/>
          <w:szCs w:val="30"/>
          <w:lang w:bidi="bo-CN"/>
        </w:rPr>
      </w:pPr>
      <w:r>
        <w:rPr>
          <w:rFonts w:ascii="Times New Roman" w:hAnsi="Times New Roman" w:eastAsia="仿宋_GB2312"/>
          <w:sz w:val="30"/>
          <w:szCs w:val="30"/>
          <w:lang w:bidi="bo-CN"/>
        </w:rPr>
        <w:t>基础资产【现金流入/净现金流】现金流复合增长率最近三年为【%】，存续期内为【%】。历史或存续期内现金流波动较大的，请简要说明原因。</w:t>
      </w:r>
    </w:p>
    <w:tbl>
      <w:tblPr>
        <w:tblStyle w:val="32"/>
        <w:tblW w:w="8522" w:type="dxa"/>
        <w:jc w:val="center"/>
        <w:tblLayout w:type="fixed"/>
        <w:tblCellMar>
          <w:top w:w="0" w:type="dxa"/>
          <w:left w:w="108" w:type="dxa"/>
          <w:bottom w:w="0" w:type="dxa"/>
          <w:right w:w="108" w:type="dxa"/>
        </w:tblCellMar>
      </w:tblPr>
      <w:tblGrid>
        <w:gridCol w:w="3227"/>
        <w:gridCol w:w="882"/>
        <w:gridCol w:w="883"/>
        <w:gridCol w:w="883"/>
        <w:gridCol w:w="881"/>
        <w:gridCol w:w="883"/>
        <w:gridCol w:w="882"/>
      </w:tblGrid>
      <w:tr w14:paraId="698BBD61">
        <w:tblPrEx>
          <w:tblCellMar>
            <w:top w:w="0" w:type="dxa"/>
            <w:left w:w="108" w:type="dxa"/>
            <w:bottom w:w="0" w:type="dxa"/>
            <w:right w:w="108" w:type="dxa"/>
          </w:tblCellMar>
        </w:tblPrEx>
        <w:trPr>
          <w:trHeight w:val="480" w:hRule="atLeast"/>
          <w:tblHeader/>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2420D5CF">
            <w:pPr>
              <w:widowControl/>
              <w:rPr>
                <w:rFonts w:ascii="Times New Roman" w:hAnsi="Times New Roman" w:eastAsia="仿宋_GB2312"/>
                <w:bCs/>
                <w:color w:val="000000"/>
                <w:kern w:val="0"/>
                <w:szCs w:val="21"/>
              </w:rPr>
            </w:pPr>
          </w:p>
        </w:tc>
        <w:tc>
          <w:tcPr>
            <w:tcW w:w="882" w:type="dxa"/>
            <w:tcBorders>
              <w:top w:val="single" w:color="000000" w:sz="4" w:space="0"/>
              <w:left w:val="single" w:color="000000" w:sz="4" w:space="0"/>
              <w:bottom w:val="single" w:color="000000" w:sz="4" w:space="0"/>
              <w:right w:val="single" w:color="000000" w:sz="4" w:space="0"/>
            </w:tcBorders>
            <w:shd w:val="clear" w:color="000000" w:fill="FFFFFF"/>
          </w:tcPr>
          <w:p w14:paraId="23800814">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2019年度</w:t>
            </w:r>
          </w:p>
        </w:tc>
        <w:tc>
          <w:tcPr>
            <w:tcW w:w="883" w:type="dxa"/>
            <w:tcBorders>
              <w:top w:val="single" w:color="000000" w:sz="4" w:space="0"/>
              <w:bottom w:val="single" w:color="000000" w:sz="4" w:space="0"/>
              <w:right w:val="single" w:color="000000" w:sz="4" w:space="0"/>
            </w:tcBorders>
            <w:shd w:val="clear" w:color="000000" w:fill="FFFFFF"/>
          </w:tcPr>
          <w:p w14:paraId="0FC88D9E">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2020年度</w:t>
            </w:r>
          </w:p>
        </w:tc>
        <w:tc>
          <w:tcPr>
            <w:tcW w:w="883" w:type="dxa"/>
            <w:tcBorders>
              <w:top w:val="single" w:color="000000" w:sz="4" w:space="0"/>
              <w:bottom w:val="single" w:color="000000" w:sz="4" w:space="0"/>
              <w:right w:val="single" w:color="000000" w:sz="4" w:space="0"/>
            </w:tcBorders>
            <w:shd w:val="clear" w:color="000000" w:fill="FFFFFF"/>
          </w:tcPr>
          <w:p w14:paraId="02919825">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2021年度</w:t>
            </w:r>
          </w:p>
        </w:tc>
        <w:tc>
          <w:tcPr>
            <w:tcW w:w="881" w:type="dxa"/>
            <w:tcBorders>
              <w:top w:val="single" w:color="000000" w:sz="4" w:space="0"/>
              <w:bottom w:val="single" w:color="000000" w:sz="4" w:space="0"/>
              <w:right w:val="single" w:color="000000" w:sz="4" w:space="0"/>
            </w:tcBorders>
            <w:shd w:val="clear" w:color="000000" w:fill="FFFFFF"/>
          </w:tcPr>
          <w:p w14:paraId="32CC6622">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存续期第一年</w:t>
            </w:r>
          </w:p>
        </w:tc>
        <w:tc>
          <w:tcPr>
            <w:tcW w:w="883" w:type="dxa"/>
            <w:tcBorders>
              <w:top w:val="single" w:color="000000" w:sz="4" w:space="0"/>
              <w:bottom w:val="single" w:color="000000" w:sz="4" w:space="0"/>
              <w:right w:val="single" w:color="000000" w:sz="4" w:space="0"/>
            </w:tcBorders>
            <w:shd w:val="clear" w:color="000000" w:fill="FFFFFF"/>
          </w:tcPr>
          <w:p w14:paraId="180265D3">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存续期第二年</w:t>
            </w:r>
          </w:p>
        </w:tc>
        <w:tc>
          <w:tcPr>
            <w:tcW w:w="882" w:type="dxa"/>
            <w:tcBorders>
              <w:top w:val="single" w:color="000000" w:sz="4" w:space="0"/>
              <w:bottom w:val="single" w:color="000000" w:sz="4" w:space="0"/>
              <w:right w:val="single" w:color="000000" w:sz="4" w:space="0"/>
            </w:tcBorders>
            <w:shd w:val="clear" w:color="000000" w:fill="FFFFFF"/>
          </w:tcPr>
          <w:p w14:paraId="212AE780">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存续期</w:t>
            </w:r>
          </w:p>
          <w:p w14:paraId="435CC847">
            <w:pPr>
              <w:widowControl/>
              <w:jc w:val="center"/>
              <w:rPr>
                <w:rFonts w:ascii="Times New Roman" w:hAnsi="Times New Roman" w:eastAsia="仿宋_GB2312"/>
                <w:bCs/>
                <w:color w:val="000000"/>
                <w:kern w:val="0"/>
                <w:szCs w:val="21"/>
              </w:rPr>
            </w:pPr>
            <w:r>
              <w:rPr>
                <w:rFonts w:ascii="Times New Roman" w:hAnsi="Times New Roman" w:eastAsia="仿宋_GB2312"/>
                <w:bCs/>
                <w:color w:val="000000"/>
                <w:kern w:val="0"/>
                <w:szCs w:val="21"/>
              </w:rPr>
              <w:t>…</w:t>
            </w:r>
          </w:p>
        </w:tc>
      </w:tr>
      <w:tr w14:paraId="7663F5D9">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6B193429">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假设条件1（例如用水量）</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Pr>
          <w:p w14:paraId="003C73BA">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30BBACF9">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015DE11D">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1" w:type="dxa"/>
            <w:tcBorders>
              <w:top w:val="single" w:color="000000" w:sz="4" w:space="0"/>
              <w:bottom w:val="single" w:color="000000" w:sz="4" w:space="0"/>
              <w:right w:val="single" w:color="000000" w:sz="4" w:space="0"/>
            </w:tcBorders>
            <w:shd w:val="clear" w:color="000000" w:fill="FFFFFF"/>
          </w:tcPr>
          <w:p w14:paraId="4592412C">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41959197">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2" w:type="dxa"/>
            <w:tcBorders>
              <w:top w:val="single" w:color="000000" w:sz="4" w:space="0"/>
              <w:bottom w:val="single" w:color="000000" w:sz="4" w:space="0"/>
              <w:right w:val="single" w:color="000000" w:sz="4" w:space="0"/>
            </w:tcBorders>
            <w:shd w:val="clear" w:color="000000" w:fill="FFFFFF"/>
          </w:tcPr>
          <w:p w14:paraId="1942284E">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r>
      <w:tr w14:paraId="4682CA06">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482AC2D1">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假设条件1增长率%</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Pr>
          <w:p w14:paraId="1E2490F8">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2ACA8ADA">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503BF7FE">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1" w:type="dxa"/>
            <w:tcBorders>
              <w:top w:val="single" w:color="000000" w:sz="4" w:space="0"/>
              <w:bottom w:val="single" w:color="000000" w:sz="4" w:space="0"/>
              <w:right w:val="single" w:color="000000" w:sz="4" w:space="0"/>
            </w:tcBorders>
            <w:shd w:val="clear" w:color="000000" w:fill="FFFFFF"/>
          </w:tcPr>
          <w:p w14:paraId="5ED8A5BB">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42E55CDD">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2" w:type="dxa"/>
            <w:tcBorders>
              <w:top w:val="single" w:color="000000" w:sz="4" w:space="0"/>
              <w:bottom w:val="single" w:color="000000" w:sz="4" w:space="0"/>
              <w:right w:val="single" w:color="000000" w:sz="4" w:space="0"/>
            </w:tcBorders>
            <w:shd w:val="clear" w:color="000000" w:fill="FFFFFF"/>
          </w:tcPr>
          <w:p w14:paraId="049546CD">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r>
      <w:tr w14:paraId="3C3F88B0">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10365A35">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假设条件2（例如水价）</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Pr>
          <w:p w14:paraId="313691C5">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3E1C1432">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50DEA0E7">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1" w:type="dxa"/>
            <w:tcBorders>
              <w:top w:val="single" w:color="000000" w:sz="4" w:space="0"/>
              <w:bottom w:val="single" w:color="000000" w:sz="4" w:space="0"/>
              <w:right w:val="single" w:color="000000" w:sz="4" w:space="0"/>
            </w:tcBorders>
            <w:shd w:val="clear" w:color="000000" w:fill="FFFFFF"/>
          </w:tcPr>
          <w:p w14:paraId="496C7F30">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6C82A433">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2" w:type="dxa"/>
            <w:tcBorders>
              <w:top w:val="single" w:color="000000" w:sz="4" w:space="0"/>
              <w:bottom w:val="single" w:color="000000" w:sz="4" w:space="0"/>
              <w:right w:val="single" w:color="000000" w:sz="4" w:space="0"/>
            </w:tcBorders>
            <w:shd w:val="clear" w:color="000000" w:fill="FFFFFF"/>
          </w:tcPr>
          <w:p w14:paraId="47DC8525">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r>
      <w:tr w14:paraId="4E124E74">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27E63756">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假设条件2增长率%</w:t>
            </w:r>
          </w:p>
        </w:tc>
        <w:tc>
          <w:tcPr>
            <w:tcW w:w="882" w:type="dxa"/>
            <w:tcBorders>
              <w:top w:val="single" w:color="000000" w:sz="4" w:space="0"/>
              <w:left w:val="single" w:color="000000" w:sz="4" w:space="0"/>
              <w:bottom w:val="single" w:color="000000" w:sz="4" w:space="0"/>
              <w:right w:val="single" w:color="000000" w:sz="4" w:space="0"/>
            </w:tcBorders>
            <w:shd w:val="clear" w:color="000000" w:fill="FFFFFF"/>
          </w:tcPr>
          <w:p w14:paraId="214956EF">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0860201C">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4E6C76AC">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1" w:type="dxa"/>
            <w:tcBorders>
              <w:top w:val="single" w:color="000000" w:sz="4" w:space="0"/>
              <w:bottom w:val="single" w:color="000000" w:sz="4" w:space="0"/>
              <w:right w:val="single" w:color="000000" w:sz="4" w:space="0"/>
            </w:tcBorders>
            <w:shd w:val="clear" w:color="000000" w:fill="FFFFFF"/>
          </w:tcPr>
          <w:p w14:paraId="3274908E">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3" w:type="dxa"/>
            <w:tcBorders>
              <w:top w:val="single" w:color="000000" w:sz="4" w:space="0"/>
              <w:bottom w:val="single" w:color="000000" w:sz="4" w:space="0"/>
              <w:right w:val="single" w:color="000000" w:sz="4" w:space="0"/>
            </w:tcBorders>
            <w:shd w:val="clear" w:color="000000" w:fill="FFFFFF"/>
          </w:tcPr>
          <w:p w14:paraId="2922A45B">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c>
          <w:tcPr>
            <w:tcW w:w="882" w:type="dxa"/>
            <w:tcBorders>
              <w:top w:val="single" w:color="000000" w:sz="4" w:space="0"/>
              <w:bottom w:val="single" w:color="000000" w:sz="4" w:space="0"/>
              <w:right w:val="single" w:color="000000" w:sz="4" w:space="0"/>
            </w:tcBorders>
            <w:shd w:val="clear" w:color="000000" w:fill="FFFFFF"/>
          </w:tcPr>
          <w:p w14:paraId="2438CBF5">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Cs w:val="21"/>
              </w:rPr>
            </w:pPr>
          </w:p>
        </w:tc>
      </w:tr>
      <w:tr w14:paraId="5AE55DDC">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444F0B28">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基础资产现金流入（万元）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6DBCD5E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7380F84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580BBA8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4D96CC5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3365A71C">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541E12F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7A37459E">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1BCB9C6A">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增长率%</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0B46D382">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24D672F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008BE0B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2094BA9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14BF071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6B9C23AD">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5C52EE75">
        <w:tblPrEx>
          <w:tblCellMar>
            <w:top w:w="0" w:type="dxa"/>
            <w:left w:w="108" w:type="dxa"/>
            <w:bottom w:w="0" w:type="dxa"/>
            <w:right w:w="108" w:type="dxa"/>
          </w:tblCellMar>
        </w:tblPrEx>
        <w:trPr>
          <w:trHeight w:val="880"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729FE104">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基础资产运营支出（万元，若采用净现金流预测）</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3CD0B5C5">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34D27B4D">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00C4B5A7">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6BF36D8C">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14627AB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70B89633">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4BA58643">
        <w:tblPrEx>
          <w:tblCellMar>
            <w:top w:w="0" w:type="dxa"/>
            <w:left w:w="108" w:type="dxa"/>
            <w:bottom w:w="0" w:type="dxa"/>
            <w:right w:w="108" w:type="dxa"/>
          </w:tblCellMar>
        </w:tblPrEx>
        <w:trPr>
          <w:trHeight w:val="862"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222768BE">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净现金流（万元，若采用净现金流预测）</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4491DE8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28D3878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169AF51C">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490758D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50BA42EF">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45A4167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4D4C28FB">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tcPr>
          <w:p w14:paraId="472E38E9">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增长率%（若采用净现金流预测）</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3EF87355">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3AB5D3DD">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6EB379CF">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2B0CCA2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13C6F1FF">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3A1DB86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0A08ADEA">
        <w:tblPrEx>
          <w:tblCellMar>
            <w:top w:w="0" w:type="dxa"/>
            <w:left w:w="108" w:type="dxa"/>
            <w:bottom w:w="0" w:type="dxa"/>
            <w:right w:w="108" w:type="dxa"/>
          </w:tblCellMar>
        </w:tblPrEx>
        <w:trPr>
          <w:trHeight w:val="567"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71914F">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优先级还本付息金额</w:t>
            </w:r>
            <w:r>
              <w:rPr>
                <w:rFonts w:ascii="Times New Roman" w:hAnsi="Times New Roman" w:eastAsia="仿宋_GB2312"/>
                <w:bCs/>
                <w:color w:val="000000"/>
                <w:kern w:val="0"/>
                <w:szCs w:val="21"/>
              </w:rPr>
              <w:t>（万元）</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20001431">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26E4A7D0">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0D1C2C6A">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21BFDD6D">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3363F7A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6BFE174F">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r w14:paraId="6E9DB602">
        <w:tblPrEx>
          <w:tblCellMar>
            <w:top w:w="0" w:type="dxa"/>
            <w:left w:w="108" w:type="dxa"/>
            <w:bottom w:w="0" w:type="dxa"/>
            <w:right w:w="108" w:type="dxa"/>
          </w:tblCellMar>
        </w:tblPrEx>
        <w:trPr>
          <w:trHeight w:val="834" w:hRule="exact"/>
          <w:jc w:val="center"/>
        </w:trPr>
        <w:tc>
          <w:tcPr>
            <w:tcW w:w="322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15036E">
            <w:pPr>
              <w:widowControl/>
              <w:rPr>
                <w:rFonts w:ascii="Times New Roman" w:hAnsi="Times New Roman" w:eastAsia="仿宋_GB2312"/>
                <w:color w:val="000000"/>
                <w:kern w:val="0"/>
                <w:szCs w:val="21"/>
              </w:rPr>
            </w:pPr>
            <w:r>
              <w:rPr>
                <w:rFonts w:ascii="Times New Roman" w:hAnsi="Times New Roman" w:eastAsia="仿宋_GB2312"/>
                <w:bCs/>
                <w:color w:val="000000"/>
                <w:kern w:val="0"/>
                <w:szCs w:val="21"/>
              </w:rPr>
              <w:t>基础资产现金流入/净现金流</w:t>
            </w:r>
            <w:r>
              <w:rPr>
                <w:rFonts w:ascii="Times New Roman" w:hAnsi="Times New Roman" w:eastAsia="仿宋_GB2312"/>
                <w:color w:val="000000"/>
                <w:kern w:val="0"/>
                <w:szCs w:val="21"/>
              </w:rPr>
              <w:t>对优先级本息覆盖倍数</w:t>
            </w:r>
          </w:p>
        </w:tc>
        <w:tc>
          <w:tcPr>
            <w:tcW w:w="882" w:type="dxa"/>
            <w:tcBorders>
              <w:top w:val="single" w:color="000000" w:sz="4" w:space="0"/>
              <w:left w:val="single" w:color="000000" w:sz="4" w:space="0"/>
              <w:bottom w:val="single" w:color="000000" w:sz="4" w:space="0"/>
              <w:right w:val="single" w:color="000000" w:sz="4" w:space="0"/>
            </w:tcBorders>
            <w:shd w:val="clear" w:color="auto" w:fill="auto"/>
          </w:tcPr>
          <w:p w14:paraId="3EE8EEA9">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46DC4EAE">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17890B6D">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1" w:type="dxa"/>
            <w:tcBorders>
              <w:top w:val="single" w:color="000000" w:sz="4" w:space="0"/>
              <w:bottom w:val="single" w:color="000000" w:sz="4" w:space="0"/>
              <w:right w:val="single" w:color="000000" w:sz="4" w:space="0"/>
            </w:tcBorders>
            <w:shd w:val="clear" w:color="auto" w:fill="auto"/>
          </w:tcPr>
          <w:p w14:paraId="6F6A9016">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3" w:type="dxa"/>
            <w:tcBorders>
              <w:top w:val="single" w:color="000000" w:sz="4" w:space="0"/>
              <w:bottom w:val="single" w:color="000000" w:sz="4" w:space="0"/>
              <w:right w:val="single" w:color="000000" w:sz="4" w:space="0"/>
            </w:tcBorders>
            <w:shd w:val="clear" w:color="auto" w:fill="auto"/>
          </w:tcPr>
          <w:p w14:paraId="0E03E9A5">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882" w:type="dxa"/>
            <w:tcBorders>
              <w:top w:val="single" w:color="000000" w:sz="4" w:space="0"/>
              <w:bottom w:val="single" w:color="000000" w:sz="4" w:space="0"/>
              <w:right w:val="single" w:color="000000" w:sz="4" w:space="0"/>
            </w:tcBorders>
          </w:tcPr>
          <w:p w14:paraId="0B5DFEF8">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r>
    </w:tbl>
    <w:p w14:paraId="06A928EA">
      <w:pPr>
        <w:ind w:firstLine="600"/>
        <w:rPr>
          <w:rFonts w:ascii="Times New Roman" w:hAnsi="Times New Roman" w:eastAsia="仿宋_GB2312"/>
          <w:sz w:val="30"/>
        </w:rPr>
      </w:pPr>
      <w:r>
        <w:rPr>
          <w:rFonts w:ascii="Times New Roman" w:hAnsi="Times New Roman" w:eastAsia="仿宋_GB2312"/>
          <w:sz w:val="30"/>
        </w:rPr>
        <w:t>3.持续运营能力</w:t>
      </w:r>
    </w:p>
    <w:p w14:paraId="72A6B932">
      <w:pPr>
        <w:spacing w:line="560" w:lineRule="exact"/>
        <w:ind w:firstLine="567"/>
        <w:rPr>
          <w:rFonts w:ascii="Times New Roman" w:hAnsi="Times New Roman" w:eastAsia="仿宋_GB2312"/>
          <w:kern w:val="0"/>
          <w:sz w:val="30"/>
        </w:rPr>
      </w:pPr>
      <w:r>
        <w:rPr>
          <w:rFonts w:ascii="Times New Roman" w:hAnsi="Times New Roman" w:eastAsia="仿宋_GB2312"/>
          <w:kern w:val="0"/>
          <w:sz w:val="30"/>
        </w:rPr>
        <w:t>请说明特定原始权益人运营资金是否存在缺口，及存在缺口时的运营保障资金来源及安排。</w:t>
      </w:r>
    </w:p>
    <w:p w14:paraId="531DFED3">
      <w:pPr>
        <w:spacing w:line="560" w:lineRule="exact"/>
        <w:ind w:firstLine="416"/>
        <w:jc w:val="right"/>
        <w:rPr>
          <w:rFonts w:ascii="Times New Roman" w:hAnsi="Times New Roman" w:eastAsia="仿宋_GB2312"/>
          <w:kern w:val="0"/>
          <w:sz w:val="22"/>
        </w:rPr>
      </w:pPr>
      <w:r>
        <w:rPr>
          <w:rFonts w:ascii="Times New Roman" w:hAnsi="Times New Roman" w:eastAsia="仿宋_GB2312"/>
          <w:kern w:val="0"/>
          <w:sz w:val="22"/>
        </w:rPr>
        <w:t>单位：万元</w:t>
      </w:r>
    </w:p>
    <w:tbl>
      <w:tblPr>
        <w:tblStyle w:val="32"/>
        <w:tblW w:w="8691" w:type="dxa"/>
        <w:jc w:val="center"/>
        <w:tblLayout w:type="fixed"/>
        <w:tblCellMar>
          <w:top w:w="0" w:type="dxa"/>
          <w:left w:w="108" w:type="dxa"/>
          <w:bottom w:w="0" w:type="dxa"/>
          <w:right w:w="108" w:type="dxa"/>
        </w:tblCellMar>
      </w:tblPr>
      <w:tblGrid>
        <w:gridCol w:w="4064"/>
        <w:gridCol w:w="1507"/>
        <w:gridCol w:w="1560"/>
        <w:gridCol w:w="1559"/>
      </w:tblGrid>
      <w:tr w14:paraId="0B62060B">
        <w:tblPrEx>
          <w:tblCellMar>
            <w:top w:w="0" w:type="dxa"/>
            <w:left w:w="108" w:type="dxa"/>
            <w:bottom w:w="0" w:type="dxa"/>
            <w:right w:w="108" w:type="dxa"/>
          </w:tblCellMar>
        </w:tblPrEx>
        <w:trPr>
          <w:trHeight w:val="480" w:hRule="atLeast"/>
          <w:tblHeader/>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5A147FF9">
            <w:pPr>
              <w:widowControl/>
              <w:rPr>
                <w:rFonts w:ascii="Times New Roman" w:hAnsi="Times New Roman" w:eastAsia="仿宋_GB2312"/>
                <w:bCs/>
                <w:color w:val="000000"/>
                <w:kern w:val="0"/>
                <w:sz w:val="22"/>
              </w:rPr>
            </w:pPr>
          </w:p>
        </w:tc>
        <w:tc>
          <w:tcPr>
            <w:tcW w:w="1507" w:type="dxa"/>
            <w:tcBorders>
              <w:top w:val="single" w:color="000000" w:sz="4" w:space="0"/>
              <w:bottom w:val="single" w:color="000000" w:sz="4" w:space="0"/>
              <w:right w:val="single" w:color="000000" w:sz="4" w:space="0"/>
            </w:tcBorders>
            <w:shd w:val="clear" w:color="000000" w:fill="FFFFFF"/>
          </w:tcPr>
          <w:p w14:paraId="70E11D49">
            <w:pPr>
              <w:widowControl/>
              <w:jc w:val="center"/>
              <w:rPr>
                <w:rFonts w:ascii="Times New Roman" w:hAnsi="Times New Roman" w:eastAsia="仿宋_GB2312"/>
                <w:bCs/>
                <w:color w:val="000000"/>
                <w:kern w:val="0"/>
                <w:sz w:val="22"/>
              </w:rPr>
            </w:pPr>
            <w:r>
              <w:rPr>
                <w:rFonts w:ascii="Times New Roman" w:hAnsi="Times New Roman" w:eastAsia="仿宋_GB2312"/>
                <w:bCs/>
                <w:color w:val="000000"/>
                <w:kern w:val="0"/>
                <w:sz w:val="22"/>
              </w:rPr>
              <w:t>存续期第1年</w:t>
            </w:r>
          </w:p>
        </w:tc>
        <w:tc>
          <w:tcPr>
            <w:tcW w:w="1560" w:type="dxa"/>
            <w:tcBorders>
              <w:top w:val="single" w:color="000000" w:sz="4" w:space="0"/>
              <w:bottom w:val="single" w:color="000000" w:sz="4" w:space="0"/>
              <w:right w:val="single" w:color="000000" w:sz="4" w:space="0"/>
            </w:tcBorders>
            <w:shd w:val="clear" w:color="000000" w:fill="FFFFFF"/>
          </w:tcPr>
          <w:p w14:paraId="5C68693F">
            <w:pPr>
              <w:widowControl/>
              <w:jc w:val="center"/>
              <w:rPr>
                <w:rFonts w:ascii="Times New Roman" w:hAnsi="Times New Roman" w:eastAsia="仿宋_GB2312"/>
                <w:bCs/>
                <w:color w:val="000000"/>
                <w:kern w:val="0"/>
                <w:sz w:val="22"/>
              </w:rPr>
            </w:pPr>
            <w:r>
              <w:rPr>
                <w:rFonts w:ascii="Times New Roman" w:hAnsi="Times New Roman" w:eastAsia="仿宋_GB2312"/>
                <w:bCs/>
                <w:color w:val="000000"/>
                <w:kern w:val="0"/>
                <w:sz w:val="22"/>
              </w:rPr>
              <w:t>存续期第2年</w:t>
            </w:r>
          </w:p>
        </w:tc>
        <w:tc>
          <w:tcPr>
            <w:tcW w:w="1559" w:type="dxa"/>
            <w:tcBorders>
              <w:top w:val="single" w:color="000000" w:sz="4" w:space="0"/>
              <w:bottom w:val="single" w:color="000000" w:sz="4" w:space="0"/>
              <w:right w:val="single" w:color="000000" w:sz="4" w:space="0"/>
            </w:tcBorders>
            <w:shd w:val="clear" w:color="000000" w:fill="FFFFFF"/>
          </w:tcPr>
          <w:p w14:paraId="0694506D">
            <w:pPr>
              <w:widowControl/>
              <w:jc w:val="center"/>
              <w:rPr>
                <w:rFonts w:ascii="Times New Roman" w:hAnsi="Times New Roman" w:eastAsia="仿宋_GB2312"/>
                <w:bCs/>
                <w:color w:val="000000"/>
                <w:kern w:val="0"/>
                <w:sz w:val="22"/>
              </w:rPr>
            </w:pPr>
            <w:r>
              <w:rPr>
                <w:rFonts w:ascii="Times New Roman" w:hAnsi="Times New Roman" w:eastAsia="仿宋_GB2312"/>
                <w:bCs/>
                <w:color w:val="000000"/>
                <w:kern w:val="0"/>
                <w:sz w:val="22"/>
              </w:rPr>
              <w:t>…</w:t>
            </w:r>
          </w:p>
        </w:tc>
      </w:tr>
      <w:tr w14:paraId="3465E7CA">
        <w:tblPrEx>
          <w:tblCellMar>
            <w:top w:w="0" w:type="dxa"/>
            <w:left w:w="108" w:type="dxa"/>
            <w:bottom w:w="0" w:type="dxa"/>
            <w:right w:w="108" w:type="dxa"/>
          </w:tblCellMar>
        </w:tblPrEx>
        <w:trPr>
          <w:trHeight w:val="567" w:hRule="exact"/>
          <w:tblHeader/>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29528E52">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经营活动现金流入（扣除非经营性往来）</w:t>
            </w:r>
          </w:p>
        </w:tc>
        <w:tc>
          <w:tcPr>
            <w:tcW w:w="1507" w:type="dxa"/>
            <w:tcBorders>
              <w:top w:val="single" w:color="000000" w:sz="4" w:space="0"/>
              <w:bottom w:val="single" w:color="000000" w:sz="4" w:space="0"/>
              <w:right w:val="single" w:color="000000" w:sz="4" w:space="0"/>
            </w:tcBorders>
            <w:shd w:val="clear" w:color="000000" w:fill="FFFFFF"/>
          </w:tcPr>
          <w:p w14:paraId="13211B50">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60" w:type="dxa"/>
            <w:tcBorders>
              <w:top w:val="single" w:color="000000" w:sz="4" w:space="0"/>
              <w:bottom w:val="single" w:color="000000" w:sz="4" w:space="0"/>
              <w:right w:val="single" w:color="000000" w:sz="4" w:space="0"/>
            </w:tcBorders>
            <w:shd w:val="clear" w:color="000000" w:fill="FFFFFF"/>
          </w:tcPr>
          <w:p w14:paraId="0E0A95BC">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59" w:type="dxa"/>
            <w:tcBorders>
              <w:top w:val="single" w:color="000000" w:sz="4" w:space="0"/>
              <w:bottom w:val="single" w:color="000000" w:sz="4" w:space="0"/>
              <w:right w:val="single" w:color="000000" w:sz="4" w:space="0"/>
            </w:tcBorders>
            <w:shd w:val="clear" w:color="000000" w:fill="FFFFFF"/>
          </w:tcPr>
          <w:p w14:paraId="309091BD">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r>
      <w:tr w14:paraId="72BB880D">
        <w:tblPrEx>
          <w:tblCellMar>
            <w:top w:w="0" w:type="dxa"/>
            <w:left w:w="108" w:type="dxa"/>
            <w:bottom w:w="0" w:type="dxa"/>
            <w:right w:w="108" w:type="dxa"/>
          </w:tblCellMar>
        </w:tblPrEx>
        <w:trPr>
          <w:trHeight w:val="567" w:hRule="exact"/>
          <w:tblHeader/>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28713812">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扣除：入池基础资产现金流</w:t>
            </w:r>
          </w:p>
        </w:tc>
        <w:tc>
          <w:tcPr>
            <w:tcW w:w="1507" w:type="dxa"/>
            <w:tcBorders>
              <w:top w:val="single" w:color="000000" w:sz="4" w:space="0"/>
              <w:bottom w:val="single" w:color="000000" w:sz="4" w:space="0"/>
              <w:right w:val="single" w:color="000000" w:sz="4" w:space="0"/>
            </w:tcBorders>
            <w:shd w:val="clear" w:color="000000" w:fill="FFFFFF"/>
          </w:tcPr>
          <w:p w14:paraId="33ECBFB2">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60" w:type="dxa"/>
            <w:tcBorders>
              <w:top w:val="single" w:color="000000" w:sz="4" w:space="0"/>
              <w:bottom w:val="single" w:color="000000" w:sz="4" w:space="0"/>
              <w:right w:val="single" w:color="000000" w:sz="4" w:space="0"/>
            </w:tcBorders>
            <w:shd w:val="clear" w:color="000000" w:fill="FFFFFF"/>
          </w:tcPr>
          <w:p w14:paraId="2A682818">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59" w:type="dxa"/>
            <w:tcBorders>
              <w:top w:val="single" w:color="000000" w:sz="4" w:space="0"/>
              <w:bottom w:val="single" w:color="000000" w:sz="4" w:space="0"/>
              <w:right w:val="single" w:color="000000" w:sz="4" w:space="0"/>
            </w:tcBorders>
            <w:shd w:val="clear" w:color="000000" w:fill="FFFFFF"/>
          </w:tcPr>
          <w:p w14:paraId="503A52F9">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r>
      <w:tr w14:paraId="76307E6A">
        <w:tblPrEx>
          <w:tblCellMar>
            <w:top w:w="0" w:type="dxa"/>
            <w:left w:w="108" w:type="dxa"/>
            <w:bottom w:w="0" w:type="dxa"/>
            <w:right w:w="108" w:type="dxa"/>
          </w:tblCellMar>
        </w:tblPrEx>
        <w:trPr>
          <w:trHeight w:val="567" w:hRule="exact"/>
          <w:tblHeader/>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22590E36">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基础资产运营支出</w:t>
            </w:r>
          </w:p>
        </w:tc>
        <w:tc>
          <w:tcPr>
            <w:tcW w:w="1507" w:type="dxa"/>
            <w:tcBorders>
              <w:top w:val="single" w:color="000000" w:sz="4" w:space="0"/>
              <w:bottom w:val="single" w:color="000000" w:sz="4" w:space="0"/>
              <w:right w:val="single" w:color="000000" w:sz="4" w:space="0"/>
            </w:tcBorders>
            <w:shd w:val="clear" w:color="000000" w:fill="FFFFFF"/>
          </w:tcPr>
          <w:p w14:paraId="35D85625">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60" w:type="dxa"/>
            <w:tcBorders>
              <w:top w:val="single" w:color="000000" w:sz="4" w:space="0"/>
              <w:bottom w:val="single" w:color="000000" w:sz="4" w:space="0"/>
              <w:right w:val="single" w:color="000000" w:sz="4" w:space="0"/>
            </w:tcBorders>
            <w:shd w:val="clear" w:color="000000" w:fill="FFFFFF"/>
          </w:tcPr>
          <w:p w14:paraId="7F5D4359">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59" w:type="dxa"/>
            <w:tcBorders>
              <w:top w:val="single" w:color="000000" w:sz="4" w:space="0"/>
              <w:bottom w:val="single" w:color="000000" w:sz="4" w:space="0"/>
              <w:right w:val="single" w:color="000000" w:sz="4" w:space="0"/>
            </w:tcBorders>
            <w:shd w:val="clear" w:color="000000" w:fill="FFFFFF"/>
          </w:tcPr>
          <w:p w14:paraId="4F3E40FC">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r>
      <w:tr w14:paraId="14FB024C">
        <w:tblPrEx>
          <w:tblCellMar>
            <w:top w:w="0" w:type="dxa"/>
            <w:left w:w="108" w:type="dxa"/>
            <w:bottom w:w="0" w:type="dxa"/>
            <w:right w:w="108" w:type="dxa"/>
          </w:tblCellMar>
        </w:tblPrEx>
        <w:trPr>
          <w:trHeight w:val="810" w:hRule="exact"/>
          <w:tblHeader/>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721248F3">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大修、设备重置及其他基础资产相关支出</w:t>
            </w:r>
          </w:p>
        </w:tc>
        <w:tc>
          <w:tcPr>
            <w:tcW w:w="1507" w:type="dxa"/>
            <w:tcBorders>
              <w:top w:val="single" w:color="000000" w:sz="4" w:space="0"/>
              <w:bottom w:val="single" w:color="000000" w:sz="4" w:space="0"/>
              <w:right w:val="single" w:color="000000" w:sz="4" w:space="0"/>
            </w:tcBorders>
            <w:shd w:val="clear" w:color="000000" w:fill="FFFFFF"/>
          </w:tcPr>
          <w:p w14:paraId="1D26F200">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60" w:type="dxa"/>
            <w:tcBorders>
              <w:top w:val="single" w:color="000000" w:sz="4" w:space="0"/>
              <w:bottom w:val="single" w:color="000000" w:sz="4" w:space="0"/>
              <w:right w:val="single" w:color="000000" w:sz="4" w:space="0"/>
            </w:tcBorders>
            <w:shd w:val="clear" w:color="000000" w:fill="FFFFFF"/>
          </w:tcPr>
          <w:p w14:paraId="11843B5E">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59" w:type="dxa"/>
            <w:tcBorders>
              <w:top w:val="single" w:color="000000" w:sz="4" w:space="0"/>
              <w:bottom w:val="single" w:color="000000" w:sz="4" w:space="0"/>
              <w:right w:val="single" w:color="000000" w:sz="4" w:space="0"/>
            </w:tcBorders>
            <w:shd w:val="clear" w:color="000000" w:fill="FFFFFF"/>
          </w:tcPr>
          <w:p w14:paraId="7C83C222">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r>
      <w:tr w14:paraId="72909318">
        <w:tblPrEx>
          <w:tblCellMar>
            <w:top w:w="0" w:type="dxa"/>
            <w:left w:w="108" w:type="dxa"/>
            <w:bottom w:w="0" w:type="dxa"/>
            <w:right w:w="108" w:type="dxa"/>
          </w:tblCellMar>
        </w:tblPrEx>
        <w:trPr>
          <w:trHeight w:val="567" w:hRule="exact"/>
          <w:tblHeader/>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32EB22A1">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其他业务运营支出</w:t>
            </w:r>
          </w:p>
        </w:tc>
        <w:tc>
          <w:tcPr>
            <w:tcW w:w="1507" w:type="dxa"/>
            <w:tcBorders>
              <w:top w:val="single" w:color="000000" w:sz="4" w:space="0"/>
              <w:bottom w:val="single" w:color="000000" w:sz="4" w:space="0"/>
              <w:right w:val="single" w:color="000000" w:sz="4" w:space="0"/>
            </w:tcBorders>
            <w:shd w:val="clear" w:color="000000" w:fill="FFFFFF"/>
          </w:tcPr>
          <w:p w14:paraId="15F1B681">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60" w:type="dxa"/>
            <w:tcBorders>
              <w:top w:val="single" w:color="000000" w:sz="4" w:space="0"/>
              <w:bottom w:val="single" w:color="000000" w:sz="4" w:space="0"/>
              <w:right w:val="single" w:color="000000" w:sz="4" w:space="0"/>
            </w:tcBorders>
            <w:shd w:val="clear" w:color="000000" w:fill="FFFFFF"/>
          </w:tcPr>
          <w:p w14:paraId="135C5818">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c>
          <w:tcPr>
            <w:tcW w:w="1559" w:type="dxa"/>
            <w:tcBorders>
              <w:top w:val="single" w:color="000000" w:sz="4" w:space="0"/>
              <w:bottom w:val="single" w:color="000000" w:sz="4" w:space="0"/>
              <w:right w:val="single" w:color="000000" w:sz="4" w:space="0"/>
            </w:tcBorders>
            <w:shd w:val="clear" w:color="000000" w:fill="FFFFFF"/>
          </w:tcPr>
          <w:p w14:paraId="6BD3E7F6">
            <w:pPr>
              <w:keepNext/>
              <w:keepLines/>
              <w:widowControl/>
              <w:numPr>
                <w:ilvl w:val="0"/>
                <w:numId w:val="0"/>
              </w:numPr>
              <w:spacing w:before="260" w:after="260" w:line="418" w:lineRule="auto"/>
              <w:jc w:val="right"/>
              <w:outlineLvl w:val="2"/>
              <w:rPr>
                <w:rFonts w:ascii="Times New Roman" w:hAnsi="Times New Roman" w:eastAsia="仿宋_GB2312"/>
                <w:bCs/>
                <w:color w:val="000000"/>
                <w:kern w:val="0"/>
                <w:sz w:val="22"/>
              </w:rPr>
            </w:pPr>
          </w:p>
        </w:tc>
      </w:tr>
      <w:tr w14:paraId="683C6DA2">
        <w:tblPrEx>
          <w:tblCellMar>
            <w:top w:w="0" w:type="dxa"/>
            <w:left w:w="108" w:type="dxa"/>
            <w:bottom w:w="0" w:type="dxa"/>
            <w:right w:w="108" w:type="dxa"/>
          </w:tblCellMar>
        </w:tblPrEx>
        <w:trPr>
          <w:trHeight w:val="567" w:hRule="exact"/>
          <w:jc w:val="center"/>
        </w:trPr>
        <w:tc>
          <w:tcPr>
            <w:tcW w:w="4064" w:type="dxa"/>
            <w:tcBorders>
              <w:top w:val="single" w:color="000000" w:sz="4" w:space="0"/>
              <w:left w:val="single" w:color="000000" w:sz="4" w:space="0"/>
              <w:bottom w:val="single" w:color="000000" w:sz="4" w:space="0"/>
              <w:right w:val="single" w:color="000000" w:sz="4" w:space="0"/>
            </w:tcBorders>
            <w:shd w:val="clear" w:color="000000" w:fill="FFFFFF"/>
          </w:tcPr>
          <w:p w14:paraId="30981F32">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经营活动现金净流入</w:t>
            </w:r>
          </w:p>
        </w:tc>
        <w:tc>
          <w:tcPr>
            <w:tcW w:w="1507" w:type="dxa"/>
            <w:tcBorders>
              <w:top w:val="single" w:color="000000" w:sz="4" w:space="0"/>
              <w:bottom w:val="single" w:color="000000" w:sz="4" w:space="0"/>
              <w:right w:val="single" w:color="000000" w:sz="4" w:space="0"/>
            </w:tcBorders>
            <w:shd w:val="clear" w:color="auto" w:fill="auto"/>
          </w:tcPr>
          <w:p w14:paraId="7E4B51C5">
            <w:pPr>
              <w:keepNext/>
              <w:keepLines/>
              <w:widowControl/>
              <w:numPr>
                <w:ilvl w:val="0"/>
                <w:numId w:val="0"/>
              </w:numPr>
              <w:spacing w:before="260" w:after="260" w:line="418" w:lineRule="auto"/>
              <w:jc w:val="right"/>
              <w:outlineLvl w:val="2"/>
              <w:rPr>
                <w:rFonts w:ascii="Times New Roman" w:hAnsi="Times New Roman" w:eastAsia="仿宋_GB2312"/>
                <w:color w:val="000000"/>
                <w:kern w:val="0"/>
                <w:sz w:val="22"/>
              </w:rPr>
            </w:pPr>
          </w:p>
        </w:tc>
        <w:tc>
          <w:tcPr>
            <w:tcW w:w="1560" w:type="dxa"/>
            <w:tcBorders>
              <w:top w:val="single" w:color="000000" w:sz="4" w:space="0"/>
              <w:bottom w:val="single" w:color="000000" w:sz="4" w:space="0"/>
              <w:right w:val="single" w:color="000000" w:sz="4" w:space="0"/>
            </w:tcBorders>
            <w:shd w:val="clear" w:color="auto" w:fill="auto"/>
          </w:tcPr>
          <w:p w14:paraId="5079C2E8">
            <w:pPr>
              <w:keepNext/>
              <w:keepLines/>
              <w:widowControl/>
              <w:numPr>
                <w:ilvl w:val="0"/>
                <w:numId w:val="0"/>
              </w:numPr>
              <w:spacing w:before="260" w:after="260" w:line="418" w:lineRule="auto"/>
              <w:jc w:val="right"/>
              <w:outlineLvl w:val="2"/>
              <w:rPr>
                <w:rFonts w:ascii="Times New Roman" w:hAnsi="Times New Roman" w:eastAsia="仿宋_GB2312"/>
                <w:color w:val="000000"/>
                <w:kern w:val="0"/>
                <w:sz w:val="22"/>
              </w:rPr>
            </w:pPr>
          </w:p>
        </w:tc>
        <w:tc>
          <w:tcPr>
            <w:tcW w:w="1559" w:type="dxa"/>
            <w:tcBorders>
              <w:top w:val="single" w:color="000000" w:sz="4" w:space="0"/>
              <w:bottom w:val="single" w:color="000000" w:sz="4" w:space="0"/>
              <w:right w:val="single" w:color="000000" w:sz="4" w:space="0"/>
            </w:tcBorders>
            <w:shd w:val="clear" w:color="auto" w:fill="auto"/>
          </w:tcPr>
          <w:p w14:paraId="3404F6FB">
            <w:pPr>
              <w:keepNext/>
              <w:keepLines/>
              <w:widowControl/>
              <w:numPr>
                <w:ilvl w:val="0"/>
                <w:numId w:val="0"/>
              </w:numPr>
              <w:spacing w:before="260" w:after="260" w:line="418" w:lineRule="auto"/>
              <w:jc w:val="right"/>
              <w:outlineLvl w:val="2"/>
              <w:rPr>
                <w:rFonts w:ascii="Times New Roman" w:hAnsi="Times New Roman" w:eastAsia="仿宋_GB2312"/>
                <w:color w:val="000000"/>
                <w:kern w:val="0"/>
                <w:sz w:val="22"/>
              </w:rPr>
            </w:pPr>
          </w:p>
        </w:tc>
      </w:tr>
    </w:tbl>
    <w:p w14:paraId="0F92DCF9">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(三)</w:t>
      </w:r>
      <w:r>
        <w:rPr>
          <w:rFonts w:ascii="Times New Roman" w:hAnsi="Times New Roman" w:eastAsia="仿宋_GB2312"/>
          <w:b/>
          <w:sz w:val="30"/>
        </w:rPr>
        <w:t>不动产类基础资产情况</w:t>
      </w:r>
    </w:p>
    <w:p w14:paraId="5CB93DD5">
      <w:pPr>
        <w:spacing w:line="560" w:lineRule="exact"/>
        <w:ind w:firstLine="600"/>
        <w:rPr>
          <w:rFonts w:ascii="Times New Roman" w:hAnsi="Times New Roman" w:eastAsia="仿宋_GB2312"/>
          <w:sz w:val="30"/>
        </w:rPr>
      </w:pPr>
      <w:r>
        <w:rPr>
          <w:rFonts w:ascii="Times New Roman" w:hAnsi="Times New Roman" w:eastAsia="仿宋_GB2312"/>
          <w:sz w:val="30"/>
        </w:rPr>
        <w:t>1.不动产基本信息</w:t>
      </w:r>
    </w:p>
    <w:tbl>
      <w:tblPr>
        <w:tblStyle w:val="32"/>
        <w:tblW w:w="8522" w:type="dxa"/>
        <w:jc w:val="center"/>
        <w:tblLayout w:type="fixed"/>
        <w:tblCellMar>
          <w:top w:w="0" w:type="dxa"/>
          <w:left w:w="108" w:type="dxa"/>
          <w:bottom w:w="0" w:type="dxa"/>
          <w:right w:w="108" w:type="dxa"/>
        </w:tblCellMar>
      </w:tblPr>
      <w:tblGrid>
        <w:gridCol w:w="1671"/>
        <w:gridCol w:w="1682"/>
        <w:gridCol w:w="1681"/>
        <w:gridCol w:w="3487"/>
      </w:tblGrid>
      <w:tr w14:paraId="0D823674">
        <w:tblPrEx>
          <w:tblCellMar>
            <w:top w:w="0" w:type="dxa"/>
            <w:left w:w="108" w:type="dxa"/>
            <w:bottom w:w="0" w:type="dxa"/>
            <w:right w:w="108" w:type="dxa"/>
          </w:tblCellMar>
        </w:tblPrEx>
        <w:trPr>
          <w:trHeight w:val="567" w:hRule="exact"/>
          <w:jc w:val="center"/>
        </w:trPr>
        <w:tc>
          <w:tcPr>
            <w:tcW w:w="1671" w:type="dxa"/>
            <w:vMerge w:val="restart"/>
            <w:tcBorders>
              <w:top w:val="single" w:color="000000" w:sz="4" w:space="0"/>
              <w:left w:val="single" w:color="000000" w:sz="4" w:space="0"/>
              <w:bottom w:val="single" w:color="000000" w:sz="4" w:space="0"/>
              <w:right w:val="single" w:color="000000" w:sz="4" w:space="0"/>
            </w:tcBorders>
          </w:tcPr>
          <w:p w14:paraId="3876DECF">
            <w:pPr>
              <w:rPr>
                <w:rFonts w:ascii="Times New Roman" w:hAnsi="Times New Roman" w:eastAsia="仿宋_GB2312"/>
                <w:color w:val="000000"/>
                <w:kern w:val="0"/>
                <w:sz w:val="22"/>
              </w:rPr>
            </w:pPr>
            <w:r>
              <w:rPr>
                <w:rFonts w:ascii="Times New Roman" w:hAnsi="Times New Roman" w:eastAsia="仿宋_GB2312"/>
                <w:color w:val="000000"/>
                <w:kern w:val="0"/>
                <w:sz w:val="22"/>
              </w:rPr>
              <w:t>基本情况</w:t>
            </w:r>
          </w:p>
        </w:tc>
        <w:tc>
          <w:tcPr>
            <w:tcW w:w="3363" w:type="dxa"/>
            <w:gridSpan w:val="2"/>
            <w:tcBorders>
              <w:top w:val="single" w:color="000000" w:sz="4" w:space="0"/>
              <w:left w:val="single" w:color="000000" w:sz="4" w:space="0"/>
              <w:bottom w:val="single" w:color="000000" w:sz="4" w:space="0"/>
              <w:right w:val="single" w:color="000000" w:sz="4" w:space="0"/>
            </w:tcBorders>
          </w:tcPr>
          <w:p w14:paraId="514A5C1E">
            <w:pPr>
              <w:rPr>
                <w:rFonts w:ascii="Times New Roman" w:hAnsi="Times New Roman" w:eastAsia="仿宋_GB2312"/>
                <w:color w:val="000000"/>
                <w:kern w:val="0"/>
                <w:sz w:val="22"/>
              </w:rPr>
            </w:pPr>
            <w:r>
              <w:rPr>
                <w:rFonts w:ascii="Times New Roman" w:hAnsi="Times New Roman" w:eastAsia="仿宋_GB2312"/>
                <w:color w:val="000000"/>
                <w:kern w:val="0"/>
                <w:sz w:val="22"/>
              </w:rPr>
              <w:t>项目名称</w:t>
            </w:r>
          </w:p>
        </w:tc>
        <w:tc>
          <w:tcPr>
            <w:tcW w:w="3487" w:type="dxa"/>
            <w:tcBorders>
              <w:top w:val="single" w:color="000000" w:sz="4" w:space="0"/>
              <w:left w:val="single" w:color="000000" w:sz="4" w:space="0"/>
              <w:bottom w:val="single" w:color="000000" w:sz="4" w:space="0"/>
              <w:right w:val="single" w:color="000000" w:sz="4" w:space="0"/>
            </w:tcBorders>
          </w:tcPr>
          <w:p w14:paraId="2163F08A">
            <w:pPr>
              <w:rPr>
                <w:rFonts w:ascii="Times New Roman" w:hAnsi="Times New Roman" w:eastAsia="仿宋_GB2312"/>
                <w:kern w:val="0"/>
                <w:sz w:val="22"/>
                <w:lang w:val="zh-CN"/>
              </w:rPr>
            </w:pPr>
            <w:r>
              <w:rPr>
                <w:rFonts w:ascii="Times New Roman" w:hAnsi="Times New Roman" w:eastAsia="仿宋_GB2312"/>
                <w:kern w:val="0"/>
                <w:sz w:val="22"/>
                <w:lang w:val="zh-CN"/>
              </w:rPr>
              <w:t>项目1/项目2/……</w:t>
            </w:r>
          </w:p>
        </w:tc>
      </w:tr>
      <w:tr w14:paraId="41009850">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75E61422">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71C9D8DD">
            <w:pPr>
              <w:rPr>
                <w:rFonts w:ascii="Times New Roman" w:hAnsi="Times New Roman" w:eastAsia="仿宋_GB2312"/>
                <w:color w:val="000000"/>
                <w:kern w:val="0"/>
                <w:sz w:val="22"/>
              </w:rPr>
            </w:pPr>
            <w:r>
              <w:rPr>
                <w:rFonts w:ascii="Times New Roman" w:hAnsi="Times New Roman" w:eastAsia="仿宋_GB2312"/>
                <w:color w:val="000000"/>
                <w:kern w:val="0"/>
                <w:sz w:val="22"/>
              </w:rPr>
              <w:t>产证情况</w:t>
            </w:r>
          </w:p>
        </w:tc>
        <w:tc>
          <w:tcPr>
            <w:tcW w:w="3487" w:type="dxa"/>
            <w:tcBorders>
              <w:top w:val="single" w:color="000000" w:sz="4" w:space="0"/>
              <w:left w:val="single" w:color="000000" w:sz="4" w:space="0"/>
              <w:bottom w:val="single" w:color="000000" w:sz="4" w:space="0"/>
              <w:right w:val="single" w:color="000000" w:sz="4" w:space="0"/>
            </w:tcBorders>
          </w:tcPr>
          <w:p w14:paraId="3D6798B9">
            <w:pPr>
              <w:rPr>
                <w:rFonts w:ascii="Times New Roman" w:hAnsi="Times New Roman" w:eastAsia="仿宋_GB2312"/>
                <w:kern w:val="0"/>
                <w:sz w:val="22"/>
                <w:lang w:val="zh-CN"/>
              </w:rPr>
            </w:pPr>
            <w:r>
              <w:rPr>
                <w:rFonts w:ascii="Times New Roman" w:hAnsi="Times New Roman" w:eastAsia="仿宋_GB2312"/>
                <w:kern w:val="0"/>
                <w:sz w:val="22"/>
                <w:lang w:val="zh-CN"/>
              </w:rPr>
              <w:t>已取得/未取得</w:t>
            </w:r>
          </w:p>
        </w:tc>
      </w:tr>
      <w:tr w14:paraId="4F6AC94D">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0793BAE4">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44836A53">
            <w:pPr>
              <w:rPr>
                <w:rFonts w:ascii="Times New Roman" w:hAnsi="Times New Roman" w:eastAsia="仿宋_GB2312"/>
                <w:color w:val="000000"/>
                <w:kern w:val="0"/>
                <w:sz w:val="22"/>
              </w:rPr>
            </w:pPr>
            <w:r>
              <w:rPr>
                <w:rFonts w:ascii="Times New Roman" w:hAnsi="Times New Roman" w:eastAsia="仿宋_GB2312"/>
                <w:color w:val="000000"/>
                <w:kern w:val="0"/>
                <w:sz w:val="22"/>
              </w:rPr>
              <w:t>所有权属登记人</w:t>
            </w:r>
          </w:p>
        </w:tc>
        <w:tc>
          <w:tcPr>
            <w:tcW w:w="3487" w:type="dxa"/>
            <w:tcBorders>
              <w:top w:val="single" w:color="000000" w:sz="4" w:space="0"/>
              <w:left w:val="single" w:color="000000" w:sz="4" w:space="0"/>
              <w:bottom w:val="single" w:color="000000" w:sz="4" w:space="0"/>
              <w:right w:val="single" w:color="000000" w:sz="4" w:space="0"/>
            </w:tcBorders>
          </w:tcPr>
          <w:p w14:paraId="146EEB40">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6D98076C">
        <w:tblPrEx>
          <w:tblCellMar>
            <w:top w:w="0" w:type="dxa"/>
            <w:left w:w="108" w:type="dxa"/>
            <w:bottom w:w="0" w:type="dxa"/>
            <w:right w:w="108" w:type="dxa"/>
          </w:tblCellMar>
        </w:tblPrEx>
        <w:trPr>
          <w:trHeight w:val="849"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2CA43CC4">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4C5968EE">
            <w:pPr>
              <w:rPr>
                <w:rFonts w:ascii="Times New Roman" w:hAnsi="Times New Roman" w:eastAsia="仿宋_GB2312"/>
                <w:color w:val="000000"/>
                <w:kern w:val="0"/>
                <w:sz w:val="22"/>
              </w:rPr>
            </w:pPr>
            <w:r>
              <w:rPr>
                <w:rFonts w:ascii="Times New Roman" w:hAnsi="Times New Roman" w:eastAsia="仿宋_GB2312"/>
                <w:color w:val="000000"/>
                <w:kern w:val="0"/>
                <w:sz w:val="22"/>
              </w:rPr>
              <w:t>土地情况</w:t>
            </w:r>
          </w:p>
        </w:tc>
        <w:tc>
          <w:tcPr>
            <w:tcW w:w="3487" w:type="dxa"/>
            <w:tcBorders>
              <w:top w:val="single" w:color="000000" w:sz="4" w:space="0"/>
              <w:left w:val="single" w:color="000000" w:sz="4" w:space="0"/>
              <w:bottom w:val="single" w:color="000000" w:sz="4" w:space="0"/>
              <w:right w:val="single" w:color="000000" w:sz="4" w:space="0"/>
            </w:tcBorders>
          </w:tcPr>
          <w:p w14:paraId="04AE7671">
            <w:pPr>
              <w:rPr>
                <w:rFonts w:ascii="Times New Roman" w:hAnsi="Times New Roman" w:eastAsia="仿宋_GB2312"/>
                <w:kern w:val="0"/>
                <w:sz w:val="22"/>
                <w:lang w:val="zh-CN"/>
              </w:rPr>
            </w:pPr>
            <w:r>
              <w:rPr>
                <w:rFonts w:ascii="Times New Roman" w:hAnsi="Times New Roman" w:eastAsia="仿宋_GB2312"/>
                <w:color w:val="000000"/>
                <w:kern w:val="0"/>
                <w:sz w:val="22"/>
              </w:rPr>
              <w:t>地类用途、土地获得方式、土地剩余年限等</w:t>
            </w:r>
          </w:p>
        </w:tc>
      </w:tr>
      <w:tr w14:paraId="05B81FA5">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10FB8048">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49E1B409">
            <w:pPr>
              <w:rPr>
                <w:rFonts w:ascii="Times New Roman" w:hAnsi="Times New Roman" w:eastAsia="仿宋_GB2312"/>
                <w:color w:val="000000"/>
                <w:kern w:val="0"/>
                <w:sz w:val="22"/>
              </w:rPr>
            </w:pPr>
            <w:r>
              <w:rPr>
                <w:rFonts w:ascii="Times New Roman" w:hAnsi="Times New Roman" w:eastAsia="仿宋_GB2312"/>
                <w:color w:val="000000"/>
                <w:kern w:val="0"/>
                <w:sz w:val="22"/>
              </w:rPr>
              <w:t>商业类型</w:t>
            </w:r>
          </w:p>
        </w:tc>
        <w:tc>
          <w:tcPr>
            <w:tcW w:w="3487" w:type="dxa"/>
            <w:tcBorders>
              <w:top w:val="single" w:color="000000" w:sz="4" w:space="0"/>
              <w:left w:val="single" w:color="000000" w:sz="4" w:space="0"/>
              <w:bottom w:val="single" w:color="000000" w:sz="4" w:space="0"/>
              <w:right w:val="single" w:color="000000" w:sz="4" w:space="0"/>
            </w:tcBorders>
          </w:tcPr>
          <w:p w14:paraId="799E82F4">
            <w:pPr>
              <w:rPr>
                <w:rFonts w:ascii="Times New Roman" w:hAnsi="Times New Roman" w:eastAsia="仿宋_GB2312"/>
                <w:kern w:val="0"/>
                <w:sz w:val="22"/>
                <w:lang w:val="zh-CN"/>
              </w:rPr>
            </w:pPr>
            <w:r>
              <w:rPr>
                <w:rFonts w:ascii="Times New Roman" w:hAnsi="Times New Roman" w:eastAsia="仿宋_GB2312"/>
                <w:kern w:val="0"/>
                <w:sz w:val="22"/>
                <w:lang w:val="zh-CN"/>
              </w:rPr>
              <w:t>写字楼/商场/酒店/仓储/其他</w:t>
            </w:r>
          </w:p>
        </w:tc>
      </w:tr>
      <w:tr w14:paraId="160079BD">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73ADF692">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7A662BE6">
            <w:pPr>
              <w:rPr>
                <w:rFonts w:ascii="Times New Roman" w:hAnsi="Times New Roman" w:eastAsia="仿宋_GB2312"/>
                <w:color w:val="000000"/>
                <w:kern w:val="0"/>
                <w:sz w:val="22"/>
              </w:rPr>
            </w:pPr>
            <w:r>
              <w:rPr>
                <w:rFonts w:ascii="Times New Roman" w:hAnsi="Times New Roman" w:eastAsia="仿宋_GB2312"/>
                <w:color w:val="000000"/>
                <w:kern w:val="0"/>
                <w:sz w:val="22"/>
              </w:rPr>
              <w:t>不动产权属瑕疵</w:t>
            </w:r>
          </w:p>
        </w:tc>
        <w:tc>
          <w:tcPr>
            <w:tcW w:w="3487" w:type="dxa"/>
            <w:tcBorders>
              <w:top w:val="single" w:color="000000" w:sz="4" w:space="0"/>
              <w:left w:val="single" w:color="000000" w:sz="4" w:space="0"/>
              <w:bottom w:val="single" w:color="000000" w:sz="4" w:space="0"/>
              <w:right w:val="single" w:color="000000" w:sz="4" w:space="0"/>
            </w:tcBorders>
          </w:tcPr>
          <w:p w14:paraId="72A68A54">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1AAC1562">
        <w:tblPrEx>
          <w:tblCellMar>
            <w:top w:w="0" w:type="dxa"/>
            <w:left w:w="108" w:type="dxa"/>
            <w:bottom w:w="0" w:type="dxa"/>
            <w:right w:w="108" w:type="dxa"/>
          </w:tblCellMar>
        </w:tblPrEx>
        <w:trPr>
          <w:trHeight w:val="567" w:hRule="exact"/>
          <w:jc w:val="center"/>
        </w:trPr>
        <w:tc>
          <w:tcPr>
            <w:tcW w:w="1671" w:type="dxa"/>
            <w:tcBorders>
              <w:top w:val="single" w:color="000000" w:sz="4" w:space="0"/>
              <w:left w:val="single" w:color="000000" w:sz="4" w:space="0"/>
              <w:bottom w:val="single" w:color="000000" w:sz="4" w:space="0"/>
              <w:right w:val="single" w:color="000000" w:sz="4" w:space="0"/>
            </w:tcBorders>
          </w:tcPr>
          <w:p w14:paraId="6EC61AB0">
            <w:pPr>
              <w:rPr>
                <w:rFonts w:ascii="Times New Roman" w:hAnsi="Times New Roman" w:eastAsia="仿宋_GB2312"/>
                <w:color w:val="000000"/>
                <w:kern w:val="0"/>
                <w:sz w:val="22"/>
              </w:rPr>
            </w:pPr>
            <w:r>
              <w:rPr>
                <w:rFonts w:ascii="Times New Roman" w:hAnsi="Times New Roman" w:eastAsia="仿宋_GB2312"/>
                <w:color w:val="000000"/>
                <w:kern w:val="0"/>
                <w:sz w:val="22"/>
              </w:rPr>
              <w:t>区位情况</w:t>
            </w:r>
          </w:p>
        </w:tc>
        <w:tc>
          <w:tcPr>
            <w:tcW w:w="3363" w:type="dxa"/>
            <w:gridSpan w:val="2"/>
            <w:tcBorders>
              <w:top w:val="single" w:color="000000" w:sz="4" w:space="0"/>
              <w:left w:val="single" w:color="000000" w:sz="4" w:space="0"/>
              <w:bottom w:val="single" w:color="000000" w:sz="4" w:space="0"/>
              <w:right w:val="single" w:color="000000" w:sz="4" w:space="0"/>
            </w:tcBorders>
          </w:tcPr>
          <w:p w14:paraId="4F1006B9">
            <w:pPr>
              <w:rPr>
                <w:rFonts w:ascii="Times New Roman" w:hAnsi="Times New Roman" w:eastAsia="仿宋_GB2312"/>
                <w:color w:val="000000"/>
                <w:kern w:val="0"/>
                <w:sz w:val="22"/>
              </w:rPr>
            </w:pPr>
            <w:r>
              <w:rPr>
                <w:rFonts w:ascii="Times New Roman" w:hAnsi="Times New Roman" w:eastAsia="仿宋_GB2312"/>
                <w:color w:val="000000"/>
                <w:kern w:val="0"/>
                <w:sz w:val="22"/>
              </w:rPr>
              <w:t>所处位置（精确到区）</w:t>
            </w:r>
          </w:p>
        </w:tc>
        <w:tc>
          <w:tcPr>
            <w:tcW w:w="3487" w:type="dxa"/>
            <w:tcBorders>
              <w:top w:val="single" w:color="000000" w:sz="4" w:space="0"/>
              <w:left w:val="single" w:color="000000" w:sz="4" w:space="0"/>
              <w:bottom w:val="single" w:color="000000" w:sz="4" w:space="0"/>
              <w:right w:val="single" w:color="000000" w:sz="4" w:space="0"/>
            </w:tcBorders>
          </w:tcPr>
          <w:p w14:paraId="69AB0296">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5DE15ED2">
        <w:tblPrEx>
          <w:tblCellMar>
            <w:top w:w="0" w:type="dxa"/>
            <w:left w:w="108" w:type="dxa"/>
            <w:bottom w:w="0" w:type="dxa"/>
            <w:right w:w="108" w:type="dxa"/>
          </w:tblCellMar>
        </w:tblPrEx>
        <w:trPr>
          <w:trHeight w:val="841" w:hRule="exact"/>
          <w:jc w:val="center"/>
        </w:trPr>
        <w:tc>
          <w:tcPr>
            <w:tcW w:w="1671" w:type="dxa"/>
            <w:tcBorders>
              <w:top w:val="single" w:color="000000" w:sz="4" w:space="0"/>
              <w:left w:val="single" w:color="000000" w:sz="4" w:space="0"/>
              <w:bottom w:val="single" w:color="000000" w:sz="4" w:space="0"/>
              <w:right w:val="single" w:color="000000" w:sz="4" w:space="0"/>
            </w:tcBorders>
          </w:tcPr>
          <w:p w14:paraId="76CD0128">
            <w:pPr>
              <w:rPr>
                <w:rFonts w:ascii="Times New Roman" w:hAnsi="Times New Roman" w:eastAsia="仿宋_GB2312"/>
                <w:color w:val="000000"/>
                <w:kern w:val="0"/>
                <w:sz w:val="22"/>
              </w:rPr>
            </w:pPr>
            <w:r>
              <w:rPr>
                <w:rFonts w:ascii="Times New Roman" w:hAnsi="Times New Roman" w:eastAsia="仿宋_GB2312"/>
                <w:color w:val="000000"/>
                <w:kern w:val="0"/>
                <w:sz w:val="22"/>
              </w:rPr>
              <w:t>实体情况</w:t>
            </w:r>
          </w:p>
        </w:tc>
        <w:tc>
          <w:tcPr>
            <w:tcW w:w="3363" w:type="dxa"/>
            <w:gridSpan w:val="2"/>
            <w:tcBorders>
              <w:top w:val="single" w:color="000000" w:sz="4" w:space="0"/>
              <w:left w:val="single" w:color="000000" w:sz="4" w:space="0"/>
              <w:bottom w:val="single" w:color="000000" w:sz="4" w:space="0"/>
              <w:right w:val="single" w:color="000000" w:sz="4" w:space="0"/>
            </w:tcBorders>
          </w:tcPr>
          <w:p w14:paraId="28637916">
            <w:pPr>
              <w:rPr>
                <w:rFonts w:ascii="Times New Roman" w:hAnsi="Times New Roman" w:eastAsia="仿宋_GB2312"/>
                <w:color w:val="000000"/>
                <w:kern w:val="0"/>
                <w:sz w:val="22"/>
              </w:rPr>
            </w:pPr>
            <w:r>
              <w:rPr>
                <w:rFonts w:ascii="Times New Roman" w:hAnsi="Times New Roman" w:eastAsia="仿宋_GB2312"/>
                <w:color w:val="000000"/>
                <w:kern w:val="0"/>
                <w:sz w:val="22"/>
              </w:rPr>
              <w:t>建成年份、楼层、可供出租面积、最近一次大修时间等</w:t>
            </w:r>
          </w:p>
        </w:tc>
        <w:tc>
          <w:tcPr>
            <w:tcW w:w="3487" w:type="dxa"/>
            <w:tcBorders>
              <w:top w:val="single" w:color="000000" w:sz="4" w:space="0"/>
              <w:left w:val="single" w:color="000000" w:sz="4" w:space="0"/>
              <w:bottom w:val="single" w:color="000000" w:sz="4" w:space="0"/>
              <w:right w:val="single" w:color="000000" w:sz="4" w:space="0"/>
            </w:tcBorders>
          </w:tcPr>
          <w:p w14:paraId="65E2EB14">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3DA722D1">
        <w:tblPrEx>
          <w:tblCellMar>
            <w:top w:w="0" w:type="dxa"/>
            <w:left w:w="108" w:type="dxa"/>
            <w:bottom w:w="0" w:type="dxa"/>
            <w:right w:w="108" w:type="dxa"/>
          </w:tblCellMar>
        </w:tblPrEx>
        <w:trPr>
          <w:trHeight w:val="567" w:hRule="exact"/>
          <w:jc w:val="center"/>
        </w:trPr>
        <w:tc>
          <w:tcPr>
            <w:tcW w:w="1671" w:type="dxa"/>
            <w:vMerge w:val="restart"/>
            <w:tcBorders>
              <w:top w:val="single" w:color="000000" w:sz="4" w:space="0"/>
              <w:left w:val="single" w:color="000000" w:sz="4" w:space="0"/>
              <w:bottom w:val="single" w:color="000000" w:sz="4" w:space="0"/>
              <w:right w:val="single" w:color="000000" w:sz="4" w:space="0"/>
            </w:tcBorders>
          </w:tcPr>
          <w:p w14:paraId="56A09B05">
            <w:pPr>
              <w:rPr>
                <w:rFonts w:ascii="Times New Roman" w:hAnsi="Times New Roman" w:eastAsia="仿宋_GB2312"/>
                <w:color w:val="000000"/>
                <w:kern w:val="0"/>
                <w:sz w:val="22"/>
              </w:rPr>
            </w:pPr>
            <w:r>
              <w:rPr>
                <w:rFonts w:ascii="Times New Roman" w:hAnsi="Times New Roman" w:eastAsia="仿宋_GB2312"/>
                <w:color w:val="000000"/>
                <w:kern w:val="0"/>
                <w:sz w:val="22"/>
              </w:rPr>
              <w:t>评估情况</w:t>
            </w:r>
          </w:p>
        </w:tc>
        <w:tc>
          <w:tcPr>
            <w:tcW w:w="3363" w:type="dxa"/>
            <w:gridSpan w:val="2"/>
            <w:tcBorders>
              <w:top w:val="single" w:color="000000" w:sz="4" w:space="0"/>
              <w:left w:val="single" w:color="000000" w:sz="4" w:space="0"/>
              <w:bottom w:val="single" w:color="000000" w:sz="4" w:space="0"/>
              <w:right w:val="single" w:color="000000" w:sz="4" w:space="0"/>
            </w:tcBorders>
          </w:tcPr>
          <w:p w14:paraId="4BBEC404">
            <w:pPr>
              <w:rPr>
                <w:rFonts w:ascii="Times New Roman" w:hAnsi="Times New Roman" w:eastAsia="仿宋_GB2312"/>
                <w:color w:val="000000"/>
                <w:kern w:val="0"/>
                <w:sz w:val="22"/>
              </w:rPr>
            </w:pPr>
            <w:r>
              <w:rPr>
                <w:rFonts w:ascii="Times New Roman" w:hAnsi="Times New Roman" w:eastAsia="仿宋_GB2312"/>
                <w:color w:val="000000"/>
                <w:kern w:val="0"/>
                <w:sz w:val="22"/>
              </w:rPr>
              <w:t>开业时间</w:t>
            </w:r>
          </w:p>
        </w:tc>
        <w:tc>
          <w:tcPr>
            <w:tcW w:w="3487" w:type="dxa"/>
            <w:tcBorders>
              <w:top w:val="single" w:color="000000" w:sz="4" w:space="0"/>
              <w:left w:val="single" w:color="000000" w:sz="4" w:space="0"/>
              <w:bottom w:val="single" w:color="000000" w:sz="4" w:space="0"/>
              <w:right w:val="single" w:color="000000" w:sz="4" w:space="0"/>
            </w:tcBorders>
          </w:tcPr>
          <w:p w14:paraId="0E94ACD8">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3CAFAC5C">
        <w:tblPrEx>
          <w:tblCellMar>
            <w:top w:w="0" w:type="dxa"/>
            <w:left w:w="108" w:type="dxa"/>
            <w:bottom w:w="0" w:type="dxa"/>
            <w:right w:w="108" w:type="dxa"/>
          </w:tblCellMar>
        </w:tblPrEx>
        <w:trPr>
          <w:trHeight w:val="848"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5FB88D19">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2" w:type="dxa"/>
            <w:vMerge w:val="restart"/>
            <w:tcBorders>
              <w:top w:val="single" w:color="000000" w:sz="4" w:space="0"/>
              <w:left w:val="single" w:color="000000" w:sz="4" w:space="0"/>
              <w:bottom w:val="single" w:color="000000" w:sz="4" w:space="0"/>
              <w:right w:val="single" w:color="000000" w:sz="4" w:space="0"/>
            </w:tcBorders>
            <w:vAlign w:val="center"/>
          </w:tcPr>
          <w:p w14:paraId="1BA79980">
            <w:pPr>
              <w:rPr>
                <w:rFonts w:ascii="Times New Roman" w:hAnsi="Times New Roman" w:eastAsia="仿宋_GB2312"/>
                <w:color w:val="000000"/>
                <w:kern w:val="0"/>
                <w:sz w:val="22"/>
              </w:rPr>
            </w:pPr>
            <w:r>
              <w:rPr>
                <w:rFonts w:ascii="Times New Roman" w:hAnsi="Times New Roman" w:eastAsia="仿宋_GB2312"/>
                <w:color w:val="000000"/>
                <w:kern w:val="0"/>
                <w:sz w:val="22"/>
              </w:rPr>
              <w:t>出租率</w:t>
            </w:r>
          </w:p>
        </w:tc>
        <w:tc>
          <w:tcPr>
            <w:tcW w:w="1681" w:type="dxa"/>
            <w:tcBorders>
              <w:top w:val="single" w:color="000000" w:sz="4" w:space="0"/>
              <w:left w:val="single" w:color="000000" w:sz="4" w:space="0"/>
              <w:bottom w:val="single" w:color="000000" w:sz="4" w:space="0"/>
              <w:right w:val="single" w:color="000000" w:sz="4" w:space="0"/>
            </w:tcBorders>
          </w:tcPr>
          <w:p w14:paraId="16BC2A9A">
            <w:pPr>
              <w:rPr>
                <w:rFonts w:ascii="Times New Roman" w:hAnsi="Times New Roman" w:eastAsia="仿宋_GB2312"/>
                <w:kern w:val="0"/>
                <w:sz w:val="22"/>
                <w:lang w:val="zh-CN"/>
              </w:rPr>
            </w:pPr>
            <w:r>
              <w:rPr>
                <w:rFonts w:ascii="Times New Roman" w:hAnsi="Times New Roman" w:eastAsia="仿宋_GB2312"/>
                <w:kern w:val="0"/>
                <w:sz w:val="22"/>
                <w:lang w:val="zh-CN"/>
              </w:rPr>
              <w:t>最近一期（请注明具体时间）：</w:t>
            </w:r>
          </w:p>
        </w:tc>
        <w:tc>
          <w:tcPr>
            <w:tcW w:w="3487" w:type="dxa"/>
            <w:tcBorders>
              <w:top w:val="single" w:color="000000" w:sz="4" w:space="0"/>
              <w:left w:val="single" w:color="000000" w:sz="4" w:space="0"/>
              <w:bottom w:val="single" w:color="000000" w:sz="4" w:space="0"/>
              <w:right w:val="single" w:color="000000" w:sz="4" w:space="0"/>
            </w:tcBorders>
          </w:tcPr>
          <w:p w14:paraId="3D0BE320">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5A3D69F7">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1C3E25CE">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2" w:type="dxa"/>
            <w:vMerge w:val="continue"/>
            <w:tcBorders>
              <w:top w:val="single" w:color="000000" w:sz="4" w:space="0"/>
              <w:left w:val="single" w:color="000000" w:sz="4" w:space="0"/>
              <w:bottom w:val="single" w:color="000000" w:sz="4" w:space="0"/>
              <w:right w:val="single" w:color="000000" w:sz="4" w:space="0"/>
            </w:tcBorders>
            <w:vAlign w:val="center"/>
          </w:tcPr>
          <w:p w14:paraId="087CF558">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1" w:type="dxa"/>
            <w:tcBorders>
              <w:top w:val="single" w:color="000000" w:sz="4" w:space="0"/>
              <w:left w:val="single" w:color="000000" w:sz="4" w:space="0"/>
              <w:bottom w:val="single" w:color="000000" w:sz="4" w:space="0"/>
              <w:right w:val="single" w:color="000000" w:sz="4" w:space="0"/>
            </w:tcBorders>
          </w:tcPr>
          <w:p w14:paraId="51BAB64C">
            <w:pPr>
              <w:rPr>
                <w:rFonts w:ascii="Times New Roman" w:hAnsi="Times New Roman" w:eastAsia="仿宋_GB2312"/>
                <w:color w:val="000000"/>
                <w:kern w:val="0"/>
                <w:sz w:val="22"/>
              </w:rPr>
            </w:pPr>
            <w:r>
              <w:rPr>
                <w:rFonts w:ascii="Times New Roman" w:hAnsi="Times New Roman" w:eastAsia="仿宋_GB2312"/>
                <w:kern w:val="0"/>
                <w:sz w:val="22"/>
                <w:lang w:val="zh-CN"/>
              </w:rPr>
              <w:t>2021年度：</w:t>
            </w:r>
          </w:p>
        </w:tc>
        <w:tc>
          <w:tcPr>
            <w:tcW w:w="3487" w:type="dxa"/>
            <w:tcBorders>
              <w:top w:val="single" w:color="000000" w:sz="4" w:space="0"/>
              <w:left w:val="single" w:color="000000" w:sz="4" w:space="0"/>
              <w:bottom w:val="single" w:color="000000" w:sz="4" w:space="0"/>
              <w:right w:val="single" w:color="000000" w:sz="4" w:space="0"/>
            </w:tcBorders>
          </w:tcPr>
          <w:p w14:paraId="5AB81483">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0196869B">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4CB54B6E">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2" w:type="dxa"/>
            <w:vMerge w:val="continue"/>
            <w:tcBorders>
              <w:top w:val="single" w:color="000000" w:sz="4" w:space="0"/>
              <w:left w:val="single" w:color="000000" w:sz="4" w:space="0"/>
              <w:bottom w:val="single" w:color="000000" w:sz="4" w:space="0"/>
              <w:right w:val="single" w:color="000000" w:sz="4" w:space="0"/>
            </w:tcBorders>
          </w:tcPr>
          <w:p w14:paraId="68925BEB">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1" w:type="dxa"/>
            <w:tcBorders>
              <w:top w:val="single" w:color="000000" w:sz="4" w:space="0"/>
              <w:left w:val="single" w:color="000000" w:sz="4" w:space="0"/>
              <w:bottom w:val="single" w:color="000000" w:sz="4" w:space="0"/>
              <w:right w:val="single" w:color="000000" w:sz="4" w:space="0"/>
            </w:tcBorders>
          </w:tcPr>
          <w:p w14:paraId="1B9CA3DF">
            <w:pPr>
              <w:rPr>
                <w:rFonts w:ascii="Times New Roman" w:hAnsi="Times New Roman" w:eastAsia="仿宋_GB2312"/>
                <w:color w:val="000000"/>
                <w:kern w:val="0"/>
                <w:sz w:val="22"/>
              </w:rPr>
            </w:pPr>
            <w:r>
              <w:rPr>
                <w:rFonts w:ascii="Times New Roman" w:hAnsi="Times New Roman" w:eastAsia="仿宋_GB2312"/>
                <w:kern w:val="0"/>
                <w:sz w:val="22"/>
                <w:lang w:val="zh-CN"/>
              </w:rPr>
              <w:t>2020年度：</w:t>
            </w:r>
          </w:p>
        </w:tc>
        <w:tc>
          <w:tcPr>
            <w:tcW w:w="3487" w:type="dxa"/>
            <w:tcBorders>
              <w:top w:val="single" w:color="000000" w:sz="4" w:space="0"/>
              <w:left w:val="single" w:color="000000" w:sz="4" w:space="0"/>
              <w:bottom w:val="single" w:color="000000" w:sz="4" w:space="0"/>
              <w:right w:val="single" w:color="000000" w:sz="4" w:space="0"/>
            </w:tcBorders>
          </w:tcPr>
          <w:p w14:paraId="4B60D659">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45D256F9">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4C2A4903">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2" w:type="dxa"/>
            <w:vMerge w:val="continue"/>
            <w:tcBorders>
              <w:top w:val="single" w:color="000000" w:sz="4" w:space="0"/>
              <w:left w:val="single" w:color="000000" w:sz="4" w:space="0"/>
              <w:bottom w:val="single" w:color="000000" w:sz="4" w:space="0"/>
              <w:right w:val="single" w:color="000000" w:sz="4" w:space="0"/>
            </w:tcBorders>
          </w:tcPr>
          <w:p w14:paraId="02DEC4AC">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1681" w:type="dxa"/>
            <w:tcBorders>
              <w:top w:val="single" w:color="000000" w:sz="4" w:space="0"/>
              <w:left w:val="single" w:color="000000" w:sz="4" w:space="0"/>
              <w:bottom w:val="single" w:color="000000" w:sz="4" w:space="0"/>
              <w:right w:val="single" w:color="000000" w:sz="4" w:space="0"/>
            </w:tcBorders>
          </w:tcPr>
          <w:p w14:paraId="530F94AB">
            <w:pPr>
              <w:rPr>
                <w:rFonts w:ascii="Times New Roman" w:hAnsi="Times New Roman" w:eastAsia="仿宋_GB2312"/>
                <w:color w:val="000000"/>
                <w:kern w:val="0"/>
                <w:sz w:val="22"/>
              </w:rPr>
            </w:pPr>
            <w:r>
              <w:rPr>
                <w:rFonts w:ascii="Times New Roman" w:hAnsi="Times New Roman" w:eastAsia="仿宋_GB2312"/>
                <w:kern w:val="0"/>
                <w:sz w:val="22"/>
                <w:lang w:val="zh-CN"/>
              </w:rPr>
              <w:t>2019年度：</w:t>
            </w:r>
          </w:p>
        </w:tc>
        <w:tc>
          <w:tcPr>
            <w:tcW w:w="3487" w:type="dxa"/>
            <w:tcBorders>
              <w:top w:val="single" w:color="000000" w:sz="4" w:space="0"/>
              <w:left w:val="single" w:color="000000" w:sz="4" w:space="0"/>
              <w:bottom w:val="single" w:color="000000" w:sz="4" w:space="0"/>
              <w:right w:val="single" w:color="000000" w:sz="4" w:space="0"/>
            </w:tcBorders>
          </w:tcPr>
          <w:p w14:paraId="56E41172">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1D37FED7">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2B8A0E56">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42835595">
            <w:pPr>
              <w:rPr>
                <w:rFonts w:ascii="Times New Roman" w:hAnsi="Times New Roman" w:eastAsia="仿宋_GB2312"/>
                <w:color w:val="000000"/>
                <w:kern w:val="0"/>
                <w:sz w:val="22"/>
              </w:rPr>
            </w:pPr>
            <w:r>
              <w:rPr>
                <w:rFonts w:ascii="Times New Roman" w:hAnsi="Times New Roman" w:eastAsia="仿宋_GB2312"/>
                <w:color w:val="000000"/>
                <w:kern w:val="0"/>
                <w:sz w:val="22"/>
              </w:rPr>
              <w:t>评估方法、估值及占比</w:t>
            </w:r>
          </w:p>
        </w:tc>
        <w:tc>
          <w:tcPr>
            <w:tcW w:w="3487" w:type="dxa"/>
            <w:tcBorders>
              <w:top w:val="single" w:color="000000" w:sz="4" w:space="0"/>
              <w:left w:val="single" w:color="000000" w:sz="4" w:space="0"/>
              <w:bottom w:val="single" w:color="000000" w:sz="4" w:space="0"/>
              <w:right w:val="single" w:color="000000" w:sz="4" w:space="0"/>
            </w:tcBorders>
          </w:tcPr>
          <w:p w14:paraId="2C297E3B">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21368AC0">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60327E4C">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4D065386">
            <w:pPr>
              <w:rPr>
                <w:rFonts w:ascii="Times New Roman" w:hAnsi="Times New Roman" w:eastAsia="仿宋_GB2312"/>
                <w:color w:val="000000"/>
                <w:kern w:val="0"/>
                <w:sz w:val="22"/>
              </w:rPr>
            </w:pPr>
            <w:r>
              <w:rPr>
                <w:rFonts w:ascii="Times New Roman" w:hAnsi="Times New Roman" w:eastAsia="仿宋_GB2312"/>
                <w:color w:val="000000"/>
                <w:kern w:val="0"/>
                <w:sz w:val="22"/>
              </w:rPr>
              <w:t>不动产最终估值（万元）</w:t>
            </w:r>
          </w:p>
        </w:tc>
        <w:tc>
          <w:tcPr>
            <w:tcW w:w="3487" w:type="dxa"/>
            <w:tcBorders>
              <w:top w:val="single" w:color="000000" w:sz="4" w:space="0"/>
              <w:left w:val="single" w:color="000000" w:sz="4" w:space="0"/>
              <w:bottom w:val="single" w:color="000000" w:sz="4" w:space="0"/>
              <w:right w:val="single" w:color="000000" w:sz="4" w:space="0"/>
            </w:tcBorders>
          </w:tcPr>
          <w:p w14:paraId="1CE0E257">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6FEF4F52">
        <w:tblPrEx>
          <w:tblCellMar>
            <w:top w:w="0" w:type="dxa"/>
            <w:left w:w="108" w:type="dxa"/>
            <w:bottom w:w="0" w:type="dxa"/>
            <w:right w:w="108" w:type="dxa"/>
          </w:tblCellMar>
        </w:tblPrEx>
        <w:trPr>
          <w:trHeight w:val="830"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2A9C90A2">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68A51CF4">
            <w:pPr>
              <w:rPr>
                <w:rFonts w:ascii="Times New Roman" w:hAnsi="Times New Roman" w:eastAsia="仿宋_GB2312"/>
                <w:color w:val="000000"/>
                <w:kern w:val="0"/>
                <w:sz w:val="22"/>
              </w:rPr>
            </w:pPr>
            <w:r>
              <w:rPr>
                <w:rFonts w:ascii="Times New Roman" w:hAnsi="Times New Roman" w:eastAsia="仿宋_GB2312"/>
                <w:color w:val="000000"/>
                <w:kern w:val="0"/>
                <w:sz w:val="22"/>
              </w:rPr>
              <w:t>标的不动产单位建筑面积评估价（元/平方米）</w:t>
            </w:r>
          </w:p>
        </w:tc>
        <w:tc>
          <w:tcPr>
            <w:tcW w:w="3487" w:type="dxa"/>
            <w:tcBorders>
              <w:top w:val="single" w:color="000000" w:sz="4" w:space="0"/>
              <w:left w:val="single" w:color="000000" w:sz="4" w:space="0"/>
              <w:bottom w:val="single" w:color="000000" w:sz="4" w:space="0"/>
              <w:right w:val="single" w:color="000000" w:sz="4" w:space="0"/>
            </w:tcBorders>
          </w:tcPr>
          <w:p w14:paraId="05325908">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5C8CC81A">
        <w:tblPrEx>
          <w:tblCellMar>
            <w:top w:w="0" w:type="dxa"/>
            <w:left w:w="108" w:type="dxa"/>
            <w:bottom w:w="0" w:type="dxa"/>
            <w:right w:w="108" w:type="dxa"/>
          </w:tblCellMar>
        </w:tblPrEx>
        <w:trPr>
          <w:trHeight w:val="856"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315A6828">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6384578D">
            <w:pPr>
              <w:rPr>
                <w:rFonts w:ascii="Times New Roman" w:hAnsi="Times New Roman" w:eastAsia="仿宋_GB2312"/>
                <w:color w:val="000000"/>
                <w:kern w:val="0"/>
                <w:sz w:val="22"/>
              </w:rPr>
            </w:pPr>
            <w:r>
              <w:rPr>
                <w:rFonts w:ascii="Times New Roman" w:hAnsi="Times New Roman" w:eastAsia="仿宋_GB2312"/>
                <w:color w:val="000000"/>
                <w:kern w:val="0"/>
                <w:sz w:val="22"/>
              </w:rPr>
              <w:t>资本化率（Caprate）</w:t>
            </w:r>
          </w:p>
        </w:tc>
        <w:tc>
          <w:tcPr>
            <w:tcW w:w="3487" w:type="dxa"/>
            <w:tcBorders>
              <w:top w:val="single" w:color="000000" w:sz="4" w:space="0"/>
              <w:left w:val="single" w:color="000000" w:sz="4" w:space="0"/>
              <w:bottom w:val="single" w:color="000000" w:sz="4" w:space="0"/>
              <w:right w:val="single" w:color="000000" w:sz="4" w:space="0"/>
            </w:tcBorders>
          </w:tcPr>
          <w:p w14:paraId="27F0FEB1">
            <w:pPr>
              <w:rPr>
                <w:rFonts w:ascii="Times New Roman" w:hAnsi="Times New Roman" w:eastAsia="仿宋_GB2312"/>
                <w:kern w:val="0"/>
                <w:sz w:val="22"/>
                <w:lang w:val="zh-CN"/>
              </w:rPr>
            </w:pPr>
            <w:r>
              <w:rPr>
                <w:rFonts w:ascii="Times New Roman" w:hAnsi="Times New Roman" w:eastAsia="仿宋_GB2312"/>
                <w:kern w:val="0"/>
                <w:sz w:val="22"/>
                <w:lang w:val="zh-CN"/>
              </w:rPr>
              <w:t>以XX年度（最近完整年度）数据计算：</w:t>
            </w:r>
          </w:p>
          <w:p w14:paraId="78151DC6">
            <w:pPr>
              <w:rPr>
                <w:rFonts w:ascii="Times New Roman" w:hAnsi="Times New Roman" w:eastAsia="仿宋_GB2312"/>
                <w:kern w:val="0"/>
                <w:sz w:val="22"/>
                <w:lang w:val="zh-CN"/>
              </w:rPr>
            </w:pPr>
            <w:r>
              <w:rPr>
                <w:rFonts w:ascii="Times New Roman" w:hAnsi="Times New Roman" w:eastAsia="仿宋_GB2312"/>
                <w:kern w:val="0"/>
                <w:sz w:val="22"/>
                <w:lang w:val="zh-CN"/>
              </w:rPr>
              <w:t>以XX年度（存续期第一年）数据计算：</w:t>
            </w:r>
          </w:p>
        </w:tc>
      </w:tr>
      <w:tr w14:paraId="6274C2DA">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2779FBF8">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03749ADA">
            <w:pPr>
              <w:rPr>
                <w:rFonts w:ascii="Times New Roman" w:hAnsi="Times New Roman" w:eastAsia="仿宋_GB2312"/>
                <w:color w:val="000000"/>
                <w:kern w:val="0"/>
                <w:sz w:val="22"/>
              </w:rPr>
            </w:pPr>
            <w:r>
              <w:rPr>
                <w:rFonts w:ascii="Times New Roman" w:hAnsi="Times New Roman" w:eastAsia="仿宋_GB2312"/>
                <w:color w:val="000000"/>
                <w:kern w:val="0"/>
                <w:sz w:val="22"/>
              </w:rPr>
              <w:t>估值折现率</w:t>
            </w:r>
          </w:p>
        </w:tc>
        <w:tc>
          <w:tcPr>
            <w:tcW w:w="3487" w:type="dxa"/>
            <w:tcBorders>
              <w:top w:val="single" w:color="000000" w:sz="4" w:space="0"/>
              <w:left w:val="single" w:color="000000" w:sz="4" w:space="0"/>
              <w:bottom w:val="single" w:color="000000" w:sz="4" w:space="0"/>
              <w:right w:val="single" w:color="000000" w:sz="4" w:space="0"/>
            </w:tcBorders>
          </w:tcPr>
          <w:p w14:paraId="3A5B5BC9">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2FC918C9">
        <w:tblPrEx>
          <w:tblCellMar>
            <w:top w:w="0" w:type="dxa"/>
            <w:left w:w="108" w:type="dxa"/>
            <w:bottom w:w="0" w:type="dxa"/>
            <w:right w:w="108" w:type="dxa"/>
          </w:tblCellMar>
        </w:tblPrEx>
        <w:trPr>
          <w:trHeight w:val="567"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259471F5">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2B181BDB">
            <w:pPr>
              <w:rPr>
                <w:rFonts w:ascii="Times New Roman" w:hAnsi="Times New Roman" w:eastAsia="仿宋_GB2312"/>
                <w:color w:val="000000"/>
                <w:kern w:val="0"/>
                <w:sz w:val="22"/>
              </w:rPr>
            </w:pPr>
            <w:r>
              <w:rPr>
                <w:rFonts w:ascii="Times New Roman" w:hAnsi="Times New Roman" w:eastAsia="仿宋_GB2312"/>
                <w:color w:val="000000"/>
                <w:kern w:val="0"/>
                <w:sz w:val="22"/>
              </w:rPr>
              <w:t>抵押率（如有）</w:t>
            </w:r>
          </w:p>
        </w:tc>
        <w:tc>
          <w:tcPr>
            <w:tcW w:w="3487" w:type="dxa"/>
            <w:tcBorders>
              <w:top w:val="single" w:color="000000" w:sz="4" w:space="0"/>
              <w:left w:val="single" w:color="000000" w:sz="4" w:space="0"/>
              <w:bottom w:val="single" w:color="000000" w:sz="4" w:space="0"/>
              <w:right w:val="single" w:color="000000" w:sz="4" w:space="0"/>
            </w:tcBorders>
          </w:tcPr>
          <w:p w14:paraId="502697C7">
            <w:pPr>
              <w:keepNext/>
              <w:keepLines/>
              <w:numPr>
                <w:ilvl w:val="0"/>
                <w:numId w:val="0"/>
              </w:numPr>
              <w:spacing w:before="260" w:after="260" w:line="418" w:lineRule="auto"/>
              <w:outlineLvl w:val="2"/>
              <w:rPr>
                <w:rFonts w:ascii="Times New Roman" w:hAnsi="Times New Roman" w:eastAsia="仿宋_GB2312"/>
                <w:kern w:val="0"/>
                <w:sz w:val="22"/>
                <w:lang w:val="zh-CN"/>
              </w:rPr>
            </w:pPr>
          </w:p>
        </w:tc>
      </w:tr>
      <w:tr w14:paraId="4D7B085C">
        <w:tblPrEx>
          <w:tblCellMar>
            <w:top w:w="0" w:type="dxa"/>
            <w:left w:w="108" w:type="dxa"/>
            <w:bottom w:w="0" w:type="dxa"/>
            <w:right w:w="108" w:type="dxa"/>
          </w:tblCellMar>
        </w:tblPrEx>
        <w:trPr>
          <w:trHeight w:val="841" w:hRule="exact"/>
          <w:jc w:val="center"/>
        </w:trPr>
        <w:tc>
          <w:tcPr>
            <w:tcW w:w="1671" w:type="dxa"/>
            <w:vMerge w:val="continue"/>
            <w:tcBorders>
              <w:top w:val="single" w:color="000000" w:sz="4" w:space="0"/>
              <w:left w:val="single" w:color="000000" w:sz="4" w:space="0"/>
              <w:bottom w:val="single" w:color="000000" w:sz="4" w:space="0"/>
              <w:right w:val="single" w:color="000000" w:sz="4" w:space="0"/>
            </w:tcBorders>
          </w:tcPr>
          <w:p w14:paraId="5B71FD91">
            <w:pPr>
              <w:keepNext/>
              <w:keepLines/>
              <w:numPr>
                <w:ilvl w:val="0"/>
                <w:numId w:val="0"/>
              </w:numPr>
              <w:spacing w:before="260" w:after="260" w:line="418" w:lineRule="auto"/>
              <w:outlineLvl w:val="2"/>
              <w:rPr>
                <w:rFonts w:ascii="Times New Roman" w:hAnsi="Times New Roman" w:eastAsia="仿宋_GB2312"/>
                <w:color w:val="000000"/>
                <w:kern w:val="0"/>
                <w:sz w:val="22"/>
              </w:rPr>
            </w:pPr>
          </w:p>
        </w:tc>
        <w:tc>
          <w:tcPr>
            <w:tcW w:w="3363" w:type="dxa"/>
            <w:gridSpan w:val="2"/>
            <w:tcBorders>
              <w:top w:val="single" w:color="000000" w:sz="4" w:space="0"/>
              <w:left w:val="single" w:color="000000" w:sz="4" w:space="0"/>
              <w:bottom w:val="single" w:color="000000" w:sz="4" w:space="0"/>
              <w:right w:val="single" w:color="000000" w:sz="4" w:space="0"/>
            </w:tcBorders>
          </w:tcPr>
          <w:p w14:paraId="66F8CBFB">
            <w:pPr>
              <w:rPr>
                <w:rFonts w:ascii="Times New Roman" w:hAnsi="Times New Roman" w:eastAsia="仿宋_GB2312"/>
                <w:color w:val="000000"/>
                <w:kern w:val="0"/>
                <w:sz w:val="22"/>
              </w:rPr>
            </w:pPr>
            <w:r>
              <w:rPr>
                <w:rFonts w:ascii="Times New Roman" w:hAnsi="Times New Roman" w:eastAsia="仿宋_GB2312"/>
                <w:color w:val="000000"/>
                <w:kern w:val="0"/>
                <w:sz w:val="22"/>
              </w:rPr>
              <w:t>可比不动产简述（名称、商业类型、价格）</w:t>
            </w:r>
          </w:p>
        </w:tc>
        <w:tc>
          <w:tcPr>
            <w:tcW w:w="3487" w:type="dxa"/>
            <w:tcBorders>
              <w:top w:val="single" w:color="000000" w:sz="4" w:space="0"/>
              <w:left w:val="single" w:color="000000" w:sz="4" w:space="0"/>
              <w:bottom w:val="single" w:color="000000" w:sz="4" w:space="0"/>
              <w:right w:val="single" w:color="000000" w:sz="4" w:space="0"/>
            </w:tcBorders>
          </w:tcPr>
          <w:p w14:paraId="718ED749">
            <w:pPr>
              <w:keepNext/>
              <w:keepLines/>
              <w:numPr>
                <w:ilvl w:val="0"/>
                <w:numId w:val="0"/>
              </w:numPr>
              <w:spacing w:before="260" w:after="260" w:line="418" w:lineRule="auto"/>
              <w:outlineLvl w:val="2"/>
              <w:rPr>
                <w:rFonts w:ascii="Times New Roman" w:hAnsi="Times New Roman" w:eastAsia="仿宋_GB2312"/>
                <w:kern w:val="0"/>
                <w:sz w:val="22"/>
                <w:lang w:val="zh-CN"/>
              </w:rPr>
            </w:pPr>
          </w:p>
        </w:tc>
      </w:tr>
    </w:tbl>
    <w:p w14:paraId="30A3C1DD">
      <w:pPr>
        <w:spacing w:line="360" w:lineRule="auto"/>
        <w:ind w:firstLine="600"/>
        <w:rPr>
          <w:rFonts w:ascii="Times New Roman" w:hAnsi="Times New Roman" w:eastAsia="仿宋_GB2312"/>
          <w:sz w:val="30"/>
        </w:rPr>
      </w:pPr>
      <w:r>
        <w:rPr>
          <w:rFonts w:ascii="Times New Roman" w:hAnsi="Times New Roman" w:eastAsia="仿宋_GB2312"/>
          <w:sz w:val="30"/>
        </w:rPr>
        <w:t>2.不动产收益历史现金流及未来现金流预测</w:t>
      </w:r>
    </w:p>
    <w:tbl>
      <w:tblPr>
        <w:tblStyle w:val="32"/>
        <w:tblW w:w="5000" w:type="pct"/>
        <w:jc w:val="center"/>
        <w:tblLayout w:type="fixed"/>
        <w:tblCellMar>
          <w:top w:w="0" w:type="dxa"/>
          <w:left w:w="108" w:type="dxa"/>
          <w:bottom w:w="0" w:type="dxa"/>
          <w:right w:w="108" w:type="dxa"/>
        </w:tblCellMar>
      </w:tblPr>
      <w:tblGrid>
        <w:gridCol w:w="2193"/>
        <w:gridCol w:w="1056"/>
        <w:gridCol w:w="1055"/>
        <w:gridCol w:w="1055"/>
        <w:gridCol w:w="1054"/>
        <w:gridCol w:w="1055"/>
        <w:gridCol w:w="1055"/>
      </w:tblGrid>
      <w:tr w14:paraId="304450EF">
        <w:tblPrEx>
          <w:tblCellMar>
            <w:top w:w="0" w:type="dxa"/>
            <w:left w:w="108" w:type="dxa"/>
            <w:bottom w:w="0" w:type="dxa"/>
            <w:right w:w="108" w:type="dxa"/>
          </w:tblCellMar>
        </w:tblPrEx>
        <w:trPr>
          <w:trHeight w:val="948" w:hRule="exact"/>
          <w:tblHeader/>
          <w:jc w:val="center"/>
        </w:trPr>
        <w:tc>
          <w:tcPr>
            <w:tcW w:w="2137" w:type="dxa"/>
            <w:tcBorders>
              <w:top w:val="single" w:color="000000" w:sz="4" w:space="0"/>
              <w:left w:val="single" w:color="000000" w:sz="4" w:space="0"/>
              <w:bottom w:val="single" w:color="000000" w:sz="4" w:space="0"/>
              <w:right w:val="single" w:color="000000" w:sz="4" w:space="0"/>
            </w:tcBorders>
            <w:shd w:val="clear" w:color="000000" w:fill="FFFFFF"/>
          </w:tcPr>
          <w:p w14:paraId="06CE893A">
            <w:pPr>
              <w:widowControl/>
              <w:rPr>
                <w:rFonts w:ascii="Times New Roman" w:hAnsi="Times New Roman" w:eastAsia="仿宋_GB2312"/>
                <w:b/>
                <w:bCs/>
                <w:color w:val="000000"/>
                <w:kern w:val="0"/>
                <w:szCs w:val="21"/>
              </w:rPr>
            </w:pPr>
          </w:p>
        </w:tc>
        <w:tc>
          <w:tcPr>
            <w:tcW w:w="1029" w:type="dxa"/>
            <w:tcBorders>
              <w:top w:val="single" w:color="000000" w:sz="4" w:space="0"/>
              <w:bottom w:val="single" w:color="000000" w:sz="4" w:space="0"/>
              <w:right w:val="single" w:color="000000" w:sz="4" w:space="0"/>
            </w:tcBorders>
            <w:shd w:val="clear" w:color="000000" w:fill="FFFFFF"/>
          </w:tcPr>
          <w:p w14:paraId="4BCA465C">
            <w:pPr>
              <w:widowControl/>
              <w:rPr>
                <w:rFonts w:ascii="Times New Roman" w:hAnsi="Times New Roman" w:eastAsia="仿宋_GB2312"/>
                <w:b/>
                <w:bCs/>
                <w:color w:val="000000"/>
                <w:kern w:val="0"/>
                <w:szCs w:val="21"/>
              </w:rPr>
            </w:pPr>
            <w:r>
              <w:rPr>
                <w:rFonts w:ascii="Times New Roman" w:hAnsi="Times New Roman" w:eastAsia="仿宋_GB2312"/>
                <w:b/>
                <w:bCs/>
                <w:color w:val="000000"/>
                <w:szCs w:val="21"/>
              </w:rPr>
              <w:t>2019年度</w:t>
            </w:r>
          </w:p>
        </w:tc>
        <w:tc>
          <w:tcPr>
            <w:tcW w:w="1028" w:type="dxa"/>
            <w:tcBorders>
              <w:top w:val="single" w:color="000000" w:sz="4" w:space="0"/>
              <w:bottom w:val="single" w:color="000000" w:sz="4" w:space="0"/>
              <w:right w:val="single" w:color="000000" w:sz="4" w:space="0"/>
            </w:tcBorders>
            <w:shd w:val="clear" w:color="000000" w:fill="FFFFFF"/>
          </w:tcPr>
          <w:p w14:paraId="292BC2A0">
            <w:pPr>
              <w:widowControl/>
              <w:rPr>
                <w:rFonts w:ascii="Times New Roman" w:hAnsi="Times New Roman" w:eastAsia="仿宋_GB2312"/>
                <w:b/>
                <w:bCs/>
                <w:color w:val="000000"/>
                <w:kern w:val="0"/>
                <w:szCs w:val="21"/>
              </w:rPr>
            </w:pPr>
            <w:r>
              <w:rPr>
                <w:rFonts w:ascii="Times New Roman" w:hAnsi="Times New Roman" w:eastAsia="仿宋_GB2312"/>
                <w:b/>
                <w:bCs/>
                <w:color w:val="000000"/>
                <w:szCs w:val="21"/>
              </w:rPr>
              <w:t>2020年度</w:t>
            </w:r>
          </w:p>
        </w:tc>
        <w:tc>
          <w:tcPr>
            <w:tcW w:w="1028" w:type="dxa"/>
            <w:tcBorders>
              <w:top w:val="single" w:color="000000" w:sz="4" w:space="0"/>
              <w:bottom w:val="single" w:color="000000" w:sz="4" w:space="0"/>
              <w:right w:val="single" w:color="000000" w:sz="4" w:space="0"/>
            </w:tcBorders>
            <w:shd w:val="clear" w:color="000000" w:fill="FFFFFF"/>
          </w:tcPr>
          <w:p w14:paraId="089DC3A1">
            <w:pPr>
              <w:widowControl/>
              <w:rPr>
                <w:rFonts w:ascii="Times New Roman" w:hAnsi="Times New Roman" w:eastAsia="仿宋_GB2312"/>
                <w:b/>
                <w:bCs/>
                <w:color w:val="000000"/>
                <w:kern w:val="0"/>
                <w:szCs w:val="21"/>
              </w:rPr>
            </w:pPr>
            <w:r>
              <w:rPr>
                <w:rFonts w:ascii="Times New Roman" w:hAnsi="Times New Roman" w:eastAsia="仿宋_GB2312"/>
                <w:b/>
                <w:bCs/>
                <w:color w:val="000000"/>
                <w:szCs w:val="21"/>
              </w:rPr>
              <w:t>2021年度</w:t>
            </w:r>
          </w:p>
        </w:tc>
        <w:tc>
          <w:tcPr>
            <w:tcW w:w="1027" w:type="dxa"/>
            <w:tcBorders>
              <w:top w:val="single" w:color="000000" w:sz="4" w:space="0"/>
              <w:bottom w:val="single" w:color="000000" w:sz="4" w:space="0"/>
              <w:right w:val="single" w:color="000000" w:sz="4" w:space="0"/>
            </w:tcBorders>
            <w:shd w:val="clear" w:color="000000" w:fill="FFFFFF"/>
          </w:tcPr>
          <w:p w14:paraId="6DEE6452">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存续期</w:t>
            </w:r>
          </w:p>
          <w:p w14:paraId="4285827C">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第1年</w:t>
            </w:r>
          </w:p>
        </w:tc>
        <w:tc>
          <w:tcPr>
            <w:tcW w:w="1028" w:type="dxa"/>
            <w:tcBorders>
              <w:top w:val="single" w:color="000000" w:sz="4" w:space="0"/>
              <w:bottom w:val="single" w:color="000000" w:sz="4" w:space="0"/>
              <w:right w:val="single" w:color="000000" w:sz="4" w:space="0"/>
            </w:tcBorders>
            <w:shd w:val="clear" w:color="000000" w:fill="FFFFFF"/>
          </w:tcPr>
          <w:p w14:paraId="78370425">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存续期</w:t>
            </w:r>
          </w:p>
          <w:p w14:paraId="4FC84410">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第2年</w:t>
            </w:r>
          </w:p>
        </w:tc>
        <w:tc>
          <w:tcPr>
            <w:tcW w:w="1028" w:type="dxa"/>
            <w:tcBorders>
              <w:top w:val="single" w:color="000000" w:sz="4" w:space="0"/>
              <w:bottom w:val="single" w:color="000000" w:sz="4" w:space="0"/>
              <w:right w:val="single" w:color="000000" w:sz="4" w:space="0"/>
            </w:tcBorders>
            <w:shd w:val="clear" w:color="000000" w:fill="FFFFFF"/>
          </w:tcPr>
          <w:p w14:paraId="39C08E27">
            <w:pPr>
              <w:widowControl/>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w:t>
            </w:r>
          </w:p>
        </w:tc>
      </w:tr>
      <w:tr w14:paraId="231C0937">
        <w:tblPrEx>
          <w:tblCellMar>
            <w:top w:w="0" w:type="dxa"/>
            <w:left w:w="108" w:type="dxa"/>
            <w:bottom w:w="0" w:type="dxa"/>
            <w:right w:w="108" w:type="dxa"/>
          </w:tblCellMar>
        </w:tblPrEx>
        <w:trPr>
          <w:trHeight w:val="903"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2ABC75DE">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租金运营现金流入</w:t>
            </w:r>
            <w:r>
              <w:rPr>
                <w:rFonts w:ascii="Times New Roman" w:hAnsi="Times New Roman" w:eastAsia="仿宋_GB2312"/>
                <w:bCs/>
                <w:color w:val="000000"/>
                <w:kern w:val="0"/>
                <w:szCs w:val="21"/>
              </w:rPr>
              <w:t>（万元）</w:t>
            </w:r>
          </w:p>
        </w:tc>
        <w:tc>
          <w:tcPr>
            <w:tcW w:w="1029" w:type="dxa"/>
            <w:tcBorders>
              <w:bottom w:val="single" w:color="000000" w:sz="4" w:space="0"/>
              <w:right w:val="single" w:color="000000" w:sz="4" w:space="0"/>
            </w:tcBorders>
            <w:shd w:val="clear" w:color="000000" w:fill="FFFFFF"/>
          </w:tcPr>
          <w:p w14:paraId="508DE78A">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7DE797A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1C2553D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000000" w:fill="FFFFFF"/>
          </w:tcPr>
          <w:p w14:paraId="361A456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5A54416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7F4CF59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7DF95E69">
        <w:tblPrEx>
          <w:tblCellMar>
            <w:top w:w="0" w:type="dxa"/>
            <w:left w:w="108" w:type="dxa"/>
            <w:bottom w:w="0" w:type="dxa"/>
            <w:right w:w="108" w:type="dxa"/>
          </w:tblCellMar>
        </w:tblPrEx>
        <w:trPr>
          <w:trHeight w:val="910"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1469E8A3">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物业费运营现金流入（万元）</w:t>
            </w:r>
          </w:p>
          <w:p w14:paraId="1A6C6E16">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p>
        </w:tc>
        <w:tc>
          <w:tcPr>
            <w:tcW w:w="1029" w:type="dxa"/>
            <w:tcBorders>
              <w:bottom w:val="single" w:color="000000" w:sz="4" w:space="0"/>
              <w:right w:val="single" w:color="000000" w:sz="4" w:space="0"/>
            </w:tcBorders>
            <w:shd w:val="clear" w:color="000000" w:fill="FFFFFF"/>
          </w:tcPr>
          <w:p w14:paraId="639233D0">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602BC8F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00C0120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000000" w:fill="FFFFFF"/>
          </w:tcPr>
          <w:p w14:paraId="52DD914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5A1A1AE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20FC440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6DC71CF0">
        <w:tblPrEx>
          <w:tblCellMar>
            <w:top w:w="0" w:type="dxa"/>
            <w:left w:w="108" w:type="dxa"/>
            <w:bottom w:w="0" w:type="dxa"/>
            <w:right w:w="108" w:type="dxa"/>
          </w:tblCellMar>
        </w:tblPrEx>
        <w:trPr>
          <w:trHeight w:val="567"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43E32C6C">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运营现金流入合计</w:t>
            </w:r>
          </w:p>
        </w:tc>
        <w:tc>
          <w:tcPr>
            <w:tcW w:w="1029" w:type="dxa"/>
            <w:tcBorders>
              <w:bottom w:val="single" w:color="000000" w:sz="4" w:space="0"/>
              <w:right w:val="single" w:color="000000" w:sz="4" w:space="0"/>
            </w:tcBorders>
            <w:shd w:val="clear" w:color="000000" w:fill="FFFFFF"/>
          </w:tcPr>
          <w:p w14:paraId="26F583D5">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27D88C7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2988DA2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000000" w:fill="FFFFFF"/>
          </w:tcPr>
          <w:p w14:paraId="5178662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16EC35C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2DDB960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63E518B7">
        <w:tblPrEx>
          <w:tblCellMar>
            <w:top w:w="0" w:type="dxa"/>
            <w:left w:w="108" w:type="dxa"/>
            <w:bottom w:w="0" w:type="dxa"/>
            <w:right w:w="108" w:type="dxa"/>
          </w:tblCellMar>
        </w:tblPrEx>
        <w:trPr>
          <w:trHeight w:val="567"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4BD22A15">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增长率</w:t>
            </w:r>
            <w:r>
              <w:rPr>
                <w:rFonts w:ascii="Times New Roman" w:hAnsi="Times New Roman" w:eastAsia="仿宋_GB2312"/>
                <w:bCs/>
                <w:color w:val="000000"/>
                <w:kern w:val="0"/>
                <w:szCs w:val="21"/>
              </w:rPr>
              <w:t>（±%）</w:t>
            </w:r>
          </w:p>
        </w:tc>
        <w:tc>
          <w:tcPr>
            <w:tcW w:w="1029" w:type="dxa"/>
            <w:tcBorders>
              <w:bottom w:val="single" w:color="000000" w:sz="4" w:space="0"/>
              <w:right w:val="single" w:color="000000" w:sz="4" w:space="0"/>
            </w:tcBorders>
            <w:shd w:val="clear" w:color="000000" w:fill="FFFFFF"/>
          </w:tcPr>
          <w:p w14:paraId="1A4C8842">
            <w:pPr>
              <w:keepNext/>
              <w:keepLines/>
              <w:widowControl/>
              <w:numPr>
                <w:ilvl w:val="0"/>
                <w:numId w:val="0"/>
              </w:numPr>
              <w:spacing w:before="260" w:after="260" w:line="418" w:lineRule="auto"/>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3233B99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009564C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000000" w:fill="FFFFFF"/>
          </w:tcPr>
          <w:p w14:paraId="2AA87B0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087AC6C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000000" w:fill="FFFFFF"/>
          </w:tcPr>
          <w:p w14:paraId="27502AB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419C6E61">
        <w:tblPrEx>
          <w:tblCellMar>
            <w:top w:w="0" w:type="dxa"/>
            <w:left w:w="108" w:type="dxa"/>
            <w:bottom w:w="0" w:type="dxa"/>
            <w:right w:w="108" w:type="dxa"/>
          </w:tblCellMar>
        </w:tblPrEx>
        <w:trPr>
          <w:trHeight w:val="567"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69846BE4">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运营支出</w:t>
            </w:r>
            <w:r>
              <w:rPr>
                <w:rFonts w:ascii="Times New Roman" w:hAnsi="Times New Roman" w:eastAsia="仿宋_GB2312"/>
                <w:bCs/>
                <w:color w:val="000000"/>
                <w:kern w:val="0"/>
                <w:szCs w:val="21"/>
              </w:rPr>
              <w:t>（万元）</w:t>
            </w:r>
          </w:p>
        </w:tc>
        <w:tc>
          <w:tcPr>
            <w:tcW w:w="1029" w:type="dxa"/>
            <w:tcBorders>
              <w:bottom w:val="single" w:color="000000" w:sz="4" w:space="0"/>
              <w:right w:val="single" w:color="000000" w:sz="4" w:space="0"/>
            </w:tcBorders>
            <w:shd w:val="clear" w:color="auto" w:fill="auto"/>
          </w:tcPr>
          <w:p w14:paraId="066715B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1B33381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056A41B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0B4A662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576A83A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37F1E49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0A8BECB1">
        <w:tblPrEx>
          <w:tblCellMar>
            <w:top w:w="0" w:type="dxa"/>
            <w:left w:w="108" w:type="dxa"/>
            <w:bottom w:w="0" w:type="dxa"/>
            <w:right w:w="108" w:type="dxa"/>
          </w:tblCellMar>
        </w:tblPrEx>
        <w:trPr>
          <w:trHeight w:val="567"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67CB69D6">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EBITDA</w:t>
            </w:r>
            <w:r>
              <w:rPr>
                <w:rFonts w:ascii="Times New Roman" w:hAnsi="Times New Roman" w:eastAsia="仿宋_GB2312"/>
                <w:bCs/>
                <w:color w:val="000000"/>
                <w:kern w:val="0"/>
                <w:szCs w:val="21"/>
              </w:rPr>
              <w:t>（万元）</w:t>
            </w:r>
          </w:p>
        </w:tc>
        <w:tc>
          <w:tcPr>
            <w:tcW w:w="1029" w:type="dxa"/>
            <w:tcBorders>
              <w:bottom w:val="single" w:color="000000" w:sz="4" w:space="0"/>
              <w:right w:val="single" w:color="000000" w:sz="4" w:space="0"/>
            </w:tcBorders>
            <w:shd w:val="clear" w:color="auto" w:fill="auto"/>
          </w:tcPr>
          <w:p w14:paraId="2E12F08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39C0007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531A60D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7251A35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15F0B7B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3AB7324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7679B97C">
        <w:tblPrEx>
          <w:tblCellMar>
            <w:top w:w="0" w:type="dxa"/>
            <w:left w:w="108" w:type="dxa"/>
            <w:bottom w:w="0" w:type="dxa"/>
            <w:right w:w="108" w:type="dxa"/>
          </w:tblCellMar>
        </w:tblPrEx>
        <w:trPr>
          <w:trHeight w:val="567"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4E8C2909">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增长率（±%）</w:t>
            </w:r>
          </w:p>
        </w:tc>
        <w:tc>
          <w:tcPr>
            <w:tcW w:w="1029" w:type="dxa"/>
            <w:tcBorders>
              <w:bottom w:val="single" w:color="000000" w:sz="4" w:space="0"/>
              <w:right w:val="single" w:color="000000" w:sz="4" w:space="0"/>
            </w:tcBorders>
            <w:shd w:val="clear" w:color="auto" w:fill="auto"/>
          </w:tcPr>
          <w:p w14:paraId="53EF330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5ECBB96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12B5EFC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5E3117E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23160F2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2649943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407E0EA6">
        <w:tblPrEx>
          <w:tblCellMar>
            <w:top w:w="0" w:type="dxa"/>
            <w:left w:w="108" w:type="dxa"/>
            <w:bottom w:w="0" w:type="dxa"/>
            <w:right w:w="108" w:type="dxa"/>
          </w:tblCellMar>
        </w:tblPrEx>
        <w:trPr>
          <w:trHeight w:val="822" w:hRule="exact"/>
          <w:jc w:val="center"/>
        </w:trPr>
        <w:tc>
          <w:tcPr>
            <w:tcW w:w="213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C2C3EF">
            <w:pPr>
              <w:rPr>
                <w:rFonts w:ascii="Times New Roman" w:hAnsi="Times New Roman" w:eastAsia="仿宋_GB2312"/>
                <w:bCs/>
                <w:color w:val="000000"/>
                <w:kern w:val="0"/>
                <w:szCs w:val="21"/>
              </w:rPr>
            </w:pPr>
            <w:r>
              <w:rPr>
                <w:rFonts w:ascii="Times New Roman" w:hAnsi="Times New Roman" w:eastAsia="仿宋_GB2312"/>
                <w:color w:val="000000"/>
                <w:kern w:val="0"/>
                <w:szCs w:val="21"/>
              </w:rPr>
              <w:t>其他补充现金流入（权利维持金等）</w:t>
            </w:r>
          </w:p>
        </w:tc>
        <w:tc>
          <w:tcPr>
            <w:tcW w:w="1029" w:type="dxa"/>
            <w:tcBorders>
              <w:top w:val="single" w:color="000000" w:sz="4" w:space="0"/>
              <w:bottom w:val="single" w:color="000000" w:sz="4" w:space="0"/>
              <w:right w:val="single" w:color="000000" w:sz="4" w:space="0"/>
            </w:tcBorders>
            <w:shd w:val="clear" w:color="auto" w:fill="auto"/>
          </w:tcPr>
          <w:p w14:paraId="2E5338B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top w:val="single" w:color="000000" w:sz="4" w:space="0"/>
              <w:bottom w:val="single" w:color="000000" w:sz="4" w:space="0"/>
              <w:right w:val="single" w:color="000000" w:sz="4" w:space="0"/>
            </w:tcBorders>
            <w:shd w:val="clear" w:color="auto" w:fill="auto"/>
          </w:tcPr>
          <w:p w14:paraId="1D8E462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top w:val="single" w:color="000000" w:sz="4" w:space="0"/>
              <w:bottom w:val="single" w:color="000000" w:sz="4" w:space="0"/>
              <w:right w:val="single" w:color="000000" w:sz="4" w:space="0"/>
            </w:tcBorders>
            <w:shd w:val="clear" w:color="auto" w:fill="auto"/>
          </w:tcPr>
          <w:p w14:paraId="75168EF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top w:val="single" w:color="000000" w:sz="4" w:space="0"/>
              <w:bottom w:val="single" w:color="000000" w:sz="4" w:space="0"/>
              <w:right w:val="single" w:color="000000" w:sz="4" w:space="0"/>
            </w:tcBorders>
            <w:shd w:val="clear" w:color="auto" w:fill="auto"/>
          </w:tcPr>
          <w:p w14:paraId="77CA6A8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top w:val="single" w:color="000000" w:sz="4" w:space="0"/>
              <w:bottom w:val="single" w:color="000000" w:sz="4" w:space="0"/>
              <w:right w:val="single" w:color="000000" w:sz="4" w:space="0"/>
            </w:tcBorders>
            <w:shd w:val="clear" w:color="auto" w:fill="auto"/>
          </w:tcPr>
          <w:p w14:paraId="4E65E6E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top w:val="single" w:color="000000" w:sz="4" w:space="0"/>
              <w:bottom w:val="single" w:color="000000" w:sz="4" w:space="0"/>
              <w:right w:val="single" w:color="000000" w:sz="4" w:space="0"/>
            </w:tcBorders>
          </w:tcPr>
          <w:p w14:paraId="76604E3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1E8275C6">
        <w:tblPrEx>
          <w:tblCellMar>
            <w:top w:w="0" w:type="dxa"/>
            <w:left w:w="108" w:type="dxa"/>
            <w:bottom w:w="0" w:type="dxa"/>
            <w:right w:w="108" w:type="dxa"/>
          </w:tblCellMar>
        </w:tblPrEx>
        <w:trPr>
          <w:trHeight w:val="952"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0310BC9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优先级利息金额（万元）</w:t>
            </w:r>
          </w:p>
        </w:tc>
        <w:tc>
          <w:tcPr>
            <w:tcW w:w="1029" w:type="dxa"/>
            <w:tcBorders>
              <w:bottom w:val="single" w:color="000000" w:sz="4" w:space="0"/>
              <w:right w:val="single" w:color="000000" w:sz="4" w:space="0"/>
            </w:tcBorders>
            <w:shd w:val="clear" w:color="auto" w:fill="auto"/>
          </w:tcPr>
          <w:p w14:paraId="707CFD3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1E87CF1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4ED9196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542D6FA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2D2139B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00B6099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72E2E1B1">
        <w:tblPrEx>
          <w:tblCellMar>
            <w:top w:w="0" w:type="dxa"/>
            <w:left w:w="108" w:type="dxa"/>
            <w:bottom w:w="0" w:type="dxa"/>
            <w:right w:w="108" w:type="dxa"/>
          </w:tblCellMar>
        </w:tblPrEx>
        <w:trPr>
          <w:trHeight w:val="842"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2E0C2F6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EBITDA对优先级利息的覆盖倍数</w:t>
            </w:r>
          </w:p>
        </w:tc>
        <w:tc>
          <w:tcPr>
            <w:tcW w:w="1029" w:type="dxa"/>
            <w:tcBorders>
              <w:bottom w:val="single" w:color="000000" w:sz="4" w:space="0"/>
              <w:right w:val="single" w:color="000000" w:sz="4" w:space="0"/>
            </w:tcBorders>
            <w:shd w:val="clear" w:color="auto" w:fill="auto"/>
          </w:tcPr>
          <w:p w14:paraId="1A8B7E9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458CD19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575106F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6A18B19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467FA98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2D08F41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564EB3FB">
        <w:tblPrEx>
          <w:tblCellMar>
            <w:top w:w="0" w:type="dxa"/>
            <w:left w:w="108" w:type="dxa"/>
            <w:bottom w:w="0" w:type="dxa"/>
            <w:right w:w="108" w:type="dxa"/>
          </w:tblCellMar>
        </w:tblPrEx>
        <w:trPr>
          <w:trHeight w:val="864"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3AE95D25">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优先级本息金额</w:t>
            </w:r>
            <w:r>
              <w:rPr>
                <w:rFonts w:ascii="Times New Roman" w:hAnsi="Times New Roman" w:eastAsia="仿宋_GB2312"/>
                <w:bCs/>
                <w:color w:val="000000"/>
                <w:kern w:val="0"/>
                <w:szCs w:val="21"/>
              </w:rPr>
              <w:t>（万元）</w:t>
            </w:r>
          </w:p>
        </w:tc>
        <w:tc>
          <w:tcPr>
            <w:tcW w:w="1029" w:type="dxa"/>
            <w:tcBorders>
              <w:bottom w:val="single" w:color="000000" w:sz="4" w:space="0"/>
              <w:right w:val="single" w:color="000000" w:sz="4" w:space="0"/>
            </w:tcBorders>
            <w:shd w:val="clear" w:color="auto" w:fill="auto"/>
          </w:tcPr>
          <w:p w14:paraId="7EC37BD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7E56F01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6375DCC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6081CD5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0924BAF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10FDE06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015817F4">
        <w:tblPrEx>
          <w:tblCellMar>
            <w:top w:w="0" w:type="dxa"/>
            <w:left w:w="108" w:type="dxa"/>
            <w:bottom w:w="0" w:type="dxa"/>
            <w:right w:w="108" w:type="dxa"/>
          </w:tblCellMar>
        </w:tblPrEx>
        <w:trPr>
          <w:trHeight w:val="862" w:hRule="exact"/>
          <w:jc w:val="center"/>
        </w:trPr>
        <w:tc>
          <w:tcPr>
            <w:tcW w:w="2137" w:type="dxa"/>
            <w:tcBorders>
              <w:left w:val="single" w:color="000000" w:sz="4" w:space="0"/>
              <w:bottom w:val="single" w:color="000000" w:sz="4" w:space="0"/>
              <w:right w:val="single" w:color="000000" w:sz="4" w:space="0"/>
            </w:tcBorders>
            <w:shd w:val="clear" w:color="000000" w:fill="FFFFFF"/>
            <w:vAlign w:val="center"/>
          </w:tcPr>
          <w:p w14:paraId="4843CAA3">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EBITDA对优先级本息覆盖倍数</w:t>
            </w:r>
          </w:p>
        </w:tc>
        <w:tc>
          <w:tcPr>
            <w:tcW w:w="1029" w:type="dxa"/>
            <w:tcBorders>
              <w:bottom w:val="single" w:color="000000" w:sz="4" w:space="0"/>
              <w:right w:val="single" w:color="000000" w:sz="4" w:space="0"/>
            </w:tcBorders>
            <w:shd w:val="clear" w:color="auto" w:fill="auto"/>
          </w:tcPr>
          <w:p w14:paraId="4A475CF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1EBBBB4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0456D74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7" w:type="dxa"/>
            <w:tcBorders>
              <w:bottom w:val="single" w:color="000000" w:sz="4" w:space="0"/>
              <w:right w:val="single" w:color="000000" w:sz="4" w:space="0"/>
            </w:tcBorders>
            <w:shd w:val="clear" w:color="auto" w:fill="auto"/>
          </w:tcPr>
          <w:p w14:paraId="0DC5F0D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shd w:val="clear" w:color="auto" w:fill="auto"/>
          </w:tcPr>
          <w:p w14:paraId="21202A4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028" w:type="dxa"/>
            <w:tcBorders>
              <w:bottom w:val="single" w:color="000000" w:sz="4" w:space="0"/>
              <w:right w:val="single" w:color="000000" w:sz="4" w:space="0"/>
            </w:tcBorders>
          </w:tcPr>
          <w:p w14:paraId="3373D71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bl>
    <w:p w14:paraId="34D67A70">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(四)</w:t>
      </w:r>
      <w:r>
        <w:rPr>
          <w:rFonts w:ascii="Times New Roman" w:hAnsi="Times New Roman" w:eastAsia="仿宋_GB2312"/>
          <w:b/>
          <w:sz w:val="30"/>
        </w:rPr>
        <w:t>基础资产的合法合规性</w:t>
      </w:r>
    </w:p>
    <w:p w14:paraId="4DDACB92">
      <w:pPr>
        <w:spacing w:line="360" w:lineRule="auto"/>
        <w:ind w:firstLine="600"/>
        <w:rPr>
          <w:rFonts w:ascii="Times New Roman" w:hAnsi="Times New Roman" w:eastAsia="仿宋_GB2312"/>
          <w:sz w:val="30"/>
          <w:szCs w:val="30"/>
        </w:rPr>
      </w:pPr>
      <w:r>
        <w:rPr>
          <w:rFonts w:ascii="Times New Roman" w:hAnsi="Times New Roman" w:eastAsia="仿宋_GB2312"/>
          <w:sz w:val="30"/>
          <w:szCs w:val="30"/>
        </w:rPr>
        <w:t>填写示例：</w:t>
      </w:r>
    </w:p>
    <w:p w14:paraId="0081B166">
      <w:pPr>
        <w:spacing w:line="360" w:lineRule="auto"/>
        <w:ind w:firstLine="600"/>
        <w:rPr>
          <w:rFonts w:ascii="Times New Roman" w:hAnsi="Times New Roman" w:eastAsia="仿宋_GB2312"/>
          <w:sz w:val="30"/>
          <w:szCs w:val="30"/>
        </w:rPr>
      </w:pPr>
      <w:r>
        <w:rPr>
          <w:rFonts w:ascii="Times New Roman" w:hAnsi="Times New Roman" w:eastAsia="仿宋_GB2312"/>
          <w:sz w:val="30"/>
          <w:szCs w:val="30"/>
        </w:rPr>
        <w:t>基础资产在法律上能够准确、清晰予以界定；原始权益人对于基础资产的权属明确、法律要件齐备。</w:t>
      </w:r>
    </w:p>
    <w:p w14:paraId="1BDBC0EA">
      <w:pPr>
        <w:spacing w:line="360" w:lineRule="auto"/>
        <w:ind w:firstLine="600"/>
        <w:rPr>
          <w:rFonts w:ascii="Times New Roman" w:hAnsi="Times New Roman" w:eastAsia="仿宋_GB2312"/>
          <w:sz w:val="30"/>
          <w:szCs w:val="30"/>
        </w:rPr>
      </w:pPr>
      <w:r>
        <w:rPr>
          <w:rFonts w:ascii="Times New Roman" w:hAnsi="Times New Roman" w:eastAsia="仿宋_GB2312"/>
          <w:sz w:val="30"/>
          <w:szCs w:val="30"/>
        </w:rPr>
        <w:t>经管理人及律师核查，基础资产上不存在任何抵押、质押等第三方权利负担。原始权益人转让基础资产无需或已经征得第三方同意。基础资产不存在法定或约定的禁止或限制转让的情形。基础资产不涉及诉讼、仲裁、执行、破产程序或被强制执行司法程序。基础资产符合负面清单管理要求。</w:t>
      </w:r>
    </w:p>
    <w:p w14:paraId="3B268C0E">
      <w:pPr>
        <w:spacing w:line="360" w:lineRule="auto"/>
        <w:ind w:firstLine="600"/>
        <w:rPr>
          <w:rFonts w:ascii="Times New Roman" w:hAnsi="Times New Roman" w:eastAsia="仿宋_GB2312"/>
          <w:kern w:val="0"/>
          <w:sz w:val="30"/>
          <w:lang w:val="zh-CN"/>
        </w:rPr>
      </w:pPr>
      <w:r>
        <w:rPr>
          <w:rFonts w:ascii="Times New Roman" w:hAnsi="Times New Roman" w:eastAsia="仿宋_GB2312"/>
          <w:sz w:val="30"/>
          <w:szCs w:val="30"/>
        </w:rPr>
        <w:t>若不符合上述情形，请简述情况及风险缓释措施。</w:t>
      </w:r>
    </w:p>
    <w:p w14:paraId="3271F30F">
      <w:pPr>
        <w:pStyle w:val="83"/>
        <w:numPr>
          <w:ilvl w:val="0"/>
          <w:numId w:val="0"/>
        </w:numPr>
        <w:ind w:left="846" w:leftChars="0" w:hanging="420" w:firstLineChars="0"/>
        <w:rPr>
          <w:rFonts w:ascii="Times New Roman" w:hAnsi="Times New Roman" w:eastAsia="黑体"/>
          <w:b/>
          <w:bCs/>
          <w:kern w:val="0"/>
          <w:sz w:val="32"/>
          <w:szCs w:val="32"/>
        </w:rPr>
      </w:pPr>
      <w:r>
        <w:rPr>
          <w:rFonts w:ascii="Times New Roman" w:hAnsi="Times New Roman" w:eastAsia="黑体" w:cs="Times New Roman"/>
          <w:b/>
          <w:bCs/>
          <w:color w:val="auto"/>
          <w:kern w:val="0"/>
          <w:sz w:val="32"/>
          <w:szCs w:val="32"/>
          <w:lang w:val="en-US" w:eastAsia="zh-CN" w:bidi="ar-SA"/>
        </w:rPr>
        <w:t>三、</w:t>
      </w:r>
      <w:r>
        <w:rPr>
          <w:rFonts w:ascii="Times New Roman" w:hAnsi="Times New Roman" w:eastAsia="黑体"/>
          <w:b/>
          <w:bCs/>
          <w:kern w:val="0"/>
          <w:sz w:val="32"/>
          <w:szCs w:val="30"/>
        </w:rPr>
        <w:t>交易</w:t>
      </w:r>
      <w:r>
        <w:rPr>
          <w:rFonts w:ascii="Times New Roman" w:hAnsi="Times New Roman" w:eastAsia="黑体"/>
          <w:b/>
          <w:bCs/>
          <w:kern w:val="0"/>
          <w:sz w:val="32"/>
          <w:szCs w:val="32"/>
        </w:rPr>
        <w:t>结构</w:t>
      </w:r>
    </w:p>
    <w:p w14:paraId="2767FBD6">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(一)</w:t>
      </w:r>
      <w:r>
        <w:rPr>
          <w:rFonts w:ascii="Times New Roman" w:hAnsi="Times New Roman" w:eastAsia="仿宋_GB2312"/>
          <w:b/>
          <w:sz w:val="30"/>
        </w:rPr>
        <w:t>信用增级措施</w:t>
      </w:r>
    </w:p>
    <w:p w14:paraId="20C73C0D">
      <w:pPr>
        <w:spacing w:line="360" w:lineRule="auto"/>
        <w:ind w:firstLine="600"/>
        <w:rPr>
          <w:rFonts w:ascii="Times New Roman" w:hAnsi="Times New Roman" w:eastAsia="仿宋_GB2312"/>
          <w:sz w:val="30"/>
        </w:rPr>
      </w:pPr>
      <w:r>
        <w:rPr>
          <w:rFonts w:ascii="Times New Roman" w:hAnsi="Times New Roman" w:eastAsia="仿宋_GB2312"/>
          <w:sz w:val="30"/>
        </w:rPr>
        <w:t>填写说明：请以如下表格形式，按照触发顺序填写增信措施。增信措施包括分层结构，超额抵押，现金储备账户以及超额利差账户等内部信用增级方式，以及差额支付、责任保险、担保、银行信用证、流动性支持等外部信用增级方式。</w:t>
      </w:r>
    </w:p>
    <w:tbl>
      <w:tblPr>
        <w:tblStyle w:val="32"/>
        <w:tblW w:w="9498" w:type="dxa"/>
        <w:tblInd w:w="-346" w:type="dxa"/>
        <w:tblLayout w:type="fixed"/>
        <w:tblCellMar>
          <w:top w:w="0" w:type="dxa"/>
          <w:left w:w="108" w:type="dxa"/>
          <w:bottom w:w="0" w:type="dxa"/>
          <w:right w:w="108" w:type="dxa"/>
        </w:tblCellMar>
      </w:tblPr>
      <w:tblGrid>
        <w:gridCol w:w="1275"/>
        <w:gridCol w:w="2978"/>
        <w:gridCol w:w="5245"/>
      </w:tblGrid>
      <w:tr w14:paraId="080604AB">
        <w:tblPrEx>
          <w:tblCellMar>
            <w:top w:w="0" w:type="dxa"/>
            <w:left w:w="108" w:type="dxa"/>
            <w:bottom w:w="0" w:type="dxa"/>
            <w:right w:w="108" w:type="dxa"/>
          </w:tblCellMar>
        </w:tblPrEx>
        <w:trPr>
          <w:trHeight w:val="300" w:hRule="atLeast"/>
        </w:trPr>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3AA15F">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序号</w:t>
            </w:r>
          </w:p>
        </w:tc>
        <w:tc>
          <w:tcPr>
            <w:tcW w:w="2978" w:type="dxa"/>
            <w:tcBorders>
              <w:top w:val="single" w:color="000000" w:sz="4" w:space="0"/>
              <w:bottom w:val="single" w:color="000000" w:sz="4" w:space="0"/>
              <w:right w:val="single" w:color="000000" w:sz="4" w:space="0"/>
            </w:tcBorders>
            <w:shd w:val="clear" w:color="000000" w:fill="FFFFFF"/>
            <w:vAlign w:val="center"/>
          </w:tcPr>
          <w:p w14:paraId="694D8D90">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增信措施类别</w:t>
            </w:r>
          </w:p>
        </w:tc>
        <w:tc>
          <w:tcPr>
            <w:tcW w:w="5245" w:type="dxa"/>
            <w:tcBorders>
              <w:top w:val="single" w:color="000000" w:sz="4" w:space="0"/>
              <w:bottom w:val="single" w:color="000000" w:sz="4" w:space="0"/>
              <w:right w:val="single" w:color="000000" w:sz="4" w:space="0"/>
            </w:tcBorders>
            <w:shd w:val="clear" w:color="000000" w:fill="FFFFFF"/>
            <w:vAlign w:val="center"/>
          </w:tcPr>
          <w:p w14:paraId="735ED007">
            <w:pPr>
              <w:widowControl/>
              <w:jc w:val="center"/>
              <w:rPr>
                <w:rFonts w:ascii="Times New Roman" w:hAnsi="Times New Roman" w:eastAsia="仿宋_GB2312"/>
                <w:b/>
                <w:bCs/>
                <w:color w:val="000000"/>
                <w:kern w:val="0"/>
                <w:sz w:val="22"/>
              </w:rPr>
            </w:pPr>
            <w:r>
              <w:rPr>
                <w:rFonts w:ascii="Times New Roman" w:hAnsi="Times New Roman" w:eastAsia="仿宋_GB2312"/>
                <w:b/>
                <w:bCs/>
                <w:color w:val="000000"/>
                <w:kern w:val="0"/>
                <w:sz w:val="22"/>
              </w:rPr>
              <w:t>简述</w:t>
            </w:r>
          </w:p>
        </w:tc>
      </w:tr>
      <w:tr w14:paraId="77A63CEE">
        <w:tblPrEx>
          <w:tblCellMar>
            <w:top w:w="0" w:type="dxa"/>
            <w:left w:w="108" w:type="dxa"/>
            <w:bottom w:w="0" w:type="dxa"/>
            <w:right w:w="108" w:type="dxa"/>
          </w:tblCellMar>
        </w:tblPrEx>
        <w:trPr>
          <w:trHeight w:val="567" w:hRule="exact"/>
        </w:trPr>
        <w:tc>
          <w:tcPr>
            <w:tcW w:w="1275" w:type="dxa"/>
            <w:tcBorders>
              <w:left w:val="single" w:color="000000" w:sz="4" w:space="0"/>
              <w:bottom w:val="single" w:color="000000" w:sz="4" w:space="0"/>
              <w:right w:val="single" w:color="000000" w:sz="4" w:space="0"/>
            </w:tcBorders>
            <w:shd w:val="clear" w:color="000000" w:fill="FFFFFF"/>
            <w:vAlign w:val="center"/>
          </w:tcPr>
          <w:p w14:paraId="5CBB7D28">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1</w:t>
            </w:r>
          </w:p>
        </w:tc>
        <w:tc>
          <w:tcPr>
            <w:tcW w:w="2978" w:type="dxa"/>
            <w:tcBorders>
              <w:bottom w:val="single" w:color="000000" w:sz="4" w:space="0"/>
              <w:right w:val="single" w:color="000000" w:sz="4" w:space="0"/>
            </w:tcBorders>
            <w:shd w:val="clear" w:color="000000" w:fill="FFFFFF"/>
            <w:vAlign w:val="center"/>
          </w:tcPr>
          <w:p w14:paraId="63BA6322">
            <w:pPr>
              <w:keepNext/>
              <w:keepLines/>
              <w:widowControl/>
              <w:numPr>
                <w:ilvl w:val="0"/>
                <w:numId w:val="0"/>
              </w:numPr>
              <w:spacing w:before="340" w:after="330"/>
              <w:jc w:val="center"/>
              <w:outlineLvl w:val="0"/>
              <w:rPr>
                <w:rFonts w:ascii="Times New Roman" w:hAnsi="Times New Roman" w:eastAsia="仿宋_GB2312"/>
                <w:b/>
                <w:bCs/>
                <w:color w:val="000000"/>
                <w:kern w:val="0"/>
                <w:sz w:val="22"/>
              </w:rPr>
            </w:pPr>
          </w:p>
        </w:tc>
        <w:tc>
          <w:tcPr>
            <w:tcW w:w="5245" w:type="dxa"/>
            <w:tcBorders>
              <w:bottom w:val="single" w:color="000000" w:sz="4" w:space="0"/>
              <w:right w:val="single" w:color="000000" w:sz="4" w:space="0"/>
            </w:tcBorders>
            <w:shd w:val="clear" w:color="000000" w:fill="FFFFFF"/>
            <w:vAlign w:val="center"/>
          </w:tcPr>
          <w:p w14:paraId="4B7A3CD9">
            <w:pPr>
              <w:keepNext/>
              <w:keepLines/>
              <w:widowControl/>
              <w:numPr>
                <w:ilvl w:val="0"/>
                <w:numId w:val="0"/>
              </w:numPr>
              <w:spacing w:before="340" w:after="330"/>
              <w:jc w:val="left"/>
              <w:outlineLvl w:val="0"/>
              <w:rPr>
                <w:rFonts w:ascii="Times New Roman" w:hAnsi="Times New Roman" w:eastAsia="仿宋_GB2312"/>
                <w:b/>
                <w:bCs/>
                <w:color w:val="000000"/>
                <w:kern w:val="0"/>
                <w:sz w:val="22"/>
              </w:rPr>
            </w:pPr>
          </w:p>
        </w:tc>
      </w:tr>
      <w:tr w14:paraId="540F6C85">
        <w:tblPrEx>
          <w:tblCellMar>
            <w:top w:w="0" w:type="dxa"/>
            <w:left w:w="108" w:type="dxa"/>
            <w:bottom w:w="0" w:type="dxa"/>
            <w:right w:w="108" w:type="dxa"/>
          </w:tblCellMar>
        </w:tblPrEx>
        <w:trPr>
          <w:trHeight w:val="567" w:hRule="exact"/>
        </w:trPr>
        <w:tc>
          <w:tcPr>
            <w:tcW w:w="1275" w:type="dxa"/>
            <w:tcBorders>
              <w:left w:val="single" w:color="000000" w:sz="4" w:space="0"/>
              <w:bottom w:val="single" w:color="000000" w:sz="4" w:space="0"/>
              <w:right w:val="single" w:color="000000" w:sz="4" w:space="0"/>
            </w:tcBorders>
            <w:shd w:val="clear" w:color="000000" w:fill="FFFFFF"/>
            <w:vAlign w:val="center"/>
          </w:tcPr>
          <w:p w14:paraId="5EB0D7F9">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2</w:t>
            </w:r>
          </w:p>
        </w:tc>
        <w:tc>
          <w:tcPr>
            <w:tcW w:w="2978" w:type="dxa"/>
            <w:tcBorders>
              <w:bottom w:val="single" w:color="000000" w:sz="4" w:space="0"/>
              <w:right w:val="single" w:color="000000" w:sz="4" w:space="0"/>
            </w:tcBorders>
            <w:shd w:val="clear" w:color="000000" w:fill="FFFFFF"/>
            <w:vAlign w:val="center"/>
          </w:tcPr>
          <w:p w14:paraId="37CCE7C3">
            <w:pPr>
              <w:keepNext/>
              <w:keepLines/>
              <w:widowControl/>
              <w:numPr>
                <w:ilvl w:val="0"/>
                <w:numId w:val="0"/>
              </w:numPr>
              <w:spacing w:before="340" w:after="330"/>
              <w:jc w:val="center"/>
              <w:outlineLvl w:val="0"/>
              <w:rPr>
                <w:rFonts w:ascii="Times New Roman" w:hAnsi="Times New Roman" w:eastAsia="仿宋_GB2312"/>
                <w:b/>
                <w:bCs/>
                <w:color w:val="000000"/>
                <w:kern w:val="0"/>
                <w:sz w:val="22"/>
              </w:rPr>
            </w:pPr>
          </w:p>
        </w:tc>
        <w:tc>
          <w:tcPr>
            <w:tcW w:w="5245" w:type="dxa"/>
            <w:tcBorders>
              <w:bottom w:val="single" w:color="000000" w:sz="4" w:space="0"/>
              <w:right w:val="single" w:color="000000" w:sz="4" w:space="0"/>
            </w:tcBorders>
            <w:shd w:val="clear" w:color="000000" w:fill="FFFFFF"/>
            <w:vAlign w:val="center"/>
          </w:tcPr>
          <w:p w14:paraId="14827262">
            <w:pPr>
              <w:keepNext/>
              <w:keepLines/>
              <w:widowControl/>
              <w:numPr>
                <w:ilvl w:val="0"/>
                <w:numId w:val="0"/>
              </w:numPr>
              <w:spacing w:before="340" w:after="330"/>
              <w:jc w:val="left"/>
              <w:outlineLvl w:val="0"/>
              <w:rPr>
                <w:rFonts w:ascii="Times New Roman" w:hAnsi="Times New Roman" w:eastAsia="仿宋_GB2312"/>
                <w:b/>
                <w:bCs/>
                <w:color w:val="000000"/>
                <w:kern w:val="0"/>
                <w:sz w:val="22"/>
              </w:rPr>
            </w:pPr>
          </w:p>
        </w:tc>
      </w:tr>
      <w:tr w14:paraId="69CE2794">
        <w:tblPrEx>
          <w:tblCellMar>
            <w:top w:w="0" w:type="dxa"/>
            <w:left w:w="108" w:type="dxa"/>
            <w:bottom w:w="0" w:type="dxa"/>
            <w:right w:w="108" w:type="dxa"/>
          </w:tblCellMar>
        </w:tblPrEx>
        <w:trPr>
          <w:trHeight w:val="567" w:hRule="exact"/>
        </w:trPr>
        <w:tc>
          <w:tcPr>
            <w:tcW w:w="1275" w:type="dxa"/>
            <w:tcBorders>
              <w:left w:val="single" w:color="000000" w:sz="4" w:space="0"/>
              <w:bottom w:val="single" w:color="000000" w:sz="4" w:space="0"/>
              <w:right w:val="single" w:color="000000" w:sz="4" w:space="0"/>
            </w:tcBorders>
            <w:shd w:val="clear" w:color="000000" w:fill="FFFFFF"/>
            <w:vAlign w:val="center"/>
          </w:tcPr>
          <w:p w14:paraId="5A4A5B56">
            <w:pPr>
              <w:widowControl/>
              <w:jc w:val="center"/>
              <w:rPr>
                <w:rFonts w:ascii="Times New Roman" w:hAnsi="Times New Roman" w:eastAsia="仿宋_GB2312"/>
                <w:color w:val="000000"/>
                <w:kern w:val="0"/>
                <w:sz w:val="22"/>
              </w:rPr>
            </w:pPr>
            <w:r>
              <w:rPr>
                <w:rFonts w:ascii="Times New Roman" w:hAnsi="Times New Roman" w:eastAsia="仿宋_GB2312"/>
                <w:color w:val="000000"/>
                <w:kern w:val="0"/>
                <w:sz w:val="22"/>
              </w:rPr>
              <w:t>3</w:t>
            </w:r>
          </w:p>
        </w:tc>
        <w:tc>
          <w:tcPr>
            <w:tcW w:w="2978" w:type="dxa"/>
            <w:tcBorders>
              <w:bottom w:val="single" w:color="000000" w:sz="4" w:space="0"/>
              <w:right w:val="single" w:color="000000" w:sz="4" w:space="0"/>
            </w:tcBorders>
            <w:shd w:val="clear" w:color="000000" w:fill="FFFFFF"/>
            <w:vAlign w:val="center"/>
          </w:tcPr>
          <w:p w14:paraId="78095ACC">
            <w:pPr>
              <w:keepNext/>
              <w:keepLines/>
              <w:widowControl/>
              <w:numPr>
                <w:ilvl w:val="0"/>
                <w:numId w:val="0"/>
              </w:numPr>
              <w:spacing w:before="340" w:after="330"/>
              <w:jc w:val="center"/>
              <w:outlineLvl w:val="0"/>
              <w:rPr>
                <w:rFonts w:ascii="Times New Roman" w:hAnsi="Times New Roman" w:eastAsia="仿宋_GB2312"/>
                <w:b/>
                <w:bCs/>
                <w:color w:val="000000"/>
                <w:kern w:val="0"/>
                <w:sz w:val="22"/>
              </w:rPr>
            </w:pPr>
          </w:p>
        </w:tc>
        <w:tc>
          <w:tcPr>
            <w:tcW w:w="5245" w:type="dxa"/>
            <w:tcBorders>
              <w:bottom w:val="single" w:color="000000" w:sz="4" w:space="0"/>
              <w:right w:val="single" w:color="000000" w:sz="4" w:space="0"/>
            </w:tcBorders>
            <w:shd w:val="clear" w:color="000000" w:fill="FFFFFF"/>
            <w:vAlign w:val="center"/>
          </w:tcPr>
          <w:p w14:paraId="112D10F3">
            <w:pPr>
              <w:keepNext/>
              <w:keepLines/>
              <w:widowControl/>
              <w:numPr>
                <w:ilvl w:val="0"/>
                <w:numId w:val="0"/>
              </w:numPr>
              <w:spacing w:before="340" w:after="330"/>
              <w:jc w:val="left"/>
              <w:outlineLvl w:val="0"/>
              <w:rPr>
                <w:rFonts w:ascii="Times New Roman" w:hAnsi="Times New Roman" w:eastAsia="仿宋_GB2312"/>
                <w:b/>
                <w:bCs/>
                <w:color w:val="000000"/>
                <w:kern w:val="0"/>
                <w:sz w:val="22"/>
              </w:rPr>
            </w:pPr>
          </w:p>
        </w:tc>
      </w:tr>
    </w:tbl>
    <w:p w14:paraId="31D4FF2D">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(二)</w:t>
      </w:r>
      <w:r>
        <w:rPr>
          <w:rFonts w:ascii="Times New Roman" w:hAnsi="Times New Roman" w:eastAsia="仿宋_GB2312"/>
          <w:b/>
          <w:sz w:val="30"/>
        </w:rPr>
        <w:t>基础资产现金流归集与分配</w:t>
      </w:r>
    </w:p>
    <w:p w14:paraId="71A47F02">
      <w:pPr>
        <w:spacing w:line="360" w:lineRule="auto"/>
        <w:ind w:firstLine="600"/>
        <w:rPr>
          <w:rFonts w:ascii="Times New Roman" w:hAnsi="Times New Roman" w:eastAsia="仿宋_GB2312"/>
          <w:sz w:val="30"/>
        </w:rPr>
      </w:pPr>
      <w:r>
        <w:rPr>
          <w:rFonts w:ascii="Times New Roman" w:hAnsi="Times New Roman" w:eastAsia="仿宋_GB2312"/>
          <w:sz w:val="30"/>
        </w:rPr>
        <w:t>填写说明：请简述基础资产现金流归集安排，包括账户设置，回收频率、归集频率和转付频率，以及发生特殊事件后，相关账户和现金流归集转付频率发生的变化。</w:t>
      </w:r>
    </w:p>
    <w:p w14:paraId="41E61E3D">
      <w:pPr>
        <w:spacing w:line="360" w:lineRule="auto"/>
        <w:ind w:firstLine="600"/>
        <w:rPr>
          <w:rFonts w:ascii="Times New Roman" w:hAnsi="Times New Roman" w:eastAsia="仿宋_GB2312"/>
          <w:sz w:val="30"/>
        </w:rPr>
      </w:pPr>
      <w:r>
        <w:rPr>
          <w:rFonts w:ascii="Times New Roman" w:hAnsi="Times New Roman" w:eastAsia="仿宋_GB2312"/>
          <w:sz w:val="30"/>
          <w:szCs w:val="30"/>
        </w:rPr>
        <w:t>填写示例：本专项计划设置XX账户、XX账户。正常情形下按月回收、按季归集转付至XX账户；发生XX事件情形下，按月归集转付至XX账户。</w:t>
      </w:r>
    </w:p>
    <w:p w14:paraId="08D8033A">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(三)</w:t>
      </w:r>
      <w:r>
        <w:rPr>
          <w:rFonts w:ascii="Times New Roman" w:hAnsi="Times New Roman" w:eastAsia="仿宋_GB2312"/>
          <w:b/>
          <w:sz w:val="30"/>
        </w:rPr>
        <w:t>资产支持证券特殊条款</w:t>
      </w:r>
    </w:p>
    <w:p w14:paraId="0CA58598">
      <w:pPr>
        <w:tabs>
          <w:tab w:val="left" w:pos="1820"/>
        </w:tabs>
        <w:spacing w:line="360" w:lineRule="auto"/>
        <w:ind w:firstLine="600"/>
        <w:rPr>
          <w:rFonts w:ascii="Times New Roman" w:hAnsi="Times New Roman" w:eastAsia="仿宋_GB2312"/>
          <w:kern w:val="0"/>
          <w:sz w:val="30"/>
          <w:lang w:val="zh-CN"/>
        </w:rPr>
      </w:pPr>
      <w:r>
        <w:rPr>
          <w:rFonts w:ascii="Times New Roman" w:hAnsi="Times New Roman" w:eastAsia="仿宋_GB2312"/>
          <w:sz w:val="30"/>
        </w:rPr>
        <w:t>填写示例：</w:t>
      </w:r>
      <w:r>
        <w:rPr>
          <w:rFonts w:ascii="Times New Roman" w:hAnsi="Times New Roman" w:eastAsia="仿宋_GB2312"/>
          <w:kern w:val="0"/>
          <w:sz w:val="30"/>
          <w:lang w:val="zh-CN"/>
        </w:rPr>
        <w:t>本专项计划使用的特殊条款包括循环购买、回售条款、权利完善事件、加速清偿事件。具体请见本报告附件二。</w:t>
      </w:r>
    </w:p>
    <w:p w14:paraId="715D59B0">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(四)</w:t>
      </w:r>
      <w:r>
        <w:rPr>
          <w:rFonts w:ascii="Times New Roman" w:hAnsi="Times New Roman" w:eastAsia="仿宋_GB2312"/>
          <w:b/>
          <w:sz w:val="30"/>
        </w:rPr>
        <w:t>权利负担及抵质押安排（如有）</w:t>
      </w:r>
    </w:p>
    <w:p w14:paraId="51026FE8">
      <w:pPr>
        <w:spacing w:line="360" w:lineRule="auto"/>
        <w:ind w:firstLine="600"/>
        <w:rPr>
          <w:rFonts w:ascii="Times New Roman" w:hAnsi="Times New Roman" w:eastAsia="仿宋_GB2312"/>
          <w:sz w:val="30"/>
        </w:rPr>
      </w:pPr>
      <w:r>
        <w:rPr>
          <w:rFonts w:ascii="Times New Roman" w:hAnsi="Times New Roman" w:eastAsia="仿宋_GB2312"/>
          <w:sz w:val="30"/>
        </w:rPr>
        <w:t>填写说明：</w:t>
      </w:r>
    </w:p>
    <w:p w14:paraId="2FFD918C">
      <w:pPr>
        <w:spacing w:line="360" w:lineRule="auto"/>
        <w:ind w:firstLine="600"/>
        <w:rPr>
          <w:rFonts w:ascii="Times New Roman" w:hAnsi="Times New Roman" w:eastAsia="仿宋_GB2312"/>
          <w:sz w:val="30"/>
        </w:rPr>
      </w:pPr>
      <w:r>
        <w:rPr>
          <w:rFonts w:ascii="Times New Roman" w:hAnsi="Times New Roman" w:eastAsia="仿宋_GB2312"/>
          <w:sz w:val="30"/>
        </w:rPr>
        <w:t>1.专项计划为双SPV结构的，请简述底层资产及现金流来源的权利负担及抵质押情况，包括现有权利负担情况，解除现有抵质押（如有）的时点、资金来源、登记安排、取得权利方同意情况，及后续向专项计划抵质押的安排、抵质押生效及登记时点等（如有）。</w:t>
      </w:r>
    </w:p>
    <w:p w14:paraId="59A98A9E">
      <w:pPr>
        <w:spacing w:line="360" w:lineRule="auto"/>
        <w:ind w:firstLine="600"/>
        <w:rPr>
          <w:rFonts w:ascii="Times New Roman" w:hAnsi="Times New Roman" w:eastAsia="仿宋_GB2312"/>
          <w:sz w:val="30"/>
        </w:rPr>
      </w:pPr>
      <w:r>
        <w:rPr>
          <w:rFonts w:ascii="Times New Roman" w:hAnsi="Times New Roman" w:eastAsia="仿宋_GB2312"/>
          <w:sz w:val="30"/>
        </w:rPr>
        <w:t>2.基础资产为未来经营收入类的，请简述底层资产及相关资产的权利负担及抵质押情况，包括现有权利负担情况及存在权利负担的相关资产占全部相关资产比重，解除现有抵质押（如有）的时点、资金来源、登记安排、取得权利方同意情况，及后续向专项计划抵质押的安排、抵质押生效及登记时点等（如有）。</w:t>
      </w:r>
    </w:p>
    <w:p w14:paraId="733392F6">
      <w:pPr>
        <w:spacing w:line="360" w:lineRule="auto"/>
        <w:ind w:firstLine="600"/>
        <w:rPr>
          <w:rFonts w:ascii="Times New Roman" w:hAnsi="Times New Roman" w:eastAsia="仿宋_GB2312"/>
          <w:sz w:val="30"/>
        </w:rPr>
      </w:pPr>
      <w:r>
        <w:rPr>
          <w:rFonts w:ascii="Times New Roman" w:hAnsi="Times New Roman" w:eastAsia="仿宋_GB2312"/>
          <w:sz w:val="30"/>
        </w:rPr>
        <w:t>3.专项计划存在其他抵质押担保措施的，请简述相关情况，包括抵质押资产基本情况、现有权利负担情况（如有）及解除安排、抵质押资产评估价值及依据、抵质押率、抵质押安排、生效及登记时点等。</w:t>
      </w:r>
    </w:p>
    <w:p w14:paraId="11525147">
      <w:pPr>
        <w:pStyle w:val="83"/>
        <w:numPr>
          <w:ilvl w:val="0"/>
          <w:numId w:val="0"/>
        </w:numPr>
        <w:ind w:left="846" w:leftChars="0" w:hanging="420" w:firstLineChars="0"/>
        <w:rPr>
          <w:rFonts w:ascii="Times New Roman" w:hAnsi="Times New Roman" w:eastAsia="黑体"/>
          <w:b/>
          <w:bCs/>
          <w:kern w:val="0"/>
          <w:sz w:val="32"/>
          <w:szCs w:val="32"/>
        </w:rPr>
      </w:pPr>
      <w:bookmarkStart w:id="54" w:name="_Toc478717272"/>
      <w:r>
        <w:rPr>
          <w:rFonts w:ascii="Times New Roman" w:hAnsi="Times New Roman" w:eastAsia="黑体" w:cs="Times New Roman"/>
          <w:b/>
          <w:bCs/>
          <w:color w:val="auto"/>
          <w:kern w:val="0"/>
          <w:sz w:val="32"/>
          <w:szCs w:val="32"/>
          <w:lang w:val="en-US" w:eastAsia="zh-CN" w:bidi="ar-SA"/>
        </w:rPr>
        <w:t>四、</w:t>
      </w:r>
      <w:r>
        <w:rPr>
          <w:rFonts w:ascii="Times New Roman" w:hAnsi="Times New Roman" w:eastAsia="黑体"/>
          <w:b/>
          <w:bCs/>
          <w:kern w:val="0"/>
          <w:sz w:val="32"/>
          <w:szCs w:val="32"/>
        </w:rPr>
        <w:t>重要</w:t>
      </w:r>
      <w:r>
        <w:rPr>
          <w:rFonts w:ascii="Times New Roman" w:hAnsi="Times New Roman" w:eastAsia="黑体"/>
          <w:b/>
          <w:bCs/>
          <w:kern w:val="0"/>
          <w:sz w:val="32"/>
          <w:szCs w:val="30"/>
        </w:rPr>
        <w:t>参与</w:t>
      </w:r>
      <w:r>
        <w:rPr>
          <w:rFonts w:ascii="Times New Roman" w:hAnsi="Times New Roman" w:eastAsia="黑体"/>
          <w:b/>
          <w:bCs/>
          <w:kern w:val="0"/>
          <w:sz w:val="32"/>
          <w:szCs w:val="32"/>
        </w:rPr>
        <w:t>人概况</w:t>
      </w:r>
      <w:bookmarkEnd w:id="54"/>
    </w:p>
    <w:p w14:paraId="5A8CB6F3">
      <w:pPr>
        <w:pStyle w:val="83"/>
        <w:numPr>
          <w:ilvl w:val="0"/>
          <w:numId w:val="0"/>
        </w:numPr>
        <w:snapToGrid w:val="0"/>
        <w:spacing w:line="360" w:lineRule="auto"/>
        <w:ind w:left="0" w:leftChars="0" w:firstLine="602" w:firstLineChars="0"/>
        <w:rPr>
          <w:rFonts w:ascii="Times New Roman" w:hAnsi="Times New Roman" w:eastAsia="仿宋_GB2312"/>
          <w:b/>
          <w:sz w:val="30"/>
        </w:rPr>
      </w:pPr>
      <w:bookmarkStart w:id="55" w:name="_Toc478717273"/>
      <w:r>
        <w:rPr>
          <w:rFonts w:ascii="Times New Roman" w:hAnsi="Times New Roman" w:eastAsia="仿宋_GB2312" w:cs="Times New Roman"/>
          <w:b/>
          <w:color w:val="auto"/>
          <w:kern w:val="2"/>
          <w:sz w:val="30"/>
          <w:szCs w:val="22"/>
          <w:lang w:val="en-US" w:eastAsia="zh-CN" w:bidi="ar-SA"/>
        </w:rPr>
        <w:t>(一)</w:t>
      </w:r>
      <w:r>
        <w:rPr>
          <w:rFonts w:ascii="Times New Roman" w:hAnsi="Times New Roman" w:eastAsia="仿宋_GB2312"/>
          <w:b/>
          <w:sz w:val="30"/>
        </w:rPr>
        <w:t>原始权益人</w:t>
      </w:r>
      <w:bookmarkEnd w:id="55"/>
      <w:r>
        <w:rPr>
          <w:rFonts w:ascii="Times New Roman" w:hAnsi="Times New Roman" w:eastAsia="仿宋_GB2312"/>
          <w:b/>
          <w:sz w:val="30"/>
        </w:rPr>
        <w:t>（采用双SPV结构的，请分别填写实际融资人与原始权益人情况）</w:t>
      </w:r>
    </w:p>
    <w:p w14:paraId="7683ED2F">
      <w:pPr>
        <w:spacing w:line="360" w:lineRule="auto"/>
        <w:ind w:firstLine="600"/>
        <w:rPr>
          <w:rFonts w:ascii="Times New Roman" w:hAnsi="Times New Roman" w:eastAsia="仿宋_GB2312"/>
          <w:sz w:val="30"/>
        </w:rPr>
      </w:pPr>
      <w:r>
        <w:rPr>
          <w:rFonts w:ascii="Times New Roman" w:hAnsi="Times New Roman" w:eastAsia="仿宋_GB2312"/>
          <w:sz w:val="30"/>
        </w:rPr>
        <w:t>1.基本情况</w:t>
      </w:r>
    </w:p>
    <w:tbl>
      <w:tblPr>
        <w:tblStyle w:val="32"/>
        <w:tblW w:w="8522" w:type="dxa"/>
        <w:jc w:val="center"/>
        <w:tblLayout w:type="fixed"/>
        <w:tblCellMar>
          <w:top w:w="0" w:type="dxa"/>
          <w:left w:w="108" w:type="dxa"/>
          <w:bottom w:w="0" w:type="dxa"/>
          <w:right w:w="108" w:type="dxa"/>
        </w:tblCellMar>
      </w:tblPr>
      <w:tblGrid>
        <w:gridCol w:w="2802"/>
        <w:gridCol w:w="5719"/>
      </w:tblGrid>
      <w:tr w14:paraId="37FE138B">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F26732">
            <w:pPr>
              <w:rPr>
                <w:rFonts w:ascii="Times New Roman" w:hAnsi="Times New Roman" w:eastAsia="仿宋_GB2312"/>
                <w:bCs/>
                <w:color w:val="000000"/>
                <w:kern w:val="0"/>
                <w:sz w:val="22"/>
              </w:rPr>
            </w:pPr>
            <w:r>
              <w:rPr>
                <w:rFonts w:ascii="Times New Roman" w:hAnsi="Times New Roman" w:eastAsia="仿宋_GB2312"/>
                <w:bCs/>
                <w:color w:val="000000"/>
                <w:kern w:val="0"/>
                <w:sz w:val="22"/>
              </w:rPr>
              <w:t>企业名称</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9FDC9">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58658ADD">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F265E8">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是否为特定原始权益人</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E141D8">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是/否</w:t>
            </w:r>
          </w:p>
        </w:tc>
      </w:tr>
      <w:tr w14:paraId="7C4C2458">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42236F">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主体评级</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243F08">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31C24430">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A76411">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所属证监局</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50DC6F">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358216EF">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7F5895">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企业性质</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380D57">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国有控股/集体控股/民营企业/外商投资企业/其他</w:t>
            </w:r>
          </w:p>
        </w:tc>
      </w:tr>
      <w:tr w14:paraId="6C2EAF6D">
        <w:tblPrEx>
          <w:tblCellMar>
            <w:top w:w="0" w:type="dxa"/>
            <w:left w:w="108" w:type="dxa"/>
            <w:bottom w:w="0" w:type="dxa"/>
            <w:right w:w="108" w:type="dxa"/>
          </w:tblCellMar>
        </w:tblPrEx>
        <w:trPr>
          <w:trHeight w:val="850"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CA9F50">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企业属性</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3F68CA">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股份有限公司/有限责任公司/全民所有制企业/事业单位/其他</w:t>
            </w:r>
          </w:p>
        </w:tc>
      </w:tr>
      <w:tr w14:paraId="2C29DDAB">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2F2562">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控股股东及其占比</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C6C27A">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5F24715A">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A4D4CE">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实际控制人</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2C27A3">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2530F87C">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491BEF">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所属行业</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DF954D">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2D110BB5">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3191C7">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上市地点</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tcPr>
          <w:p w14:paraId="56A99355">
            <w:pPr>
              <w:widowControl/>
              <w:ind w:right="-45"/>
              <w:rPr>
                <w:rFonts w:ascii="Times New Roman" w:hAnsi="Times New Roman" w:eastAsia="仿宋_GB2312"/>
                <w:color w:val="000000"/>
                <w:kern w:val="0"/>
                <w:sz w:val="22"/>
              </w:rPr>
            </w:pPr>
            <w:r>
              <w:rPr>
                <w:rFonts w:ascii="Times New Roman" w:hAnsi="Times New Roman" w:eastAsia="仿宋_GB2312"/>
                <w:color w:val="000000"/>
                <w:kern w:val="0"/>
                <w:sz w:val="22"/>
              </w:rPr>
              <w:t>未上市/上交所/深交所/港交所/其他</w:t>
            </w:r>
          </w:p>
        </w:tc>
      </w:tr>
      <w:tr w14:paraId="45059162">
        <w:tblPrEx>
          <w:tblCellMar>
            <w:top w:w="0" w:type="dxa"/>
            <w:left w:w="108" w:type="dxa"/>
            <w:bottom w:w="0" w:type="dxa"/>
            <w:right w:w="108" w:type="dxa"/>
          </w:tblCellMar>
        </w:tblPrEx>
        <w:trPr>
          <w:trHeight w:val="567"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9FC343">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是否是地方政府融资平台</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bottom"/>
          </w:tcPr>
          <w:p w14:paraId="35E239CB">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是/否</w:t>
            </w:r>
          </w:p>
        </w:tc>
      </w:tr>
      <w:tr w14:paraId="6A46F4E5">
        <w:tblPrEx>
          <w:tblCellMar>
            <w:top w:w="0" w:type="dxa"/>
            <w:left w:w="108" w:type="dxa"/>
            <w:bottom w:w="0" w:type="dxa"/>
            <w:right w:w="108" w:type="dxa"/>
          </w:tblCellMar>
        </w:tblPrEx>
        <w:trPr>
          <w:trHeight w:val="1541"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FC1F12">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已发行未兑付证券化产品情况（只/亿元）</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DBD29F">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ABS：XX只/亿元</w:t>
            </w:r>
          </w:p>
          <w:p w14:paraId="3588E3E2">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w:t>
            </w:r>
          </w:p>
          <w:p w14:paraId="6ADCF848">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合计：XX只/亿元</w:t>
            </w:r>
          </w:p>
        </w:tc>
      </w:tr>
      <w:tr w14:paraId="7370F755">
        <w:tblPrEx>
          <w:tblCellMar>
            <w:top w:w="0" w:type="dxa"/>
            <w:left w:w="108" w:type="dxa"/>
            <w:bottom w:w="0" w:type="dxa"/>
            <w:right w:w="108" w:type="dxa"/>
          </w:tblCellMar>
        </w:tblPrEx>
        <w:trPr>
          <w:trHeight w:val="1690" w:hRule="exact"/>
          <w:jc w:val="center"/>
        </w:trPr>
        <w:tc>
          <w:tcPr>
            <w:tcW w:w="280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796E14">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其他国内已发行未兑付债券融资产品情况（只/亿元）</w:t>
            </w:r>
          </w:p>
        </w:tc>
        <w:tc>
          <w:tcPr>
            <w:tcW w:w="571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538754">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公司债：XX只/亿元</w:t>
            </w:r>
          </w:p>
          <w:p w14:paraId="085074F4">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企业债：XX只/亿元</w:t>
            </w:r>
          </w:p>
          <w:p w14:paraId="1C6BB077">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w:t>
            </w:r>
          </w:p>
          <w:p w14:paraId="3B63FA98">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合计：XX只/亿元</w:t>
            </w:r>
          </w:p>
        </w:tc>
      </w:tr>
    </w:tbl>
    <w:p w14:paraId="1CB2181B">
      <w:pPr>
        <w:spacing w:line="360" w:lineRule="auto"/>
        <w:ind w:firstLine="600"/>
        <w:rPr>
          <w:rFonts w:ascii="Times New Roman" w:hAnsi="Times New Roman" w:eastAsia="仿宋_GB2312"/>
          <w:sz w:val="30"/>
        </w:rPr>
      </w:pPr>
      <w:r>
        <w:rPr>
          <w:rFonts w:ascii="Times New Roman" w:hAnsi="Times New Roman" w:eastAsia="仿宋_GB2312"/>
          <w:sz w:val="30"/>
        </w:rPr>
        <w:t>2.主营业务</w:t>
      </w:r>
    </w:p>
    <w:p w14:paraId="740A9212">
      <w:pPr>
        <w:spacing w:line="360" w:lineRule="auto"/>
        <w:ind w:firstLine="420"/>
        <w:jc w:val="right"/>
        <w:rPr>
          <w:rFonts w:ascii="Times New Roman" w:hAnsi="Times New Roman" w:eastAsia="仿宋_GB2312"/>
          <w:szCs w:val="21"/>
        </w:rPr>
      </w:pPr>
      <w:r>
        <w:rPr>
          <w:rFonts w:ascii="Times New Roman" w:hAnsi="Times New Roman" w:eastAsia="仿宋_GB2312"/>
          <w:szCs w:val="21"/>
        </w:rPr>
        <w:t>单位：万元</w:t>
      </w:r>
    </w:p>
    <w:tbl>
      <w:tblPr>
        <w:tblStyle w:val="32"/>
        <w:tblW w:w="10160" w:type="dxa"/>
        <w:jc w:val="center"/>
        <w:tblLayout w:type="fixed"/>
        <w:tblCellMar>
          <w:top w:w="0" w:type="dxa"/>
          <w:left w:w="108" w:type="dxa"/>
          <w:bottom w:w="0" w:type="dxa"/>
          <w:right w:w="108" w:type="dxa"/>
        </w:tblCellMar>
      </w:tblPr>
      <w:tblGrid>
        <w:gridCol w:w="1477"/>
        <w:gridCol w:w="648"/>
        <w:gridCol w:w="649"/>
        <w:gridCol w:w="800"/>
        <w:gridCol w:w="777"/>
        <w:gridCol w:w="652"/>
        <w:gridCol w:w="806"/>
        <w:gridCol w:w="651"/>
        <w:gridCol w:w="650"/>
        <w:gridCol w:w="797"/>
        <w:gridCol w:w="743"/>
        <w:gridCol w:w="741"/>
        <w:gridCol w:w="768"/>
      </w:tblGrid>
      <w:tr w14:paraId="19195DF1">
        <w:tblPrEx>
          <w:tblCellMar>
            <w:top w:w="0" w:type="dxa"/>
            <w:left w:w="108" w:type="dxa"/>
            <w:bottom w:w="0" w:type="dxa"/>
            <w:right w:w="108" w:type="dxa"/>
          </w:tblCellMar>
        </w:tblPrEx>
        <w:trPr>
          <w:trHeight w:val="782" w:hRule="exact"/>
          <w:jc w:val="center"/>
        </w:trPr>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E2140F3">
            <w:pPr>
              <w:widowControl/>
              <w:rPr>
                <w:rFonts w:ascii="Times New Roman" w:hAnsi="Times New Roman" w:eastAsia="仿宋_GB2312"/>
                <w:b/>
                <w:sz w:val="18"/>
                <w:szCs w:val="18"/>
              </w:rPr>
            </w:pPr>
            <w:r>
              <w:rPr>
                <w:rFonts w:ascii="Times New Roman" w:hAnsi="Times New Roman" w:eastAsia="仿宋_GB2312"/>
                <w:b/>
                <w:sz w:val="18"/>
                <w:szCs w:val="18"/>
              </w:rPr>
              <w:t>业务版块</w:t>
            </w:r>
          </w:p>
        </w:tc>
        <w:tc>
          <w:tcPr>
            <w:tcW w:w="2097" w:type="dxa"/>
            <w:gridSpan w:val="3"/>
            <w:tcBorders>
              <w:top w:val="single" w:color="000000" w:sz="4" w:space="0"/>
              <w:left w:val="single" w:color="000000" w:sz="4" w:space="0"/>
              <w:bottom w:val="single" w:color="000000" w:sz="4" w:space="0"/>
              <w:right w:val="single" w:color="000000" w:sz="4" w:space="0"/>
            </w:tcBorders>
            <w:shd w:val="clear" w:color="auto" w:fill="auto"/>
          </w:tcPr>
          <w:p w14:paraId="6B3F6262">
            <w:pPr>
              <w:widowControl/>
              <w:jc w:val="left"/>
              <w:rPr>
                <w:rFonts w:ascii="Times New Roman" w:hAnsi="Times New Roman" w:eastAsia="仿宋_GB2312"/>
                <w:b/>
                <w:sz w:val="18"/>
                <w:szCs w:val="18"/>
              </w:rPr>
            </w:pPr>
            <w:r>
              <w:rPr>
                <w:rFonts w:ascii="Times New Roman" w:hAnsi="Times New Roman" w:eastAsia="仿宋_GB2312"/>
                <w:b/>
                <w:sz w:val="18"/>
                <w:szCs w:val="18"/>
              </w:rPr>
              <w:t>最近一期（请注明具体时间）</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tcPr>
          <w:p w14:paraId="37CC18EA">
            <w:pPr>
              <w:widowControl/>
              <w:ind w:firstLine="361"/>
              <w:jc w:val="left"/>
              <w:rPr>
                <w:rFonts w:ascii="Times New Roman" w:hAnsi="Times New Roman" w:eastAsia="仿宋_GB2312"/>
                <w:b/>
                <w:sz w:val="18"/>
                <w:szCs w:val="18"/>
              </w:rPr>
            </w:pPr>
            <w:r>
              <w:rPr>
                <w:rFonts w:ascii="Times New Roman" w:hAnsi="Times New Roman" w:eastAsia="仿宋_GB2312"/>
                <w:b/>
                <w:sz w:val="18"/>
                <w:szCs w:val="18"/>
              </w:rPr>
              <w:t>2021年度</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tcPr>
          <w:p w14:paraId="30B48AF3">
            <w:pPr>
              <w:widowControl/>
              <w:ind w:firstLine="361"/>
              <w:jc w:val="left"/>
              <w:rPr>
                <w:rFonts w:ascii="Times New Roman" w:hAnsi="Times New Roman" w:eastAsia="仿宋_GB2312"/>
                <w:b/>
                <w:sz w:val="18"/>
                <w:szCs w:val="18"/>
              </w:rPr>
            </w:pPr>
            <w:r>
              <w:rPr>
                <w:rFonts w:ascii="Times New Roman" w:hAnsi="Times New Roman" w:eastAsia="仿宋_GB2312"/>
                <w:b/>
                <w:sz w:val="18"/>
                <w:szCs w:val="18"/>
              </w:rPr>
              <w:t>2020年度</w:t>
            </w:r>
          </w:p>
        </w:tc>
        <w:tc>
          <w:tcPr>
            <w:tcW w:w="2252" w:type="dxa"/>
            <w:gridSpan w:val="3"/>
            <w:tcBorders>
              <w:top w:val="single" w:color="000000" w:sz="4" w:space="0"/>
              <w:left w:val="single" w:color="000000" w:sz="4" w:space="0"/>
              <w:bottom w:val="single" w:color="000000" w:sz="4" w:space="0"/>
              <w:right w:val="single" w:color="000000" w:sz="4" w:space="0"/>
            </w:tcBorders>
          </w:tcPr>
          <w:p w14:paraId="625CCA14">
            <w:pPr>
              <w:widowControl/>
              <w:ind w:firstLine="361"/>
              <w:jc w:val="left"/>
              <w:rPr>
                <w:rFonts w:ascii="Times New Roman" w:hAnsi="Times New Roman" w:eastAsia="仿宋_GB2312"/>
                <w:b/>
                <w:sz w:val="18"/>
                <w:szCs w:val="18"/>
              </w:rPr>
            </w:pPr>
            <w:r>
              <w:rPr>
                <w:rFonts w:ascii="Times New Roman" w:hAnsi="Times New Roman" w:eastAsia="仿宋_GB2312"/>
                <w:b/>
                <w:sz w:val="18"/>
                <w:szCs w:val="18"/>
              </w:rPr>
              <w:t>2019年度</w:t>
            </w:r>
          </w:p>
        </w:tc>
      </w:tr>
      <w:tr w14:paraId="79AE6A28">
        <w:tblPrEx>
          <w:tblCellMar>
            <w:top w:w="0" w:type="dxa"/>
            <w:left w:w="108" w:type="dxa"/>
            <w:bottom w:w="0" w:type="dxa"/>
            <w:right w:w="108" w:type="dxa"/>
          </w:tblCellMar>
        </w:tblPrEx>
        <w:trPr>
          <w:trHeight w:val="567" w:hRule="exact"/>
          <w:jc w:val="center"/>
        </w:trPr>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8E45C81">
            <w:pPr>
              <w:keepNext/>
              <w:keepLines/>
              <w:widowControl/>
              <w:spacing w:before="340" w:after="330"/>
              <w:ind w:firstLine="361"/>
              <w:jc w:val="center"/>
              <w:rPr>
                <w:rFonts w:ascii="Times New Roman" w:hAnsi="Times New Roman" w:eastAsia="仿宋_GB2312"/>
                <w:b/>
                <w:sz w:val="18"/>
                <w:szCs w:val="18"/>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Pr>
          <w:p w14:paraId="3A0EB589">
            <w:pPr>
              <w:widowControl/>
              <w:rPr>
                <w:rFonts w:ascii="Times New Roman" w:hAnsi="Times New Roman" w:eastAsia="仿宋_GB2312"/>
                <w:b/>
                <w:sz w:val="18"/>
                <w:szCs w:val="18"/>
              </w:rPr>
            </w:pPr>
            <w:r>
              <w:rPr>
                <w:rFonts w:ascii="Times New Roman" w:hAnsi="Times New Roman" w:eastAsia="仿宋_GB2312"/>
                <w:b/>
                <w:sz w:val="18"/>
                <w:szCs w:val="18"/>
              </w:rPr>
              <w:t>收入</w:t>
            </w:r>
          </w:p>
        </w:tc>
        <w:tc>
          <w:tcPr>
            <w:tcW w:w="649" w:type="dxa"/>
            <w:tcBorders>
              <w:top w:val="single" w:color="000000" w:sz="4" w:space="0"/>
              <w:left w:val="single" w:color="000000" w:sz="4" w:space="0"/>
              <w:bottom w:val="single" w:color="000000" w:sz="4" w:space="0"/>
              <w:right w:val="single" w:color="000000" w:sz="4" w:space="0"/>
            </w:tcBorders>
            <w:shd w:val="clear" w:color="auto" w:fill="auto"/>
          </w:tcPr>
          <w:p w14:paraId="62C22F9E">
            <w:pPr>
              <w:widowControl/>
              <w:rPr>
                <w:rFonts w:ascii="Times New Roman" w:hAnsi="Times New Roman" w:eastAsia="仿宋_GB2312"/>
                <w:b/>
                <w:sz w:val="18"/>
                <w:szCs w:val="18"/>
              </w:rPr>
            </w:pPr>
            <w:r>
              <w:rPr>
                <w:rFonts w:ascii="Times New Roman" w:hAnsi="Times New Roman" w:eastAsia="仿宋_GB2312"/>
                <w:b/>
                <w:sz w:val="18"/>
                <w:szCs w:val="18"/>
              </w:rPr>
              <w:t>成本</w:t>
            </w:r>
          </w:p>
        </w:tc>
        <w:tc>
          <w:tcPr>
            <w:tcW w:w="800" w:type="dxa"/>
            <w:tcBorders>
              <w:top w:val="single" w:color="000000" w:sz="4" w:space="0"/>
              <w:left w:val="single" w:color="000000" w:sz="4" w:space="0"/>
              <w:bottom w:val="single" w:color="000000" w:sz="4" w:space="0"/>
              <w:right w:val="single" w:color="000000" w:sz="4" w:space="0"/>
            </w:tcBorders>
            <w:shd w:val="clear" w:color="auto" w:fill="auto"/>
          </w:tcPr>
          <w:p w14:paraId="0A717C72">
            <w:pPr>
              <w:widowControl/>
              <w:rPr>
                <w:rFonts w:ascii="Times New Roman" w:hAnsi="Times New Roman" w:eastAsia="仿宋_GB2312"/>
                <w:b/>
                <w:sz w:val="18"/>
                <w:szCs w:val="18"/>
              </w:rPr>
            </w:pPr>
            <w:r>
              <w:rPr>
                <w:rFonts w:ascii="Times New Roman" w:hAnsi="Times New Roman" w:eastAsia="仿宋_GB2312"/>
                <w:b/>
                <w:sz w:val="18"/>
                <w:szCs w:val="18"/>
              </w:rPr>
              <w:t>毛利率</w:t>
            </w:r>
          </w:p>
        </w:tc>
        <w:tc>
          <w:tcPr>
            <w:tcW w:w="777" w:type="dxa"/>
            <w:tcBorders>
              <w:top w:val="single" w:color="000000" w:sz="4" w:space="0"/>
              <w:left w:val="single" w:color="000000" w:sz="4" w:space="0"/>
              <w:bottom w:val="single" w:color="000000" w:sz="4" w:space="0"/>
              <w:right w:val="single" w:color="000000" w:sz="4" w:space="0"/>
            </w:tcBorders>
            <w:shd w:val="clear" w:color="auto" w:fill="auto"/>
          </w:tcPr>
          <w:p w14:paraId="31EF17A0">
            <w:pPr>
              <w:widowControl/>
              <w:rPr>
                <w:rFonts w:ascii="Times New Roman" w:hAnsi="Times New Roman" w:eastAsia="仿宋_GB2312"/>
                <w:b/>
                <w:sz w:val="18"/>
                <w:szCs w:val="18"/>
              </w:rPr>
            </w:pPr>
            <w:r>
              <w:rPr>
                <w:rFonts w:ascii="Times New Roman" w:hAnsi="Times New Roman" w:eastAsia="仿宋_GB2312"/>
                <w:b/>
                <w:sz w:val="18"/>
                <w:szCs w:val="18"/>
              </w:rPr>
              <w:t>收入</w:t>
            </w:r>
          </w:p>
        </w:tc>
        <w:tc>
          <w:tcPr>
            <w:tcW w:w="652" w:type="dxa"/>
            <w:tcBorders>
              <w:top w:val="single" w:color="000000" w:sz="4" w:space="0"/>
              <w:left w:val="single" w:color="000000" w:sz="4" w:space="0"/>
              <w:bottom w:val="single" w:color="000000" w:sz="4" w:space="0"/>
              <w:right w:val="single" w:color="000000" w:sz="4" w:space="0"/>
            </w:tcBorders>
            <w:shd w:val="clear" w:color="auto" w:fill="auto"/>
          </w:tcPr>
          <w:p w14:paraId="7568BFD8">
            <w:pPr>
              <w:widowControl/>
              <w:rPr>
                <w:rFonts w:ascii="Times New Roman" w:hAnsi="Times New Roman" w:eastAsia="仿宋_GB2312"/>
                <w:b/>
                <w:sz w:val="18"/>
                <w:szCs w:val="18"/>
              </w:rPr>
            </w:pPr>
            <w:r>
              <w:rPr>
                <w:rFonts w:ascii="Times New Roman" w:hAnsi="Times New Roman" w:eastAsia="仿宋_GB2312"/>
                <w:b/>
                <w:sz w:val="18"/>
                <w:szCs w:val="18"/>
              </w:rPr>
              <w:t>成本</w:t>
            </w:r>
          </w:p>
        </w:tc>
        <w:tc>
          <w:tcPr>
            <w:tcW w:w="806" w:type="dxa"/>
            <w:tcBorders>
              <w:top w:val="single" w:color="000000" w:sz="4" w:space="0"/>
              <w:left w:val="single" w:color="000000" w:sz="4" w:space="0"/>
              <w:bottom w:val="single" w:color="000000" w:sz="4" w:space="0"/>
              <w:right w:val="single" w:color="000000" w:sz="4" w:space="0"/>
            </w:tcBorders>
            <w:shd w:val="clear" w:color="auto" w:fill="auto"/>
          </w:tcPr>
          <w:p w14:paraId="4E8E0BAF">
            <w:pPr>
              <w:widowControl/>
              <w:rPr>
                <w:rFonts w:ascii="Times New Roman" w:hAnsi="Times New Roman" w:eastAsia="仿宋_GB2312"/>
                <w:b/>
                <w:sz w:val="18"/>
                <w:szCs w:val="18"/>
              </w:rPr>
            </w:pPr>
            <w:r>
              <w:rPr>
                <w:rFonts w:ascii="Times New Roman" w:hAnsi="Times New Roman" w:eastAsia="仿宋_GB2312"/>
                <w:b/>
                <w:sz w:val="18"/>
                <w:szCs w:val="18"/>
              </w:rPr>
              <w:t>毛利率</w:t>
            </w:r>
          </w:p>
        </w:tc>
        <w:tc>
          <w:tcPr>
            <w:tcW w:w="651" w:type="dxa"/>
            <w:tcBorders>
              <w:top w:val="single" w:color="000000" w:sz="4" w:space="0"/>
              <w:left w:val="single" w:color="000000" w:sz="4" w:space="0"/>
              <w:bottom w:val="single" w:color="000000" w:sz="4" w:space="0"/>
              <w:right w:val="single" w:color="000000" w:sz="4" w:space="0"/>
            </w:tcBorders>
            <w:shd w:val="clear" w:color="auto" w:fill="auto"/>
          </w:tcPr>
          <w:p w14:paraId="7F47DCBA">
            <w:pPr>
              <w:widowControl/>
              <w:rPr>
                <w:rFonts w:ascii="Times New Roman" w:hAnsi="Times New Roman" w:eastAsia="仿宋_GB2312"/>
                <w:b/>
                <w:sz w:val="18"/>
                <w:szCs w:val="18"/>
              </w:rPr>
            </w:pPr>
            <w:r>
              <w:rPr>
                <w:rFonts w:ascii="Times New Roman" w:hAnsi="Times New Roman" w:eastAsia="仿宋_GB2312"/>
                <w:b/>
                <w:sz w:val="18"/>
                <w:szCs w:val="18"/>
              </w:rPr>
              <w:t>收入</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47D25A2A">
            <w:pPr>
              <w:widowControl/>
              <w:rPr>
                <w:rFonts w:ascii="Times New Roman" w:hAnsi="Times New Roman" w:eastAsia="仿宋_GB2312"/>
                <w:b/>
                <w:sz w:val="18"/>
                <w:szCs w:val="18"/>
              </w:rPr>
            </w:pPr>
            <w:r>
              <w:rPr>
                <w:rFonts w:ascii="Times New Roman" w:hAnsi="Times New Roman" w:eastAsia="仿宋_GB2312"/>
                <w:b/>
                <w:sz w:val="18"/>
                <w:szCs w:val="18"/>
              </w:rPr>
              <w:t>成本</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14:paraId="65917AB1">
            <w:pPr>
              <w:widowControl/>
              <w:rPr>
                <w:rFonts w:ascii="Times New Roman" w:hAnsi="Times New Roman" w:eastAsia="仿宋_GB2312"/>
                <w:b/>
                <w:sz w:val="18"/>
                <w:szCs w:val="18"/>
              </w:rPr>
            </w:pPr>
            <w:r>
              <w:rPr>
                <w:rFonts w:ascii="Times New Roman" w:hAnsi="Times New Roman" w:eastAsia="仿宋_GB2312"/>
                <w:b/>
                <w:sz w:val="18"/>
                <w:szCs w:val="18"/>
              </w:rPr>
              <w:t>毛利率</w:t>
            </w:r>
          </w:p>
        </w:tc>
        <w:tc>
          <w:tcPr>
            <w:tcW w:w="743" w:type="dxa"/>
            <w:tcBorders>
              <w:top w:val="single" w:color="000000" w:sz="4" w:space="0"/>
              <w:left w:val="single" w:color="000000" w:sz="4" w:space="0"/>
              <w:bottom w:val="single" w:color="000000" w:sz="4" w:space="0"/>
              <w:right w:val="single" w:color="000000" w:sz="4" w:space="0"/>
            </w:tcBorders>
          </w:tcPr>
          <w:p w14:paraId="50BE3C7F">
            <w:pPr>
              <w:widowControl/>
              <w:rPr>
                <w:rFonts w:ascii="Times New Roman" w:hAnsi="Times New Roman" w:eastAsia="仿宋_GB2312"/>
                <w:b/>
                <w:sz w:val="18"/>
                <w:szCs w:val="18"/>
              </w:rPr>
            </w:pPr>
            <w:r>
              <w:rPr>
                <w:rFonts w:ascii="Times New Roman" w:hAnsi="Times New Roman" w:eastAsia="仿宋_GB2312"/>
                <w:b/>
                <w:sz w:val="18"/>
                <w:szCs w:val="18"/>
              </w:rPr>
              <w:t>收入</w:t>
            </w:r>
          </w:p>
        </w:tc>
        <w:tc>
          <w:tcPr>
            <w:tcW w:w="741" w:type="dxa"/>
            <w:tcBorders>
              <w:top w:val="single" w:color="000000" w:sz="4" w:space="0"/>
              <w:left w:val="single" w:color="000000" w:sz="4" w:space="0"/>
              <w:bottom w:val="single" w:color="000000" w:sz="4" w:space="0"/>
              <w:right w:val="single" w:color="000000" w:sz="4" w:space="0"/>
            </w:tcBorders>
          </w:tcPr>
          <w:p w14:paraId="57DAB90E">
            <w:pPr>
              <w:widowControl/>
              <w:rPr>
                <w:rFonts w:ascii="Times New Roman" w:hAnsi="Times New Roman" w:eastAsia="仿宋_GB2312"/>
                <w:b/>
                <w:sz w:val="18"/>
                <w:szCs w:val="18"/>
              </w:rPr>
            </w:pPr>
            <w:r>
              <w:rPr>
                <w:rFonts w:ascii="Times New Roman" w:hAnsi="Times New Roman" w:eastAsia="仿宋_GB2312"/>
                <w:b/>
                <w:sz w:val="18"/>
                <w:szCs w:val="18"/>
              </w:rPr>
              <w:t>成本</w:t>
            </w:r>
          </w:p>
        </w:tc>
        <w:tc>
          <w:tcPr>
            <w:tcW w:w="768" w:type="dxa"/>
            <w:tcBorders>
              <w:top w:val="single" w:color="000000" w:sz="4" w:space="0"/>
              <w:left w:val="single" w:color="000000" w:sz="4" w:space="0"/>
              <w:bottom w:val="single" w:color="000000" w:sz="4" w:space="0"/>
              <w:right w:val="single" w:color="000000" w:sz="4" w:space="0"/>
            </w:tcBorders>
          </w:tcPr>
          <w:p w14:paraId="15023BA5">
            <w:pPr>
              <w:widowControl/>
              <w:rPr>
                <w:rFonts w:ascii="Times New Roman" w:hAnsi="Times New Roman" w:eastAsia="仿宋_GB2312"/>
                <w:b/>
                <w:sz w:val="18"/>
                <w:szCs w:val="18"/>
              </w:rPr>
            </w:pPr>
            <w:r>
              <w:rPr>
                <w:rFonts w:ascii="Times New Roman" w:hAnsi="Times New Roman" w:eastAsia="仿宋_GB2312"/>
                <w:b/>
                <w:sz w:val="18"/>
                <w:szCs w:val="18"/>
              </w:rPr>
              <w:t>毛利率</w:t>
            </w:r>
          </w:p>
        </w:tc>
      </w:tr>
      <w:tr w14:paraId="03483C91">
        <w:tblPrEx>
          <w:tblCellMar>
            <w:top w:w="0" w:type="dxa"/>
            <w:left w:w="108" w:type="dxa"/>
            <w:bottom w:w="0" w:type="dxa"/>
            <w:right w:w="108" w:type="dxa"/>
          </w:tblCellMar>
        </w:tblPrEx>
        <w:trPr>
          <w:trHeight w:val="567" w:hRule="exact"/>
          <w:jc w:val="center"/>
        </w:trPr>
        <w:tc>
          <w:tcPr>
            <w:tcW w:w="1477" w:type="dxa"/>
            <w:tcBorders>
              <w:top w:val="single" w:color="000000" w:sz="4" w:space="0"/>
              <w:left w:val="single" w:color="000000" w:sz="4" w:space="0"/>
              <w:bottom w:val="single" w:color="000000" w:sz="4" w:space="0"/>
              <w:right w:val="single" w:color="000000" w:sz="4" w:space="0"/>
            </w:tcBorders>
            <w:shd w:val="clear" w:color="auto" w:fill="auto"/>
          </w:tcPr>
          <w:p w14:paraId="1CE9B528">
            <w:pPr>
              <w:widowControl/>
              <w:rPr>
                <w:rFonts w:ascii="Times New Roman" w:hAnsi="Times New Roman" w:eastAsia="仿宋_GB2312"/>
                <w:sz w:val="18"/>
                <w:szCs w:val="18"/>
              </w:rPr>
            </w:pPr>
            <w:r>
              <w:rPr>
                <w:rFonts w:ascii="Times New Roman" w:hAnsi="Times New Roman" w:eastAsia="仿宋_GB2312"/>
                <w:color w:val="000000"/>
                <w:sz w:val="18"/>
                <w:szCs w:val="18"/>
              </w:rPr>
              <w:t>业务1</w:t>
            </w:r>
          </w:p>
        </w:tc>
        <w:tc>
          <w:tcPr>
            <w:tcW w:w="648" w:type="dxa"/>
            <w:tcBorders>
              <w:top w:val="single" w:color="000000" w:sz="4" w:space="0"/>
              <w:left w:val="single" w:color="000000" w:sz="4" w:space="0"/>
              <w:bottom w:val="single" w:color="000000" w:sz="4" w:space="0"/>
              <w:right w:val="single" w:color="000000" w:sz="4" w:space="0"/>
            </w:tcBorders>
            <w:shd w:val="clear" w:color="auto" w:fill="auto"/>
          </w:tcPr>
          <w:p w14:paraId="50D33290">
            <w:pPr>
              <w:keepNext/>
              <w:keepLines/>
              <w:widowControl/>
              <w:numPr>
                <w:ilvl w:val="0"/>
                <w:numId w:val="0"/>
              </w:numPr>
              <w:spacing w:before="260" w:after="260" w:line="418" w:lineRule="auto"/>
              <w:ind w:left="45" w:hanging="146"/>
              <w:jc w:val="right"/>
              <w:outlineLvl w:val="2"/>
              <w:rPr>
                <w:rFonts w:ascii="Times New Roman" w:hAnsi="Times New Roman"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Pr>
          <w:p w14:paraId="5978C540">
            <w:pPr>
              <w:keepNext/>
              <w:keepLines/>
              <w:widowControl/>
              <w:numPr>
                <w:ilvl w:val="0"/>
                <w:numId w:val="0"/>
              </w:numPr>
              <w:spacing w:before="260" w:after="260" w:line="418" w:lineRule="auto"/>
              <w:ind w:left="2" w:hanging="4"/>
              <w:jc w:val="right"/>
              <w:outlineLvl w:val="2"/>
              <w:rPr>
                <w:rFonts w:ascii="Times New Roman" w:hAnsi="Times New Roman" w:eastAsia="仿宋_GB2312"/>
                <w:sz w:val="18"/>
                <w:szCs w:val="18"/>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Pr>
          <w:p w14:paraId="263A38F5">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Pr>
          <w:p w14:paraId="3E6FB287">
            <w:pPr>
              <w:keepNext/>
              <w:keepLines/>
              <w:widowControl/>
              <w:numPr>
                <w:ilvl w:val="0"/>
                <w:numId w:val="0"/>
              </w:numPr>
              <w:spacing w:before="260" w:after="260" w:line="418" w:lineRule="auto"/>
              <w:ind w:left="2" w:hanging="2"/>
              <w:jc w:val="right"/>
              <w:outlineLvl w:val="2"/>
              <w:rPr>
                <w:rFonts w:ascii="Times New Roman" w:hAnsi="Times New Roman" w:eastAsia="仿宋_GB2312"/>
                <w:sz w:val="18"/>
                <w:szCs w:val="18"/>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tcPr>
          <w:p w14:paraId="5E432072">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Pr>
          <w:p w14:paraId="6669CB4A">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Pr>
          <w:p w14:paraId="7A5F0B1C">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25E16FE7">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14:paraId="70AC86F0">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43" w:type="dxa"/>
            <w:tcBorders>
              <w:top w:val="single" w:color="000000" w:sz="4" w:space="0"/>
              <w:left w:val="single" w:color="000000" w:sz="4" w:space="0"/>
              <w:bottom w:val="single" w:color="000000" w:sz="4" w:space="0"/>
              <w:right w:val="single" w:color="000000" w:sz="4" w:space="0"/>
            </w:tcBorders>
          </w:tcPr>
          <w:p w14:paraId="56D5441F">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tcPr>
          <w:p w14:paraId="1A268533">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tcPr>
          <w:p w14:paraId="36B7BA8E">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r>
      <w:tr w14:paraId="1B0F5251">
        <w:tblPrEx>
          <w:tblCellMar>
            <w:top w:w="0" w:type="dxa"/>
            <w:left w:w="108" w:type="dxa"/>
            <w:bottom w:w="0" w:type="dxa"/>
            <w:right w:w="108" w:type="dxa"/>
          </w:tblCellMar>
        </w:tblPrEx>
        <w:trPr>
          <w:trHeight w:val="567" w:hRule="exact"/>
          <w:jc w:val="center"/>
        </w:trPr>
        <w:tc>
          <w:tcPr>
            <w:tcW w:w="1477" w:type="dxa"/>
            <w:tcBorders>
              <w:top w:val="single" w:color="000000" w:sz="4" w:space="0"/>
              <w:left w:val="single" w:color="000000" w:sz="4" w:space="0"/>
              <w:bottom w:val="single" w:color="000000" w:sz="4" w:space="0"/>
              <w:right w:val="single" w:color="000000" w:sz="4" w:space="0"/>
            </w:tcBorders>
            <w:shd w:val="clear" w:color="auto" w:fill="auto"/>
          </w:tcPr>
          <w:p w14:paraId="41C279E5">
            <w:pPr>
              <w:widowControl/>
              <w:ind w:firstLine="14"/>
              <w:rPr>
                <w:rFonts w:ascii="Times New Roman" w:hAnsi="Times New Roman" w:eastAsia="仿宋_GB2312"/>
                <w:sz w:val="18"/>
                <w:szCs w:val="18"/>
              </w:rPr>
            </w:pPr>
            <w:r>
              <w:rPr>
                <w:rFonts w:ascii="Times New Roman" w:hAnsi="Times New Roman" w:eastAsia="仿宋_GB2312"/>
                <w:color w:val="000000"/>
                <w:sz w:val="18"/>
                <w:szCs w:val="18"/>
              </w:rPr>
              <w:t>业务2</w:t>
            </w:r>
          </w:p>
        </w:tc>
        <w:tc>
          <w:tcPr>
            <w:tcW w:w="648" w:type="dxa"/>
            <w:tcBorders>
              <w:top w:val="single" w:color="000000" w:sz="4" w:space="0"/>
              <w:left w:val="single" w:color="000000" w:sz="4" w:space="0"/>
              <w:bottom w:val="single" w:color="000000" w:sz="4" w:space="0"/>
              <w:right w:val="single" w:color="000000" w:sz="4" w:space="0"/>
            </w:tcBorders>
            <w:shd w:val="clear" w:color="auto" w:fill="auto"/>
          </w:tcPr>
          <w:p w14:paraId="0A0D018F">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Pr>
          <w:p w14:paraId="778094FD">
            <w:pPr>
              <w:keepNext/>
              <w:keepLines/>
              <w:widowControl/>
              <w:numPr>
                <w:ilvl w:val="0"/>
                <w:numId w:val="0"/>
              </w:numPr>
              <w:spacing w:before="260" w:after="260" w:line="418" w:lineRule="auto"/>
              <w:ind w:left="2" w:hanging="4"/>
              <w:jc w:val="right"/>
              <w:outlineLvl w:val="2"/>
              <w:rPr>
                <w:rFonts w:ascii="Times New Roman" w:hAnsi="Times New Roman" w:eastAsia="仿宋_GB2312"/>
                <w:sz w:val="18"/>
                <w:szCs w:val="18"/>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Pr>
          <w:p w14:paraId="59A51E79">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Pr>
          <w:p w14:paraId="75B0F868">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tcPr>
          <w:p w14:paraId="0331C5EE">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Pr>
          <w:p w14:paraId="2BA39D15">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Pr>
          <w:p w14:paraId="284DAD5D">
            <w:pPr>
              <w:keepNext/>
              <w:keepLines/>
              <w:widowControl/>
              <w:numPr>
                <w:ilvl w:val="0"/>
                <w:numId w:val="0"/>
              </w:numPr>
              <w:spacing w:before="260" w:after="260" w:line="418" w:lineRule="auto"/>
              <w:ind w:left="12" w:hanging="41"/>
              <w:jc w:val="right"/>
              <w:outlineLvl w:val="2"/>
              <w:rPr>
                <w:rFonts w:ascii="Times New Roman" w:hAnsi="Times New Roman" w:eastAsia="仿宋_GB2312"/>
                <w:sz w:val="18"/>
                <w:szCs w:val="18"/>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0A2DEA91">
            <w:pPr>
              <w:keepNext/>
              <w:keepLines/>
              <w:widowControl/>
              <w:numPr>
                <w:ilvl w:val="0"/>
                <w:numId w:val="0"/>
              </w:numPr>
              <w:spacing w:before="260" w:after="260" w:line="418" w:lineRule="auto"/>
              <w:ind w:left="12" w:hanging="41"/>
              <w:jc w:val="right"/>
              <w:outlineLvl w:val="2"/>
              <w:rPr>
                <w:rFonts w:ascii="Times New Roman" w:hAnsi="Times New Roman" w:eastAsia="仿宋_GB2312"/>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14:paraId="0B7AB942">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43" w:type="dxa"/>
            <w:tcBorders>
              <w:top w:val="single" w:color="000000" w:sz="4" w:space="0"/>
              <w:left w:val="single" w:color="000000" w:sz="4" w:space="0"/>
              <w:bottom w:val="single" w:color="000000" w:sz="4" w:space="0"/>
              <w:right w:val="single" w:color="000000" w:sz="4" w:space="0"/>
            </w:tcBorders>
          </w:tcPr>
          <w:p w14:paraId="6F40EC19">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tcPr>
          <w:p w14:paraId="2B7D08DC">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tcPr>
          <w:p w14:paraId="667CE3FD">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r>
      <w:tr w14:paraId="33D71CF6">
        <w:tblPrEx>
          <w:tblCellMar>
            <w:top w:w="0" w:type="dxa"/>
            <w:left w:w="108" w:type="dxa"/>
            <w:bottom w:w="0" w:type="dxa"/>
            <w:right w:w="108" w:type="dxa"/>
          </w:tblCellMar>
        </w:tblPrEx>
        <w:trPr>
          <w:trHeight w:val="567" w:hRule="exact"/>
          <w:jc w:val="center"/>
        </w:trPr>
        <w:tc>
          <w:tcPr>
            <w:tcW w:w="1477" w:type="dxa"/>
            <w:tcBorders>
              <w:top w:val="single" w:color="000000" w:sz="4" w:space="0"/>
              <w:left w:val="single" w:color="000000" w:sz="4" w:space="0"/>
              <w:bottom w:val="single" w:color="000000" w:sz="4" w:space="0"/>
              <w:right w:val="single" w:color="000000" w:sz="4" w:space="0"/>
            </w:tcBorders>
            <w:shd w:val="clear" w:color="auto" w:fill="auto"/>
          </w:tcPr>
          <w:p w14:paraId="36416F3D">
            <w:pPr>
              <w:widowControl/>
              <w:rPr>
                <w:rFonts w:ascii="Times New Roman" w:hAnsi="Times New Roman" w:eastAsia="仿宋_GB2312"/>
                <w:sz w:val="18"/>
                <w:szCs w:val="18"/>
              </w:rPr>
            </w:pPr>
            <w:r>
              <w:rPr>
                <w:rFonts w:ascii="Times New Roman" w:hAnsi="Times New Roman" w:eastAsia="仿宋_GB2312"/>
                <w:color w:val="000000"/>
                <w:sz w:val="18"/>
                <w:szCs w:val="18"/>
              </w:rPr>
              <w:t>业务3</w:t>
            </w:r>
          </w:p>
        </w:tc>
        <w:tc>
          <w:tcPr>
            <w:tcW w:w="648" w:type="dxa"/>
            <w:tcBorders>
              <w:top w:val="single" w:color="000000" w:sz="4" w:space="0"/>
              <w:left w:val="single" w:color="000000" w:sz="4" w:space="0"/>
              <w:bottom w:val="single" w:color="000000" w:sz="4" w:space="0"/>
              <w:right w:val="single" w:color="000000" w:sz="4" w:space="0"/>
            </w:tcBorders>
            <w:shd w:val="clear" w:color="auto" w:fill="auto"/>
          </w:tcPr>
          <w:p w14:paraId="7A4E8311">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Pr>
          <w:p w14:paraId="54870ED0">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Pr>
          <w:p w14:paraId="44310A1E">
            <w:pPr>
              <w:keepNext/>
              <w:keepLines/>
              <w:widowControl/>
              <w:numPr>
                <w:ilvl w:val="0"/>
                <w:numId w:val="0"/>
              </w:numPr>
              <w:spacing w:before="260" w:after="260" w:line="418" w:lineRule="auto"/>
              <w:jc w:val="right"/>
              <w:outlineLvl w:val="2"/>
              <w:rPr>
                <w:rFonts w:ascii="Times New Roman" w:hAnsi="Times New Roman" w:eastAsia="仿宋_GB2312"/>
                <w:sz w:val="18"/>
                <w:szCs w:val="18"/>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Pr>
          <w:p w14:paraId="7AAC425A">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tcPr>
          <w:p w14:paraId="59B8F6BB">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Pr>
          <w:p w14:paraId="116C6922">
            <w:pPr>
              <w:keepNext/>
              <w:keepLines/>
              <w:widowControl/>
              <w:numPr>
                <w:ilvl w:val="0"/>
                <w:numId w:val="0"/>
              </w:numPr>
              <w:spacing w:before="260" w:after="260" w:line="418" w:lineRule="auto"/>
              <w:ind w:left="12" w:hanging="41"/>
              <w:jc w:val="right"/>
              <w:outlineLvl w:val="2"/>
              <w:rPr>
                <w:rFonts w:ascii="Times New Roman" w:hAnsi="Times New Roman" w:eastAsia="仿宋_GB2312"/>
                <w:color w:val="000000"/>
                <w:sz w:val="18"/>
                <w:szCs w:val="18"/>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Pr>
          <w:p w14:paraId="2954FA1C">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71C2C869">
            <w:pPr>
              <w:keepNext/>
              <w:keepLines/>
              <w:widowControl/>
              <w:numPr>
                <w:ilvl w:val="0"/>
                <w:numId w:val="0"/>
              </w:numPr>
              <w:spacing w:before="260" w:after="260" w:line="418" w:lineRule="auto"/>
              <w:ind w:firstLine="360"/>
              <w:jc w:val="right"/>
              <w:outlineLvl w:val="2"/>
              <w:rPr>
                <w:rFonts w:ascii="Times New Roman" w:hAnsi="Times New Roman" w:eastAsia="仿宋_GB2312"/>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14:paraId="294140F8">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43" w:type="dxa"/>
            <w:tcBorders>
              <w:top w:val="single" w:color="000000" w:sz="4" w:space="0"/>
              <w:left w:val="single" w:color="000000" w:sz="4" w:space="0"/>
              <w:bottom w:val="single" w:color="000000" w:sz="4" w:space="0"/>
              <w:right w:val="single" w:color="000000" w:sz="4" w:space="0"/>
            </w:tcBorders>
          </w:tcPr>
          <w:p w14:paraId="24DDCE7C">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tcPr>
          <w:p w14:paraId="6E60F854">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tcPr>
          <w:p w14:paraId="49C5E578">
            <w:pPr>
              <w:keepNext/>
              <w:keepLines/>
              <w:widowControl/>
              <w:numPr>
                <w:ilvl w:val="0"/>
                <w:numId w:val="0"/>
              </w:numPr>
              <w:spacing w:before="260" w:after="260" w:line="418" w:lineRule="auto"/>
              <w:jc w:val="right"/>
              <w:outlineLvl w:val="2"/>
              <w:rPr>
                <w:rFonts w:ascii="Times New Roman" w:hAnsi="Times New Roman" w:eastAsia="仿宋_GB2312"/>
                <w:color w:val="000000"/>
                <w:sz w:val="18"/>
                <w:szCs w:val="18"/>
              </w:rPr>
            </w:pPr>
          </w:p>
        </w:tc>
      </w:tr>
      <w:tr w14:paraId="72381E0D">
        <w:tblPrEx>
          <w:tblCellMar>
            <w:top w:w="0" w:type="dxa"/>
            <w:left w:w="108" w:type="dxa"/>
            <w:bottom w:w="0" w:type="dxa"/>
            <w:right w:w="108" w:type="dxa"/>
          </w:tblCellMar>
        </w:tblPrEx>
        <w:trPr>
          <w:trHeight w:val="567" w:hRule="exact"/>
          <w:jc w:val="center"/>
        </w:trPr>
        <w:tc>
          <w:tcPr>
            <w:tcW w:w="1477" w:type="dxa"/>
            <w:tcBorders>
              <w:top w:val="single" w:color="000000" w:sz="4" w:space="0"/>
              <w:left w:val="single" w:color="000000" w:sz="4" w:space="0"/>
              <w:bottom w:val="single" w:color="000000" w:sz="4" w:space="0"/>
              <w:right w:val="single" w:color="000000" w:sz="4" w:space="0"/>
            </w:tcBorders>
            <w:shd w:val="clear" w:color="auto" w:fill="auto"/>
          </w:tcPr>
          <w:p w14:paraId="38670C6E">
            <w:pPr>
              <w:widowControl/>
              <w:ind w:firstLine="14"/>
              <w:rPr>
                <w:rFonts w:ascii="Times New Roman" w:hAnsi="Times New Roman" w:eastAsia="仿宋_GB2312"/>
                <w:b/>
                <w:color w:val="000000"/>
                <w:sz w:val="18"/>
                <w:szCs w:val="18"/>
              </w:rPr>
            </w:pPr>
            <w:r>
              <w:rPr>
                <w:rFonts w:ascii="Times New Roman" w:hAnsi="Times New Roman" w:eastAsia="仿宋_GB2312"/>
                <w:b/>
                <w:color w:val="000000"/>
                <w:sz w:val="18"/>
                <w:szCs w:val="18"/>
              </w:rPr>
              <w:t>主营业务收入</w:t>
            </w:r>
          </w:p>
        </w:tc>
        <w:tc>
          <w:tcPr>
            <w:tcW w:w="648" w:type="dxa"/>
            <w:tcBorders>
              <w:top w:val="single" w:color="000000" w:sz="4" w:space="0"/>
              <w:left w:val="single" w:color="000000" w:sz="4" w:space="0"/>
              <w:bottom w:val="single" w:color="000000" w:sz="4" w:space="0"/>
              <w:right w:val="single" w:color="000000" w:sz="4" w:space="0"/>
            </w:tcBorders>
            <w:shd w:val="clear" w:color="auto" w:fill="auto"/>
          </w:tcPr>
          <w:p w14:paraId="73AA91A2">
            <w:pPr>
              <w:keepNext/>
              <w:keepLines/>
              <w:widowControl/>
              <w:numPr>
                <w:ilvl w:val="0"/>
                <w:numId w:val="0"/>
              </w:numPr>
              <w:spacing w:before="260" w:after="260" w:line="418" w:lineRule="auto"/>
              <w:ind w:left="2" w:hanging="4"/>
              <w:jc w:val="right"/>
              <w:outlineLvl w:val="2"/>
              <w:rPr>
                <w:rFonts w:ascii="Times New Roman" w:hAnsi="Times New Roman" w:eastAsia="仿宋_GB2312"/>
                <w:b/>
                <w:sz w:val="18"/>
                <w:szCs w:val="18"/>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tcPr>
          <w:p w14:paraId="2E94C519">
            <w:pPr>
              <w:keepNext/>
              <w:keepLines/>
              <w:widowControl/>
              <w:numPr>
                <w:ilvl w:val="0"/>
                <w:numId w:val="0"/>
              </w:numPr>
              <w:spacing w:before="260" w:after="260" w:line="418" w:lineRule="auto"/>
              <w:jc w:val="right"/>
              <w:outlineLvl w:val="2"/>
              <w:rPr>
                <w:rFonts w:ascii="Times New Roman" w:hAnsi="Times New Roman" w:eastAsia="仿宋_GB2312"/>
                <w:b/>
                <w:sz w:val="18"/>
                <w:szCs w:val="18"/>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Pr>
          <w:p w14:paraId="7FBEF9BD">
            <w:pPr>
              <w:keepNext/>
              <w:keepLines/>
              <w:widowControl/>
              <w:numPr>
                <w:ilvl w:val="0"/>
                <w:numId w:val="0"/>
              </w:numPr>
              <w:spacing w:before="260" w:after="260" w:line="418" w:lineRule="auto"/>
              <w:jc w:val="right"/>
              <w:outlineLvl w:val="2"/>
              <w:rPr>
                <w:rFonts w:ascii="Times New Roman" w:hAnsi="Times New Roman" w:eastAsia="仿宋_GB2312"/>
                <w:b/>
                <w:sz w:val="18"/>
                <w:szCs w:val="18"/>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Pr>
          <w:p w14:paraId="0F8B7D38">
            <w:pPr>
              <w:keepNext/>
              <w:keepLines/>
              <w:widowControl/>
              <w:numPr>
                <w:ilvl w:val="0"/>
                <w:numId w:val="0"/>
              </w:numPr>
              <w:spacing w:before="260" w:after="260" w:line="418" w:lineRule="auto"/>
              <w:ind w:left="2" w:hanging="2"/>
              <w:jc w:val="right"/>
              <w:outlineLvl w:val="2"/>
              <w:rPr>
                <w:rFonts w:ascii="Times New Roman" w:hAnsi="Times New Roman" w:eastAsia="仿宋_GB2312"/>
                <w:b/>
                <w:sz w:val="18"/>
                <w:szCs w:val="18"/>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tcPr>
          <w:p w14:paraId="04CAE734">
            <w:pPr>
              <w:keepNext/>
              <w:keepLines/>
              <w:widowControl/>
              <w:numPr>
                <w:ilvl w:val="0"/>
                <w:numId w:val="0"/>
              </w:numPr>
              <w:spacing w:before="260" w:after="260" w:line="418" w:lineRule="auto"/>
              <w:jc w:val="right"/>
              <w:outlineLvl w:val="2"/>
              <w:rPr>
                <w:rFonts w:ascii="Times New Roman" w:hAnsi="Times New Roman" w:eastAsia="仿宋_GB2312"/>
                <w:b/>
                <w:sz w:val="18"/>
                <w:szCs w:val="18"/>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tcPr>
          <w:p w14:paraId="20608B3D">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c>
          <w:tcPr>
            <w:tcW w:w="651" w:type="dxa"/>
            <w:tcBorders>
              <w:top w:val="single" w:color="000000" w:sz="4" w:space="0"/>
              <w:left w:val="single" w:color="000000" w:sz="4" w:space="0"/>
              <w:bottom w:val="single" w:color="000000" w:sz="4" w:space="0"/>
              <w:right w:val="single" w:color="000000" w:sz="4" w:space="0"/>
            </w:tcBorders>
            <w:shd w:val="clear" w:color="auto" w:fill="auto"/>
          </w:tcPr>
          <w:p w14:paraId="123B46DB">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6B839659">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14:paraId="5139AECD">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c>
          <w:tcPr>
            <w:tcW w:w="743" w:type="dxa"/>
            <w:tcBorders>
              <w:top w:val="single" w:color="000000" w:sz="4" w:space="0"/>
              <w:left w:val="single" w:color="000000" w:sz="4" w:space="0"/>
              <w:bottom w:val="single" w:color="000000" w:sz="4" w:space="0"/>
              <w:right w:val="single" w:color="000000" w:sz="4" w:space="0"/>
            </w:tcBorders>
          </w:tcPr>
          <w:p w14:paraId="0DCAEBCA">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c>
          <w:tcPr>
            <w:tcW w:w="741" w:type="dxa"/>
            <w:tcBorders>
              <w:top w:val="single" w:color="000000" w:sz="4" w:space="0"/>
              <w:left w:val="single" w:color="000000" w:sz="4" w:space="0"/>
              <w:bottom w:val="single" w:color="000000" w:sz="4" w:space="0"/>
              <w:right w:val="single" w:color="000000" w:sz="4" w:space="0"/>
            </w:tcBorders>
          </w:tcPr>
          <w:p w14:paraId="177F6F9B">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c>
          <w:tcPr>
            <w:tcW w:w="768" w:type="dxa"/>
            <w:tcBorders>
              <w:top w:val="single" w:color="000000" w:sz="4" w:space="0"/>
              <w:left w:val="single" w:color="000000" w:sz="4" w:space="0"/>
              <w:bottom w:val="single" w:color="000000" w:sz="4" w:space="0"/>
              <w:right w:val="single" w:color="000000" w:sz="4" w:space="0"/>
            </w:tcBorders>
          </w:tcPr>
          <w:p w14:paraId="278A8C6D">
            <w:pPr>
              <w:keepNext/>
              <w:keepLines/>
              <w:widowControl/>
              <w:numPr>
                <w:ilvl w:val="0"/>
                <w:numId w:val="0"/>
              </w:numPr>
              <w:spacing w:before="260" w:after="260" w:line="418" w:lineRule="auto"/>
              <w:jc w:val="right"/>
              <w:outlineLvl w:val="2"/>
              <w:rPr>
                <w:rFonts w:ascii="Times New Roman" w:hAnsi="Times New Roman" w:eastAsia="仿宋_GB2312"/>
                <w:b/>
                <w:color w:val="000000"/>
                <w:sz w:val="18"/>
                <w:szCs w:val="18"/>
              </w:rPr>
            </w:pPr>
          </w:p>
        </w:tc>
      </w:tr>
    </w:tbl>
    <w:p w14:paraId="2C33415C">
      <w:pPr>
        <w:spacing w:line="360" w:lineRule="auto"/>
        <w:ind w:firstLine="600"/>
        <w:rPr>
          <w:rFonts w:ascii="Times New Roman" w:hAnsi="Times New Roman" w:eastAsia="仿宋_GB2312"/>
          <w:sz w:val="30"/>
        </w:rPr>
      </w:pPr>
      <w:r>
        <w:rPr>
          <w:rFonts w:ascii="Times New Roman" w:hAnsi="Times New Roman" w:eastAsia="仿宋_GB2312"/>
          <w:sz w:val="30"/>
        </w:rPr>
        <w:t>3.主要财务数据及指标</w:t>
      </w:r>
    </w:p>
    <w:tbl>
      <w:tblPr>
        <w:tblStyle w:val="32"/>
        <w:tblW w:w="8588" w:type="dxa"/>
        <w:jc w:val="center"/>
        <w:tblLayout w:type="fixed"/>
        <w:tblCellMar>
          <w:top w:w="0" w:type="dxa"/>
          <w:left w:w="108" w:type="dxa"/>
          <w:bottom w:w="0" w:type="dxa"/>
          <w:right w:w="108" w:type="dxa"/>
        </w:tblCellMar>
      </w:tblPr>
      <w:tblGrid>
        <w:gridCol w:w="3667"/>
        <w:gridCol w:w="1525"/>
        <w:gridCol w:w="1133"/>
        <w:gridCol w:w="1129"/>
        <w:gridCol w:w="1134"/>
      </w:tblGrid>
      <w:tr w14:paraId="3587D42D">
        <w:tblPrEx>
          <w:tblCellMar>
            <w:top w:w="0" w:type="dxa"/>
            <w:left w:w="108" w:type="dxa"/>
            <w:bottom w:w="0" w:type="dxa"/>
            <w:right w:w="108" w:type="dxa"/>
          </w:tblCellMar>
        </w:tblPrEx>
        <w:trPr>
          <w:trHeight w:val="300" w:hRule="atLeast"/>
          <w:tblHeader/>
          <w:jc w:val="center"/>
        </w:trPr>
        <w:tc>
          <w:tcPr>
            <w:tcW w:w="36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A4E105">
            <w:pPr>
              <w:widowControl/>
              <w:ind w:hanging="108"/>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项目</w:t>
            </w:r>
          </w:p>
        </w:tc>
        <w:tc>
          <w:tcPr>
            <w:tcW w:w="1525" w:type="dxa"/>
            <w:tcBorders>
              <w:top w:val="single" w:color="000000" w:sz="4" w:space="0"/>
              <w:bottom w:val="single" w:color="000000" w:sz="4" w:space="0"/>
              <w:right w:val="single" w:color="000000" w:sz="4" w:space="0"/>
            </w:tcBorders>
            <w:shd w:val="clear" w:color="000000" w:fill="FFFFFF"/>
            <w:vAlign w:val="center"/>
          </w:tcPr>
          <w:p w14:paraId="54292564">
            <w:pPr>
              <w:widowControl/>
              <w:ind w:hanging="108"/>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最近一期（请注明具体时间）</w:t>
            </w:r>
          </w:p>
        </w:tc>
        <w:tc>
          <w:tcPr>
            <w:tcW w:w="1133" w:type="dxa"/>
            <w:tcBorders>
              <w:top w:val="single" w:color="000000" w:sz="4" w:space="0"/>
              <w:bottom w:val="single" w:color="000000" w:sz="4" w:space="0"/>
              <w:right w:val="single" w:color="000000" w:sz="4" w:space="0"/>
            </w:tcBorders>
            <w:shd w:val="clear" w:color="000000" w:fill="FFFFFF"/>
            <w:vAlign w:val="center"/>
          </w:tcPr>
          <w:p w14:paraId="495F84EE">
            <w:pPr>
              <w:widowControl/>
              <w:ind w:hanging="108"/>
              <w:rPr>
                <w:rFonts w:ascii="Times New Roman" w:hAnsi="Times New Roman" w:eastAsia="仿宋_GB2312"/>
                <w:b/>
                <w:color w:val="000000"/>
                <w:kern w:val="0"/>
                <w:szCs w:val="21"/>
              </w:rPr>
            </w:pPr>
            <w:r>
              <w:rPr>
                <w:rFonts w:ascii="Times New Roman" w:hAnsi="Times New Roman" w:eastAsia="仿宋_GB2312"/>
                <w:b/>
                <w:color w:val="000000"/>
                <w:kern w:val="0"/>
                <w:szCs w:val="21"/>
              </w:rPr>
              <w:t>2021年末/度</w:t>
            </w:r>
          </w:p>
        </w:tc>
        <w:tc>
          <w:tcPr>
            <w:tcW w:w="1129" w:type="dxa"/>
            <w:tcBorders>
              <w:top w:val="single" w:color="000000" w:sz="4" w:space="0"/>
              <w:bottom w:val="single" w:color="000000" w:sz="4" w:space="0"/>
              <w:right w:val="single" w:color="000000" w:sz="4" w:space="0"/>
            </w:tcBorders>
            <w:shd w:val="clear" w:color="000000" w:fill="FFFFFF"/>
            <w:vAlign w:val="center"/>
          </w:tcPr>
          <w:p w14:paraId="0134261F">
            <w:pPr>
              <w:widowControl/>
              <w:ind w:hanging="108"/>
              <w:rPr>
                <w:rFonts w:ascii="Times New Roman" w:hAnsi="Times New Roman" w:eastAsia="仿宋_GB2312"/>
                <w:b/>
                <w:color w:val="000000"/>
                <w:kern w:val="0"/>
                <w:szCs w:val="21"/>
              </w:rPr>
            </w:pPr>
            <w:r>
              <w:rPr>
                <w:rFonts w:ascii="Times New Roman" w:hAnsi="Times New Roman" w:eastAsia="仿宋_GB2312"/>
                <w:b/>
                <w:color w:val="000000"/>
                <w:kern w:val="0"/>
                <w:szCs w:val="21"/>
              </w:rPr>
              <w:t>2020年末/度</w:t>
            </w:r>
          </w:p>
        </w:tc>
        <w:tc>
          <w:tcPr>
            <w:tcW w:w="1134" w:type="dxa"/>
            <w:tcBorders>
              <w:top w:val="single" w:color="000000" w:sz="4" w:space="0"/>
              <w:bottom w:val="single" w:color="000000" w:sz="4" w:space="0"/>
              <w:right w:val="single" w:color="000000" w:sz="4" w:space="0"/>
            </w:tcBorders>
            <w:shd w:val="clear" w:color="000000" w:fill="FFFFFF"/>
            <w:vAlign w:val="center"/>
          </w:tcPr>
          <w:p w14:paraId="6B053882">
            <w:pPr>
              <w:widowControl/>
              <w:ind w:hanging="108"/>
              <w:rPr>
                <w:rFonts w:ascii="Times New Roman" w:hAnsi="Times New Roman" w:eastAsia="仿宋_GB2312"/>
                <w:b/>
                <w:color w:val="000000"/>
                <w:kern w:val="0"/>
                <w:szCs w:val="21"/>
              </w:rPr>
            </w:pPr>
            <w:r>
              <w:rPr>
                <w:rFonts w:ascii="Times New Roman" w:hAnsi="Times New Roman" w:eastAsia="仿宋_GB2312"/>
                <w:b/>
                <w:color w:val="000000"/>
                <w:kern w:val="0"/>
                <w:szCs w:val="21"/>
              </w:rPr>
              <w:t>2019年末/度</w:t>
            </w:r>
          </w:p>
        </w:tc>
      </w:tr>
      <w:tr w14:paraId="5B50EF4A">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59D5F83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总资产（亿元）</w:t>
            </w:r>
          </w:p>
        </w:tc>
        <w:tc>
          <w:tcPr>
            <w:tcW w:w="1525" w:type="dxa"/>
            <w:tcBorders>
              <w:bottom w:val="single" w:color="000000" w:sz="4" w:space="0"/>
              <w:right w:val="single" w:color="000000" w:sz="4" w:space="0"/>
            </w:tcBorders>
            <w:shd w:val="clear" w:color="000000" w:fill="FFFFFF"/>
            <w:vAlign w:val="center"/>
          </w:tcPr>
          <w:p w14:paraId="4826457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5FDD263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2BC8822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5BCFD47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07F1B566">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442CABA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总负债（亿元）</w:t>
            </w:r>
          </w:p>
        </w:tc>
        <w:tc>
          <w:tcPr>
            <w:tcW w:w="1525" w:type="dxa"/>
            <w:tcBorders>
              <w:bottom w:val="single" w:color="000000" w:sz="4" w:space="0"/>
              <w:right w:val="single" w:color="000000" w:sz="4" w:space="0"/>
            </w:tcBorders>
            <w:shd w:val="clear" w:color="000000" w:fill="FFFFFF"/>
            <w:vAlign w:val="center"/>
          </w:tcPr>
          <w:p w14:paraId="0338753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438F53D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761CEFC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19BE142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183BA881">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18AF1682">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其中：有息负债（亿元）</w:t>
            </w:r>
          </w:p>
        </w:tc>
        <w:tc>
          <w:tcPr>
            <w:tcW w:w="1525" w:type="dxa"/>
            <w:tcBorders>
              <w:bottom w:val="single" w:color="000000" w:sz="4" w:space="0"/>
              <w:right w:val="single" w:color="000000" w:sz="4" w:space="0"/>
            </w:tcBorders>
            <w:shd w:val="clear" w:color="000000" w:fill="FFFFFF"/>
            <w:vAlign w:val="center"/>
          </w:tcPr>
          <w:p w14:paraId="01D709F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1A706DC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24A55FC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6B6F413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2FF75FDD">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58E216C3">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所有者权益（亿元）</w:t>
            </w:r>
          </w:p>
        </w:tc>
        <w:tc>
          <w:tcPr>
            <w:tcW w:w="1525" w:type="dxa"/>
            <w:tcBorders>
              <w:bottom w:val="single" w:color="000000" w:sz="4" w:space="0"/>
              <w:right w:val="single" w:color="000000" w:sz="4" w:space="0"/>
            </w:tcBorders>
            <w:shd w:val="clear" w:color="000000" w:fill="FFFFFF"/>
            <w:vAlign w:val="center"/>
          </w:tcPr>
          <w:p w14:paraId="696B131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6BB1027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6B6E549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76EC5A6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2CDE69D1">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5303CF1C">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营业收入（亿元）</w:t>
            </w:r>
          </w:p>
        </w:tc>
        <w:tc>
          <w:tcPr>
            <w:tcW w:w="1525" w:type="dxa"/>
            <w:tcBorders>
              <w:bottom w:val="single" w:color="000000" w:sz="4" w:space="0"/>
              <w:right w:val="single" w:color="000000" w:sz="4" w:space="0"/>
            </w:tcBorders>
            <w:shd w:val="clear" w:color="000000" w:fill="FFFFFF"/>
            <w:vAlign w:val="center"/>
          </w:tcPr>
          <w:p w14:paraId="5F55D6F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6034DF5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136799F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2854194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02DBC43B">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4668A7F8">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利润总额（亿元）</w:t>
            </w:r>
          </w:p>
        </w:tc>
        <w:tc>
          <w:tcPr>
            <w:tcW w:w="1525" w:type="dxa"/>
            <w:tcBorders>
              <w:bottom w:val="single" w:color="000000" w:sz="4" w:space="0"/>
              <w:right w:val="single" w:color="000000" w:sz="4" w:space="0"/>
            </w:tcBorders>
            <w:shd w:val="clear" w:color="000000" w:fill="FFFFFF"/>
            <w:vAlign w:val="center"/>
          </w:tcPr>
          <w:p w14:paraId="77EDF39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13AA075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4924466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7399EA5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0AD7F8AE">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4F976AF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净利润（亿元）</w:t>
            </w:r>
          </w:p>
        </w:tc>
        <w:tc>
          <w:tcPr>
            <w:tcW w:w="1525" w:type="dxa"/>
            <w:tcBorders>
              <w:bottom w:val="single" w:color="000000" w:sz="4" w:space="0"/>
              <w:right w:val="single" w:color="000000" w:sz="4" w:space="0"/>
            </w:tcBorders>
            <w:shd w:val="clear" w:color="000000" w:fill="FFFFFF"/>
            <w:vAlign w:val="center"/>
          </w:tcPr>
          <w:p w14:paraId="37FF414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565F248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2FD68C6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00ABD54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61736F98">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59BAEFA1">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归属于母公司所有者的净利润（亿元）</w:t>
            </w:r>
          </w:p>
        </w:tc>
        <w:tc>
          <w:tcPr>
            <w:tcW w:w="1525" w:type="dxa"/>
            <w:tcBorders>
              <w:bottom w:val="single" w:color="000000" w:sz="4" w:space="0"/>
              <w:right w:val="single" w:color="000000" w:sz="4" w:space="0"/>
            </w:tcBorders>
            <w:shd w:val="clear" w:color="000000" w:fill="FFFFFF"/>
            <w:vAlign w:val="center"/>
          </w:tcPr>
          <w:p w14:paraId="6426726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54AFBB4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0B9EA43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4465767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4F8C02DA">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3B227E12">
            <w:pPr>
              <w:widowControl/>
              <w:rPr>
                <w:rFonts w:ascii="Times New Roman" w:hAnsi="Times New Roman" w:eastAsia="仿宋_GB2312"/>
                <w:bCs/>
                <w:color w:val="000000"/>
                <w:kern w:val="0"/>
                <w:szCs w:val="21"/>
              </w:rPr>
            </w:pPr>
            <w:r>
              <w:rPr>
                <w:rFonts w:ascii="Times New Roman" w:hAnsi="Times New Roman" w:eastAsia="仿宋_GB2312"/>
                <w:bCs/>
                <w:color w:val="000000"/>
                <w:kern w:val="0"/>
                <w:szCs w:val="21"/>
              </w:rPr>
              <w:t>扣除非经常损益后净利润（亿元）</w:t>
            </w:r>
          </w:p>
        </w:tc>
        <w:tc>
          <w:tcPr>
            <w:tcW w:w="1525" w:type="dxa"/>
            <w:tcBorders>
              <w:bottom w:val="single" w:color="000000" w:sz="4" w:space="0"/>
              <w:right w:val="single" w:color="000000" w:sz="4" w:space="0"/>
            </w:tcBorders>
            <w:shd w:val="clear" w:color="000000" w:fill="FFFFFF"/>
            <w:vAlign w:val="center"/>
          </w:tcPr>
          <w:p w14:paraId="654DA74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51656FF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486DB17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1958692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6E94E2CD">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22A4E703">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经营活动产生现金流量净额（亿元）</w:t>
            </w:r>
          </w:p>
        </w:tc>
        <w:tc>
          <w:tcPr>
            <w:tcW w:w="1525" w:type="dxa"/>
            <w:tcBorders>
              <w:bottom w:val="single" w:color="000000" w:sz="4" w:space="0"/>
              <w:right w:val="single" w:color="000000" w:sz="4" w:space="0"/>
            </w:tcBorders>
            <w:shd w:val="clear" w:color="000000" w:fill="FFFFFF"/>
            <w:vAlign w:val="center"/>
          </w:tcPr>
          <w:p w14:paraId="4D045FB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458D375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5CC2174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30EBF48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7AB03A9B">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043C83D8">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投资活动产生现金流量净额（亿元）</w:t>
            </w:r>
          </w:p>
        </w:tc>
        <w:tc>
          <w:tcPr>
            <w:tcW w:w="1525" w:type="dxa"/>
            <w:tcBorders>
              <w:bottom w:val="single" w:color="000000" w:sz="4" w:space="0"/>
              <w:right w:val="single" w:color="000000" w:sz="4" w:space="0"/>
            </w:tcBorders>
            <w:shd w:val="clear" w:color="000000" w:fill="FFFFFF"/>
            <w:vAlign w:val="center"/>
          </w:tcPr>
          <w:p w14:paraId="04ABFB7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1C32469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512EBBD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6EF7F99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2A271C52">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17231DA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筹资活动产生现金流量净额（亿元）</w:t>
            </w:r>
          </w:p>
        </w:tc>
        <w:tc>
          <w:tcPr>
            <w:tcW w:w="1525" w:type="dxa"/>
            <w:tcBorders>
              <w:bottom w:val="single" w:color="000000" w:sz="4" w:space="0"/>
              <w:right w:val="single" w:color="000000" w:sz="4" w:space="0"/>
            </w:tcBorders>
            <w:shd w:val="clear" w:color="000000" w:fill="FFFFFF"/>
            <w:vAlign w:val="center"/>
          </w:tcPr>
          <w:p w14:paraId="1E5CF46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70712A1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04EE347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09BDD78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07298966">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101EAC5D">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受限资产总额（亿元）</w:t>
            </w:r>
          </w:p>
        </w:tc>
        <w:tc>
          <w:tcPr>
            <w:tcW w:w="1525" w:type="dxa"/>
            <w:tcBorders>
              <w:bottom w:val="single" w:color="000000" w:sz="4" w:space="0"/>
              <w:right w:val="single" w:color="000000" w:sz="4" w:space="0"/>
            </w:tcBorders>
            <w:shd w:val="clear" w:color="000000" w:fill="FFFFFF"/>
            <w:vAlign w:val="center"/>
          </w:tcPr>
          <w:p w14:paraId="5D469F5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1B00C7A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3BC8BA4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47DF6D2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58ED975D">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30FA1517">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对外担保总额（亿元）</w:t>
            </w:r>
          </w:p>
        </w:tc>
        <w:tc>
          <w:tcPr>
            <w:tcW w:w="1525" w:type="dxa"/>
            <w:tcBorders>
              <w:bottom w:val="single" w:color="000000" w:sz="4" w:space="0"/>
              <w:right w:val="single" w:color="000000" w:sz="4" w:space="0"/>
            </w:tcBorders>
            <w:shd w:val="clear" w:color="000000" w:fill="FFFFFF"/>
            <w:vAlign w:val="center"/>
          </w:tcPr>
          <w:p w14:paraId="2E7AD09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31E7CA5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14C3464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4EDB279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529D7DB5">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1A5082D6">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金融机构授信总额度（亿元）</w:t>
            </w:r>
          </w:p>
        </w:tc>
        <w:tc>
          <w:tcPr>
            <w:tcW w:w="1525" w:type="dxa"/>
            <w:tcBorders>
              <w:bottom w:val="single" w:color="000000" w:sz="4" w:space="0"/>
              <w:right w:val="single" w:color="000000" w:sz="4" w:space="0"/>
            </w:tcBorders>
            <w:shd w:val="clear" w:color="000000" w:fill="FFFFFF"/>
            <w:vAlign w:val="center"/>
          </w:tcPr>
          <w:p w14:paraId="4BC74B5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6B8FE7C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16DAA05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47F2552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14447F7A">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53F87829">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尚未使用授信额度（亿元）</w:t>
            </w:r>
          </w:p>
        </w:tc>
        <w:tc>
          <w:tcPr>
            <w:tcW w:w="1525" w:type="dxa"/>
            <w:tcBorders>
              <w:bottom w:val="single" w:color="000000" w:sz="4" w:space="0"/>
              <w:right w:val="single" w:color="000000" w:sz="4" w:space="0"/>
            </w:tcBorders>
            <w:shd w:val="clear" w:color="000000" w:fill="FFFFFF"/>
            <w:vAlign w:val="center"/>
          </w:tcPr>
          <w:p w14:paraId="535644E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40892D1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1AE0FB2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7FBA110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6BFA6099">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78269C29">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资产负债率（%）</w:t>
            </w:r>
          </w:p>
        </w:tc>
        <w:tc>
          <w:tcPr>
            <w:tcW w:w="1525" w:type="dxa"/>
            <w:tcBorders>
              <w:bottom w:val="single" w:color="000000" w:sz="4" w:space="0"/>
              <w:right w:val="single" w:color="000000" w:sz="4" w:space="0"/>
            </w:tcBorders>
            <w:shd w:val="clear" w:color="000000" w:fill="FFFFFF"/>
            <w:vAlign w:val="center"/>
          </w:tcPr>
          <w:p w14:paraId="5FD3010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4CDB505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69775F9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1ED515D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54AC79EC">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0FE78533">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营业毛利率（%）</w:t>
            </w:r>
          </w:p>
        </w:tc>
        <w:tc>
          <w:tcPr>
            <w:tcW w:w="1525" w:type="dxa"/>
            <w:tcBorders>
              <w:bottom w:val="single" w:color="000000" w:sz="4" w:space="0"/>
              <w:right w:val="single" w:color="000000" w:sz="4" w:space="0"/>
            </w:tcBorders>
            <w:shd w:val="clear" w:color="000000" w:fill="FFFFFF"/>
            <w:vAlign w:val="center"/>
          </w:tcPr>
          <w:p w14:paraId="66428B1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346B940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5A1C5ED0">
            <w:pPr>
              <w:keepNext/>
              <w:keepLines/>
              <w:widowControl/>
              <w:spacing w:before="260" w:after="260" w:line="418" w:lineRule="auto"/>
              <w:ind w:firstLine="440"/>
              <w:jc w:val="right"/>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7525CB57">
            <w:pPr>
              <w:keepNext/>
              <w:keepLines/>
              <w:widowControl/>
              <w:spacing w:before="260" w:after="260" w:line="418" w:lineRule="auto"/>
              <w:ind w:firstLine="440"/>
              <w:jc w:val="right"/>
              <w:rPr>
                <w:rFonts w:ascii="Times New Roman" w:hAnsi="Times New Roman" w:eastAsia="仿宋_GB2312"/>
                <w:color w:val="000000"/>
                <w:kern w:val="0"/>
                <w:szCs w:val="21"/>
              </w:rPr>
            </w:pPr>
          </w:p>
        </w:tc>
      </w:tr>
      <w:tr w14:paraId="7D595F83">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52BA091A">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EBITDA（亿元）</w:t>
            </w:r>
          </w:p>
        </w:tc>
        <w:tc>
          <w:tcPr>
            <w:tcW w:w="1525" w:type="dxa"/>
            <w:tcBorders>
              <w:bottom w:val="single" w:color="000000" w:sz="4" w:space="0"/>
              <w:right w:val="single" w:color="000000" w:sz="4" w:space="0"/>
            </w:tcBorders>
            <w:shd w:val="clear" w:color="000000" w:fill="FFFFFF"/>
            <w:vAlign w:val="center"/>
          </w:tcPr>
          <w:p w14:paraId="58239B0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49BB7C2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670400D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257B642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r w14:paraId="6231626B">
        <w:tblPrEx>
          <w:tblCellMar>
            <w:top w:w="0" w:type="dxa"/>
            <w:left w:w="108" w:type="dxa"/>
            <w:bottom w:w="0" w:type="dxa"/>
            <w:right w:w="108" w:type="dxa"/>
          </w:tblCellMar>
        </w:tblPrEx>
        <w:trPr>
          <w:trHeight w:val="567" w:hRule="exact"/>
          <w:jc w:val="center"/>
        </w:trPr>
        <w:tc>
          <w:tcPr>
            <w:tcW w:w="3667" w:type="dxa"/>
            <w:tcBorders>
              <w:left w:val="single" w:color="000000" w:sz="4" w:space="0"/>
              <w:bottom w:val="single" w:color="000000" w:sz="4" w:space="0"/>
              <w:right w:val="single" w:color="000000" w:sz="4" w:space="0"/>
            </w:tcBorders>
            <w:shd w:val="clear" w:color="000000" w:fill="FFFFFF"/>
            <w:vAlign w:val="center"/>
          </w:tcPr>
          <w:p w14:paraId="271956FF">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EBITDA利息倍数</w:t>
            </w:r>
          </w:p>
        </w:tc>
        <w:tc>
          <w:tcPr>
            <w:tcW w:w="1525" w:type="dxa"/>
            <w:tcBorders>
              <w:bottom w:val="single" w:color="000000" w:sz="4" w:space="0"/>
              <w:right w:val="single" w:color="000000" w:sz="4" w:space="0"/>
            </w:tcBorders>
            <w:shd w:val="clear" w:color="000000" w:fill="FFFFFF"/>
            <w:vAlign w:val="center"/>
          </w:tcPr>
          <w:p w14:paraId="7BDE628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3" w:type="dxa"/>
            <w:tcBorders>
              <w:bottom w:val="single" w:color="000000" w:sz="4" w:space="0"/>
              <w:right w:val="single" w:color="000000" w:sz="4" w:space="0"/>
            </w:tcBorders>
            <w:shd w:val="clear" w:color="000000" w:fill="FFFFFF"/>
            <w:vAlign w:val="center"/>
          </w:tcPr>
          <w:p w14:paraId="3843402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29" w:type="dxa"/>
            <w:tcBorders>
              <w:bottom w:val="single" w:color="000000" w:sz="4" w:space="0"/>
              <w:right w:val="single" w:color="000000" w:sz="4" w:space="0"/>
            </w:tcBorders>
            <w:shd w:val="clear" w:color="000000" w:fill="FFFFFF"/>
            <w:vAlign w:val="center"/>
          </w:tcPr>
          <w:p w14:paraId="1D11F81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c>
          <w:tcPr>
            <w:tcW w:w="1134" w:type="dxa"/>
            <w:tcBorders>
              <w:bottom w:val="single" w:color="000000" w:sz="4" w:space="0"/>
              <w:right w:val="single" w:color="000000" w:sz="4" w:space="0"/>
            </w:tcBorders>
            <w:shd w:val="clear" w:color="000000" w:fill="FFFFFF"/>
            <w:vAlign w:val="center"/>
          </w:tcPr>
          <w:p w14:paraId="4B0DC75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Cs w:val="21"/>
              </w:rPr>
            </w:pPr>
          </w:p>
        </w:tc>
      </w:tr>
    </w:tbl>
    <w:p w14:paraId="69D4CBEE">
      <w:pPr>
        <w:spacing w:line="360" w:lineRule="auto"/>
        <w:ind w:firstLine="600"/>
        <w:rPr>
          <w:rFonts w:ascii="Times New Roman" w:hAnsi="Times New Roman" w:eastAsia="仿宋_GB2312"/>
          <w:sz w:val="30"/>
        </w:rPr>
      </w:pPr>
      <w:r>
        <w:rPr>
          <w:rFonts w:ascii="Times New Roman" w:hAnsi="Times New Roman" w:eastAsia="仿宋_GB2312"/>
          <w:sz w:val="30"/>
        </w:rPr>
        <w:t>存在其他重要财务指标的，请进行说明。</w:t>
      </w:r>
    </w:p>
    <w:p w14:paraId="51DE369B">
      <w:pPr>
        <w:spacing w:line="360" w:lineRule="auto"/>
        <w:ind w:firstLine="600"/>
        <w:rPr>
          <w:rFonts w:ascii="Times New Roman" w:hAnsi="Times New Roman" w:eastAsia="仿宋_GB2312"/>
          <w:sz w:val="30"/>
        </w:rPr>
      </w:pPr>
      <w:r>
        <w:rPr>
          <w:rFonts w:ascii="Times New Roman" w:hAnsi="Times New Roman" w:eastAsia="仿宋_GB2312"/>
          <w:sz w:val="30"/>
        </w:rPr>
        <w:t>报告期期内数据存在重大变化的，请说明原因。</w:t>
      </w:r>
    </w:p>
    <w:p w14:paraId="4390C90C">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(二)</w:t>
      </w:r>
      <w:r>
        <w:rPr>
          <w:rFonts w:ascii="Times New Roman" w:hAnsi="Times New Roman" w:eastAsia="仿宋_GB2312"/>
          <w:b/>
          <w:sz w:val="30"/>
        </w:rPr>
        <w:t>增信机构</w:t>
      </w:r>
      <w:r>
        <w:rPr>
          <w:rStyle w:val="41"/>
          <w:rFonts w:ascii="Times New Roman" w:hAnsi="Times New Roman" w:eastAsia="仿宋_GB2312"/>
          <w:sz w:val="30"/>
          <w:vertAlign w:val="superscript"/>
        </w:rPr>
        <w:footnoteReference w:id="2"/>
      </w:r>
      <w:r>
        <w:rPr>
          <w:rFonts w:ascii="Times New Roman" w:hAnsi="Times New Roman" w:eastAsia="仿宋_GB2312"/>
          <w:b/>
          <w:sz w:val="30"/>
        </w:rPr>
        <w:t>（如有）</w:t>
      </w:r>
    </w:p>
    <w:p w14:paraId="6DA78867">
      <w:pPr>
        <w:spacing w:line="360" w:lineRule="auto"/>
        <w:ind w:firstLine="600"/>
        <w:rPr>
          <w:rFonts w:ascii="Times New Roman" w:hAnsi="Times New Roman" w:eastAsia="仿宋_GB2312"/>
          <w:sz w:val="30"/>
        </w:rPr>
      </w:pPr>
      <w:r>
        <w:rPr>
          <w:rFonts w:ascii="Times New Roman" w:hAnsi="Times New Roman" w:eastAsia="仿宋_GB2312"/>
          <w:sz w:val="30"/>
        </w:rPr>
        <w:t>1.增信机构内部授权情况</w:t>
      </w:r>
    </w:p>
    <w:p w14:paraId="50F74E79">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本次【增信措施】经【增信人】有权机构履行【】决策程序，并签署了《XX协议》。</w:t>
      </w:r>
    </w:p>
    <w:p w14:paraId="4B6A4FFB">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经管理人及律师核查，该【增信措施】已履行了必要的决策程序。</w:t>
      </w:r>
    </w:p>
    <w:p w14:paraId="2391C6AE">
      <w:pPr>
        <w:tabs>
          <w:tab w:val="left" w:pos="756"/>
        </w:tabs>
        <w:spacing w:line="360" w:lineRule="auto"/>
        <w:ind w:firstLine="602"/>
        <w:textAlignment w:val="baseline"/>
        <w:rPr>
          <w:rFonts w:ascii="Times New Roman" w:hAnsi="Times New Roman" w:eastAsia="仿宋_GB2312"/>
          <w:sz w:val="30"/>
          <w:szCs w:val="30"/>
        </w:rPr>
      </w:pPr>
      <w:r>
        <w:rPr>
          <w:rFonts w:ascii="Times New Roman" w:hAnsi="Times New Roman" w:eastAsia="仿宋_GB2312"/>
          <w:sz w:val="30"/>
          <w:szCs w:val="30"/>
        </w:rPr>
        <w:t>2.增信机构基本情况</w:t>
      </w:r>
    </w:p>
    <w:tbl>
      <w:tblPr>
        <w:tblStyle w:val="32"/>
        <w:tblW w:w="8522" w:type="dxa"/>
        <w:jc w:val="center"/>
        <w:tblLayout w:type="fixed"/>
        <w:tblCellMar>
          <w:top w:w="0" w:type="dxa"/>
          <w:left w:w="108" w:type="dxa"/>
          <w:bottom w:w="0" w:type="dxa"/>
          <w:right w:w="108" w:type="dxa"/>
        </w:tblCellMar>
      </w:tblPr>
      <w:tblGrid>
        <w:gridCol w:w="2661"/>
        <w:gridCol w:w="5860"/>
      </w:tblGrid>
      <w:tr w14:paraId="63F3879B">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D78A38">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企业名称</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805D75">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0BB56620">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C61E70">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增信角色</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89A605">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392459F2">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9BE8AD">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主体评级</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DAB24C">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61FA68B6">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25B594">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企业性质</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C877F7">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国有控股/集体控股/民营企业/外商投资企业/其他　</w:t>
            </w:r>
          </w:p>
        </w:tc>
      </w:tr>
      <w:tr w14:paraId="6B0D57EA">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1986B0">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控股股东及其占比</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A9FB34">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722691DA">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7B86A8">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实际控制人</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789E7C">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71622896">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A7DFFB">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所属行业</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B00F7A">
            <w:pPr>
              <w:keepNext/>
              <w:keepLines/>
              <w:widowControl/>
              <w:numPr>
                <w:ilvl w:val="0"/>
                <w:numId w:val="0"/>
              </w:numPr>
              <w:spacing w:before="260" w:after="260" w:line="418" w:lineRule="auto"/>
              <w:jc w:val="left"/>
              <w:outlineLvl w:val="2"/>
              <w:rPr>
                <w:rFonts w:ascii="Times New Roman" w:hAnsi="Times New Roman" w:eastAsia="仿宋_GB2312"/>
                <w:color w:val="000000"/>
                <w:kern w:val="0"/>
                <w:sz w:val="22"/>
              </w:rPr>
            </w:pPr>
          </w:p>
        </w:tc>
      </w:tr>
      <w:tr w14:paraId="336C178E">
        <w:tblPrEx>
          <w:tblCellMar>
            <w:top w:w="0" w:type="dxa"/>
            <w:left w:w="108" w:type="dxa"/>
            <w:bottom w:w="0" w:type="dxa"/>
            <w:right w:w="108" w:type="dxa"/>
          </w:tblCellMar>
        </w:tblPrEx>
        <w:trPr>
          <w:trHeight w:val="567" w:hRule="exac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CE98EC">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上市地点</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tcPr>
          <w:p w14:paraId="2BCAC1EF">
            <w:pPr>
              <w:widowControl/>
              <w:ind w:right="-45"/>
              <w:rPr>
                <w:rFonts w:ascii="Times New Roman" w:hAnsi="Times New Roman" w:eastAsia="仿宋_GB2312"/>
                <w:color w:val="000000"/>
                <w:kern w:val="0"/>
                <w:sz w:val="22"/>
              </w:rPr>
            </w:pPr>
            <w:r>
              <w:rPr>
                <w:rFonts w:ascii="Times New Roman" w:hAnsi="Times New Roman" w:eastAsia="仿宋_GB2312"/>
                <w:color w:val="000000"/>
                <w:kern w:val="0"/>
                <w:sz w:val="22"/>
              </w:rPr>
              <w:t>未上市/上交所/深交所/港交所/其他　</w:t>
            </w:r>
          </w:p>
        </w:tc>
      </w:tr>
      <w:tr w14:paraId="7FD2FE3D">
        <w:tblPrEx>
          <w:tblCellMar>
            <w:top w:w="0" w:type="dxa"/>
            <w:left w:w="108" w:type="dxa"/>
            <w:bottom w:w="0" w:type="dxa"/>
            <w:right w:w="108" w:type="dxa"/>
          </w:tblCellMar>
        </w:tblPrEx>
        <w:trPr>
          <w:trHeight w:val="300" w:hRule="atLeas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7A05C3">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已发行未兑付证券化产品情况（只/亿元）</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4ABB86">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ABS：XX只/亿元</w:t>
            </w:r>
          </w:p>
          <w:p w14:paraId="7E46DE74">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w:t>
            </w:r>
          </w:p>
          <w:p w14:paraId="74F4D620">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合计：XX只/亿元</w:t>
            </w:r>
          </w:p>
        </w:tc>
      </w:tr>
      <w:tr w14:paraId="409BDB8D">
        <w:tblPrEx>
          <w:tblCellMar>
            <w:top w:w="0" w:type="dxa"/>
            <w:left w:w="108" w:type="dxa"/>
            <w:bottom w:w="0" w:type="dxa"/>
            <w:right w:w="108" w:type="dxa"/>
          </w:tblCellMar>
        </w:tblPrEx>
        <w:trPr>
          <w:trHeight w:val="810" w:hRule="atLeast"/>
          <w:jc w:val="center"/>
        </w:trPr>
        <w:tc>
          <w:tcPr>
            <w:tcW w:w="266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3038B7">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其他国内已发行未兑付债券融资产品情况（只/亿元）</w:t>
            </w:r>
          </w:p>
        </w:tc>
        <w:tc>
          <w:tcPr>
            <w:tcW w:w="586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9EDE19">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公司债：XX只/亿元</w:t>
            </w:r>
          </w:p>
          <w:p w14:paraId="7BBB7FBD">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企业债：XX只/亿元</w:t>
            </w:r>
          </w:p>
          <w:p w14:paraId="2C24D74B">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w:t>
            </w:r>
          </w:p>
          <w:p w14:paraId="1585A1AA">
            <w:pPr>
              <w:widowControl/>
              <w:jc w:val="left"/>
              <w:rPr>
                <w:rFonts w:ascii="Times New Roman" w:hAnsi="Times New Roman" w:eastAsia="仿宋_GB2312"/>
                <w:color w:val="000000"/>
                <w:kern w:val="0"/>
                <w:sz w:val="22"/>
              </w:rPr>
            </w:pPr>
            <w:r>
              <w:rPr>
                <w:rFonts w:ascii="Times New Roman" w:hAnsi="Times New Roman" w:eastAsia="仿宋_GB2312"/>
                <w:color w:val="000000"/>
                <w:kern w:val="0"/>
                <w:sz w:val="22"/>
              </w:rPr>
              <w:t>合计：XX只/亿元</w:t>
            </w:r>
          </w:p>
        </w:tc>
      </w:tr>
    </w:tbl>
    <w:p w14:paraId="291C7299">
      <w:pPr>
        <w:tabs>
          <w:tab w:val="left" w:pos="756"/>
        </w:tabs>
        <w:spacing w:line="360" w:lineRule="auto"/>
        <w:ind w:firstLine="602"/>
        <w:textAlignment w:val="baseline"/>
        <w:rPr>
          <w:rFonts w:ascii="Times New Roman" w:hAnsi="Times New Roman" w:eastAsia="仿宋_GB2312"/>
          <w:sz w:val="30"/>
          <w:szCs w:val="30"/>
        </w:rPr>
      </w:pPr>
      <w:r>
        <w:rPr>
          <w:rFonts w:ascii="Times New Roman" w:hAnsi="Times New Roman" w:eastAsia="仿宋_GB2312"/>
          <w:sz w:val="30"/>
          <w:szCs w:val="30"/>
        </w:rPr>
        <w:t>3.增信机构主要财务指标及增信能力分析</w:t>
      </w:r>
    </w:p>
    <w:tbl>
      <w:tblPr>
        <w:tblStyle w:val="32"/>
        <w:tblW w:w="8703" w:type="dxa"/>
        <w:jc w:val="center"/>
        <w:tblLayout w:type="fixed"/>
        <w:tblCellMar>
          <w:top w:w="0" w:type="dxa"/>
          <w:left w:w="108" w:type="dxa"/>
          <w:bottom w:w="0" w:type="dxa"/>
          <w:right w:w="108" w:type="dxa"/>
        </w:tblCellMar>
      </w:tblPr>
      <w:tblGrid>
        <w:gridCol w:w="3743"/>
        <w:gridCol w:w="1578"/>
        <w:gridCol w:w="1133"/>
        <w:gridCol w:w="1129"/>
        <w:gridCol w:w="1120"/>
      </w:tblGrid>
      <w:tr w14:paraId="710E6001">
        <w:tblPrEx>
          <w:tblCellMar>
            <w:top w:w="0" w:type="dxa"/>
            <w:left w:w="108" w:type="dxa"/>
            <w:bottom w:w="0" w:type="dxa"/>
            <w:right w:w="108" w:type="dxa"/>
          </w:tblCellMar>
        </w:tblPrEx>
        <w:trPr>
          <w:trHeight w:val="300" w:hRule="atLeast"/>
          <w:tblHeader/>
          <w:jc w:val="center"/>
        </w:trPr>
        <w:tc>
          <w:tcPr>
            <w:tcW w:w="374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846537">
            <w:pPr>
              <w:widowControl/>
              <w:ind w:hanging="108"/>
              <w:jc w:val="center"/>
              <w:rPr>
                <w:rFonts w:ascii="Times New Roman" w:hAnsi="Times New Roman" w:eastAsia="仿宋_GB2312"/>
                <w:b/>
                <w:color w:val="000000"/>
                <w:kern w:val="0"/>
                <w:sz w:val="22"/>
              </w:rPr>
            </w:pPr>
            <w:r>
              <w:rPr>
                <w:rFonts w:ascii="Times New Roman" w:hAnsi="Times New Roman" w:eastAsia="仿宋_GB2312"/>
                <w:b/>
                <w:color w:val="000000"/>
                <w:kern w:val="0"/>
                <w:sz w:val="22"/>
              </w:rPr>
              <w:t>项目</w:t>
            </w:r>
          </w:p>
        </w:tc>
        <w:tc>
          <w:tcPr>
            <w:tcW w:w="1578" w:type="dxa"/>
            <w:tcBorders>
              <w:top w:val="single" w:color="000000" w:sz="4" w:space="0"/>
              <w:bottom w:val="single" w:color="000000" w:sz="4" w:space="0"/>
              <w:right w:val="single" w:color="000000" w:sz="4" w:space="0"/>
            </w:tcBorders>
            <w:shd w:val="clear" w:color="000000" w:fill="FFFFFF"/>
            <w:vAlign w:val="center"/>
          </w:tcPr>
          <w:p w14:paraId="135C1349">
            <w:pPr>
              <w:widowControl/>
              <w:rPr>
                <w:rFonts w:ascii="Times New Roman" w:hAnsi="Times New Roman" w:eastAsia="仿宋_GB2312"/>
                <w:b/>
                <w:color w:val="000000"/>
                <w:kern w:val="0"/>
                <w:sz w:val="22"/>
              </w:rPr>
            </w:pPr>
            <w:r>
              <w:rPr>
                <w:rFonts w:ascii="Times New Roman" w:hAnsi="Times New Roman" w:eastAsia="仿宋_GB2312"/>
                <w:b/>
                <w:color w:val="000000"/>
                <w:kern w:val="0"/>
                <w:sz w:val="22"/>
              </w:rPr>
              <w:t>最近一期（请注明具体时间）</w:t>
            </w:r>
          </w:p>
        </w:tc>
        <w:tc>
          <w:tcPr>
            <w:tcW w:w="1133" w:type="dxa"/>
            <w:tcBorders>
              <w:top w:val="single" w:color="000000" w:sz="4" w:space="0"/>
              <w:bottom w:val="single" w:color="000000" w:sz="4" w:space="0"/>
              <w:right w:val="single" w:color="000000" w:sz="4" w:space="0"/>
            </w:tcBorders>
            <w:shd w:val="clear" w:color="000000" w:fill="FFFFFF"/>
            <w:vAlign w:val="center"/>
          </w:tcPr>
          <w:p w14:paraId="6CC408BF">
            <w:pPr>
              <w:widowControl/>
              <w:ind w:hanging="108"/>
              <w:rPr>
                <w:rFonts w:ascii="Times New Roman" w:hAnsi="Times New Roman" w:eastAsia="仿宋_GB2312"/>
                <w:b/>
                <w:color w:val="000000"/>
                <w:kern w:val="0"/>
                <w:sz w:val="22"/>
              </w:rPr>
            </w:pPr>
            <w:r>
              <w:rPr>
                <w:rFonts w:ascii="Times New Roman" w:hAnsi="Times New Roman" w:eastAsia="仿宋_GB2312"/>
                <w:b/>
                <w:color w:val="000000"/>
                <w:kern w:val="0"/>
                <w:sz w:val="22"/>
              </w:rPr>
              <w:t>2021年末/度</w:t>
            </w:r>
          </w:p>
        </w:tc>
        <w:tc>
          <w:tcPr>
            <w:tcW w:w="1129" w:type="dxa"/>
            <w:tcBorders>
              <w:top w:val="single" w:color="000000" w:sz="4" w:space="0"/>
              <w:bottom w:val="single" w:color="000000" w:sz="4" w:space="0"/>
              <w:right w:val="single" w:color="000000" w:sz="4" w:space="0"/>
            </w:tcBorders>
            <w:shd w:val="clear" w:color="000000" w:fill="FFFFFF"/>
            <w:vAlign w:val="center"/>
          </w:tcPr>
          <w:p w14:paraId="22BA0D0D">
            <w:pPr>
              <w:widowControl/>
              <w:ind w:hanging="108"/>
              <w:rPr>
                <w:rFonts w:ascii="Times New Roman" w:hAnsi="Times New Roman" w:eastAsia="仿宋_GB2312"/>
                <w:b/>
                <w:color w:val="000000"/>
                <w:kern w:val="0"/>
                <w:sz w:val="22"/>
              </w:rPr>
            </w:pPr>
            <w:r>
              <w:rPr>
                <w:rFonts w:ascii="Times New Roman" w:hAnsi="Times New Roman" w:eastAsia="仿宋_GB2312"/>
                <w:b/>
                <w:color w:val="000000"/>
                <w:kern w:val="0"/>
                <w:sz w:val="22"/>
              </w:rPr>
              <w:t>2020年末/度</w:t>
            </w:r>
          </w:p>
        </w:tc>
        <w:tc>
          <w:tcPr>
            <w:tcW w:w="1120" w:type="dxa"/>
            <w:tcBorders>
              <w:top w:val="single" w:color="000000" w:sz="4" w:space="0"/>
              <w:bottom w:val="single" w:color="000000" w:sz="4" w:space="0"/>
              <w:right w:val="single" w:color="000000" w:sz="4" w:space="0"/>
            </w:tcBorders>
            <w:shd w:val="clear" w:color="000000" w:fill="FFFFFF"/>
            <w:vAlign w:val="center"/>
          </w:tcPr>
          <w:p w14:paraId="02CCA9BB">
            <w:pPr>
              <w:widowControl/>
              <w:ind w:hanging="108"/>
              <w:rPr>
                <w:rFonts w:ascii="Times New Roman" w:hAnsi="Times New Roman" w:eastAsia="仿宋_GB2312"/>
                <w:b/>
                <w:color w:val="000000"/>
                <w:kern w:val="0"/>
                <w:sz w:val="22"/>
              </w:rPr>
            </w:pPr>
            <w:r>
              <w:rPr>
                <w:rFonts w:ascii="Times New Roman" w:hAnsi="Times New Roman" w:eastAsia="仿宋_GB2312"/>
                <w:b/>
                <w:color w:val="000000"/>
                <w:kern w:val="0"/>
                <w:sz w:val="22"/>
              </w:rPr>
              <w:t>2019年末/度</w:t>
            </w:r>
          </w:p>
        </w:tc>
      </w:tr>
      <w:tr w14:paraId="79B1FB70">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74A551FF">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总资产（亿元）</w:t>
            </w:r>
          </w:p>
        </w:tc>
        <w:tc>
          <w:tcPr>
            <w:tcW w:w="1578" w:type="dxa"/>
            <w:tcBorders>
              <w:bottom w:val="single" w:color="000000" w:sz="4" w:space="0"/>
              <w:right w:val="single" w:color="000000" w:sz="4" w:space="0"/>
            </w:tcBorders>
            <w:shd w:val="clear" w:color="000000" w:fill="FFFFFF"/>
            <w:vAlign w:val="center"/>
          </w:tcPr>
          <w:p w14:paraId="660E78E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2F95D71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4DD37D7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77E2A37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69E50BBB">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322B6328">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总负债（亿元）</w:t>
            </w:r>
          </w:p>
        </w:tc>
        <w:tc>
          <w:tcPr>
            <w:tcW w:w="1578" w:type="dxa"/>
            <w:tcBorders>
              <w:bottom w:val="single" w:color="000000" w:sz="4" w:space="0"/>
              <w:right w:val="single" w:color="000000" w:sz="4" w:space="0"/>
            </w:tcBorders>
            <w:shd w:val="clear" w:color="000000" w:fill="FFFFFF"/>
            <w:vAlign w:val="center"/>
          </w:tcPr>
          <w:p w14:paraId="5DD0846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1FA9644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473B50F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69102DC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7700F9DE">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3A661C2A">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其中：有息负债（亿元）</w:t>
            </w:r>
          </w:p>
        </w:tc>
        <w:tc>
          <w:tcPr>
            <w:tcW w:w="1578" w:type="dxa"/>
            <w:tcBorders>
              <w:bottom w:val="single" w:color="000000" w:sz="4" w:space="0"/>
              <w:right w:val="single" w:color="000000" w:sz="4" w:space="0"/>
            </w:tcBorders>
            <w:shd w:val="clear" w:color="000000" w:fill="FFFFFF"/>
            <w:vAlign w:val="center"/>
          </w:tcPr>
          <w:p w14:paraId="419C45E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61E12CE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3EADDF0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3651872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65CD9E93">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757956E7">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所有者权益（亿元）</w:t>
            </w:r>
          </w:p>
        </w:tc>
        <w:tc>
          <w:tcPr>
            <w:tcW w:w="1578" w:type="dxa"/>
            <w:tcBorders>
              <w:bottom w:val="single" w:color="000000" w:sz="4" w:space="0"/>
              <w:right w:val="single" w:color="000000" w:sz="4" w:space="0"/>
            </w:tcBorders>
            <w:shd w:val="clear" w:color="000000" w:fill="FFFFFF"/>
            <w:vAlign w:val="center"/>
          </w:tcPr>
          <w:p w14:paraId="7EBCF45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02934DE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36A9218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6CE96B2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5335FEB9">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7076F725">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营业收入（亿元）</w:t>
            </w:r>
          </w:p>
        </w:tc>
        <w:tc>
          <w:tcPr>
            <w:tcW w:w="1578" w:type="dxa"/>
            <w:tcBorders>
              <w:bottom w:val="single" w:color="000000" w:sz="4" w:space="0"/>
              <w:right w:val="single" w:color="000000" w:sz="4" w:space="0"/>
            </w:tcBorders>
            <w:shd w:val="clear" w:color="000000" w:fill="FFFFFF"/>
            <w:vAlign w:val="center"/>
          </w:tcPr>
          <w:p w14:paraId="780C8D1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0373C82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0D7807C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39B3AC6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5F475D9E">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1AFBA78D">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利润总额（亿元）</w:t>
            </w:r>
          </w:p>
        </w:tc>
        <w:tc>
          <w:tcPr>
            <w:tcW w:w="1578" w:type="dxa"/>
            <w:tcBorders>
              <w:bottom w:val="single" w:color="000000" w:sz="4" w:space="0"/>
              <w:right w:val="single" w:color="000000" w:sz="4" w:space="0"/>
            </w:tcBorders>
            <w:shd w:val="clear" w:color="000000" w:fill="FFFFFF"/>
            <w:vAlign w:val="center"/>
          </w:tcPr>
          <w:p w14:paraId="613901B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73FB48A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64DB291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67C93B0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0A356A59">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1ED2BB40">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净利润（亿元）</w:t>
            </w:r>
          </w:p>
        </w:tc>
        <w:tc>
          <w:tcPr>
            <w:tcW w:w="1578" w:type="dxa"/>
            <w:tcBorders>
              <w:bottom w:val="single" w:color="000000" w:sz="4" w:space="0"/>
              <w:right w:val="single" w:color="000000" w:sz="4" w:space="0"/>
            </w:tcBorders>
            <w:shd w:val="clear" w:color="000000" w:fill="FFFFFF"/>
            <w:vAlign w:val="center"/>
          </w:tcPr>
          <w:p w14:paraId="07DE282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6B6472A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0F6A046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5CD4551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4FD43F9A">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641E923A">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归属于母公司所有者的净利润（亿元）</w:t>
            </w:r>
          </w:p>
        </w:tc>
        <w:tc>
          <w:tcPr>
            <w:tcW w:w="1578" w:type="dxa"/>
            <w:tcBorders>
              <w:bottom w:val="single" w:color="000000" w:sz="4" w:space="0"/>
              <w:right w:val="single" w:color="000000" w:sz="4" w:space="0"/>
            </w:tcBorders>
            <w:shd w:val="clear" w:color="000000" w:fill="FFFFFF"/>
            <w:vAlign w:val="center"/>
          </w:tcPr>
          <w:p w14:paraId="0FBF7C5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55C8ABE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1B15F6BF">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06DB474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623588DD">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2C66B675">
            <w:pPr>
              <w:widowControl/>
              <w:rPr>
                <w:rFonts w:ascii="Times New Roman" w:hAnsi="Times New Roman" w:eastAsia="仿宋_GB2312"/>
                <w:bCs/>
                <w:color w:val="000000"/>
                <w:kern w:val="0"/>
                <w:sz w:val="22"/>
              </w:rPr>
            </w:pPr>
            <w:r>
              <w:rPr>
                <w:rFonts w:ascii="Times New Roman" w:hAnsi="Times New Roman" w:eastAsia="仿宋_GB2312"/>
                <w:bCs/>
                <w:color w:val="000000"/>
                <w:kern w:val="0"/>
                <w:sz w:val="22"/>
              </w:rPr>
              <w:t>扣除非经常损益后净利润（亿元）</w:t>
            </w:r>
          </w:p>
        </w:tc>
        <w:tc>
          <w:tcPr>
            <w:tcW w:w="1578" w:type="dxa"/>
            <w:tcBorders>
              <w:bottom w:val="single" w:color="000000" w:sz="4" w:space="0"/>
              <w:right w:val="single" w:color="000000" w:sz="4" w:space="0"/>
            </w:tcBorders>
            <w:shd w:val="clear" w:color="000000" w:fill="FFFFFF"/>
            <w:vAlign w:val="center"/>
          </w:tcPr>
          <w:p w14:paraId="3FE0521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153DB4F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711EADD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753D38B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6EE71F31">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284E2DBF">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经营活动产生现金流量净额（亿元）</w:t>
            </w:r>
          </w:p>
        </w:tc>
        <w:tc>
          <w:tcPr>
            <w:tcW w:w="1578" w:type="dxa"/>
            <w:tcBorders>
              <w:bottom w:val="single" w:color="000000" w:sz="4" w:space="0"/>
              <w:right w:val="single" w:color="000000" w:sz="4" w:space="0"/>
            </w:tcBorders>
            <w:shd w:val="clear" w:color="000000" w:fill="FFFFFF"/>
            <w:vAlign w:val="center"/>
          </w:tcPr>
          <w:p w14:paraId="3ECDBE3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4F8EE18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1348E43A">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2ACB28B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02943E4B">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23C500A1">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投资活动产生现金流量净额（亿元）</w:t>
            </w:r>
          </w:p>
        </w:tc>
        <w:tc>
          <w:tcPr>
            <w:tcW w:w="1578" w:type="dxa"/>
            <w:tcBorders>
              <w:bottom w:val="single" w:color="000000" w:sz="4" w:space="0"/>
              <w:right w:val="single" w:color="000000" w:sz="4" w:space="0"/>
            </w:tcBorders>
            <w:shd w:val="clear" w:color="000000" w:fill="FFFFFF"/>
            <w:vAlign w:val="center"/>
          </w:tcPr>
          <w:p w14:paraId="52B6223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2FC2E59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4AC3D27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38F1D6F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4A0E2570">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6B91C05E">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筹资活动产生现金流量净额（亿元）</w:t>
            </w:r>
          </w:p>
        </w:tc>
        <w:tc>
          <w:tcPr>
            <w:tcW w:w="1578" w:type="dxa"/>
            <w:tcBorders>
              <w:bottom w:val="single" w:color="000000" w:sz="4" w:space="0"/>
              <w:right w:val="single" w:color="000000" w:sz="4" w:space="0"/>
            </w:tcBorders>
            <w:shd w:val="clear" w:color="000000" w:fill="FFFFFF"/>
            <w:vAlign w:val="center"/>
          </w:tcPr>
          <w:p w14:paraId="1CE759B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7CF14D8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693F54E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12CEC60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383518EB">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469B6E55">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受限资产总额（亿元）</w:t>
            </w:r>
          </w:p>
        </w:tc>
        <w:tc>
          <w:tcPr>
            <w:tcW w:w="1578" w:type="dxa"/>
            <w:tcBorders>
              <w:bottom w:val="single" w:color="000000" w:sz="4" w:space="0"/>
              <w:right w:val="single" w:color="000000" w:sz="4" w:space="0"/>
            </w:tcBorders>
            <w:shd w:val="clear" w:color="000000" w:fill="FFFFFF"/>
            <w:vAlign w:val="center"/>
          </w:tcPr>
          <w:p w14:paraId="7AFB87C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7D3BCCC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6E772D7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18AB1427">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0606D389">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107A049A">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对外担保总额（亿元）</w:t>
            </w:r>
          </w:p>
        </w:tc>
        <w:tc>
          <w:tcPr>
            <w:tcW w:w="1578" w:type="dxa"/>
            <w:tcBorders>
              <w:bottom w:val="single" w:color="000000" w:sz="4" w:space="0"/>
              <w:right w:val="single" w:color="000000" w:sz="4" w:space="0"/>
            </w:tcBorders>
            <w:shd w:val="clear" w:color="000000" w:fill="FFFFFF"/>
            <w:vAlign w:val="center"/>
          </w:tcPr>
          <w:p w14:paraId="6F7B6D2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3A6059D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3C9B29C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7D4097C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7BBB3149">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741D1915">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金融机构授信总额度（亿元）</w:t>
            </w:r>
          </w:p>
        </w:tc>
        <w:tc>
          <w:tcPr>
            <w:tcW w:w="1578" w:type="dxa"/>
            <w:tcBorders>
              <w:bottom w:val="single" w:color="000000" w:sz="4" w:space="0"/>
              <w:right w:val="single" w:color="000000" w:sz="4" w:space="0"/>
            </w:tcBorders>
            <w:shd w:val="clear" w:color="000000" w:fill="FFFFFF"/>
            <w:vAlign w:val="center"/>
          </w:tcPr>
          <w:p w14:paraId="0967A113">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561CE9A0">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43804FD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2AD9C78E">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66C4497A">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124AD8B2">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尚未使用授信额度（亿元）</w:t>
            </w:r>
          </w:p>
        </w:tc>
        <w:tc>
          <w:tcPr>
            <w:tcW w:w="1578" w:type="dxa"/>
            <w:tcBorders>
              <w:bottom w:val="single" w:color="000000" w:sz="4" w:space="0"/>
              <w:right w:val="single" w:color="000000" w:sz="4" w:space="0"/>
            </w:tcBorders>
            <w:shd w:val="clear" w:color="000000" w:fill="FFFFFF"/>
            <w:vAlign w:val="center"/>
          </w:tcPr>
          <w:p w14:paraId="6951394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0D1880F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1738A78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18DD950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52854870">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239FA107">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资产负债率（%）</w:t>
            </w:r>
          </w:p>
        </w:tc>
        <w:tc>
          <w:tcPr>
            <w:tcW w:w="1578" w:type="dxa"/>
            <w:tcBorders>
              <w:bottom w:val="single" w:color="000000" w:sz="4" w:space="0"/>
              <w:right w:val="single" w:color="000000" w:sz="4" w:space="0"/>
            </w:tcBorders>
            <w:shd w:val="clear" w:color="000000" w:fill="FFFFFF"/>
            <w:vAlign w:val="center"/>
          </w:tcPr>
          <w:p w14:paraId="3C1DCC4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7D497FF4">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5A87D476">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6ED36E32">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3D384FD7">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5E68B6C6">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营业毛利率（%）</w:t>
            </w:r>
          </w:p>
        </w:tc>
        <w:tc>
          <w:tcPr>
            <w:tcW w:w="1578" w:type="dxa"/>
            <w:tcBorders>
              <w:bottom w:val="single" w:color="000000" w:sz="4" w:space="0"/>
              <w:right w:val="single" w:color="000000" w:sz="4" w:space="0"/>
            </w:tcBorders>
            <w:shd w:val="clear" w:color="000000" w:fill="FFFFFF"/>
            <w:vAlign w:val="center"/>
          </w:tcPr>
          <w:p w14:paraId="0D29A97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362420A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55BE2CF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7365C5E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222FE56A">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65379F24">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EBITDA（亿元）</w:t>
            </w:r>
          </w:p>
        </w:tc>
        <w:tc>
          <w:tcPr>
            <w:tcW w:w="1578" w:type="dxa"/>
            <w:tcBorders>
              <w:bottom w:val="single" w:color="000000" w:sz="4" w:space="0"/>
              <w:right w:val="single" w:color="000000" w:sz="4" w:space="0"/>
            </w:tcBorders>
            <w:shd w:val="clear" w:color="000000" w:fill="FFFFFF"/>
            <w:vAlign w:val="center"/>
          </w:tcPr>
          <w:p w14:paraId="0FA030C5">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0616C07D">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277271C1">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23C3E778">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r w14:paraId="73DC7EFD">
        <w:tblPrEx>
          <w:tblCellMar>
            <w:top w:w="0" w:type="dxa"/>
            <w:left w:w="108" w:type="dxa"/>
            <w:bottom w:w="0" w:type="dxa"/>
            <w:right w:w="108" w:type="dxa"/>
          </w:tblCellMar>
        </w:tblPrEx>
        <w:trPr>
          <w:trHeight w:val="567" w:hRule="exact"/>
          <w:jc w:val="center"/>
        </w:trPr>
        <w:tc>
          <w:tcPr>
            <w:tcW w:w="3743" w:type="dxa"/>
            <w:tcBorders>
              <w:left w:val="single" w:color="000000" w:sz="4" w:space="0"/>
              <w:bottom w:val="single" w:color="000000" w:sz="4" w:space="0"/>
              <w:right w:val="single" w:color="000000" w:sz="4" w:space="0"/>
            </w:tcBorders>
            <w:shd w:val="clear" w:color="000000" w:fill="FFFFFF"/>
            <w:vAlign w:val="center"/>
          </w:tcPr>
          <w:p w14:paraId="2C77C4FD">
            <w:pPr>
              <w:widowControl/>
              <w:rPr>
                <w:rFonts w:ascii="Times New Roman" w:hAnsi="Times New Roman" w:eastAsia="仿宋_GB2312"/>
                <w:color w:val="000000"/>
                <w:kern w:val="0"/>
                <w:sz w:val="22"/>
              </w:rPr>
            </w:pPr>
            <w:r>
              <w:rPr>
                <w:rFonts w:ascii="Times New Roman" w:hAnsi="Times New Roman" w:eastAsia="仿宋_GB2312"/>
                <w:color w:val="000000"/>
                <w:kern w:val="0"/>
                <w:sz w:val="22"/>
              </w:rPr>
              <w:t>EBITDA利息倍数</w:t>
            </w:r>
          </w:p>
        </w:tc>
        <w:tc>
          <w:tcPr>
            <w:tcW w:w="1578" w:type="dxa"/>
            <w:tcBorders>
              <w:bottom w:val="single" w:color="000000" w:sz="4" w:space="0"/>
              <w:right w:val="single" w:color="000000" w:sz="4" w:space="0"/>
            </w:tcBorders>
            <w:shd w:val="clear" w:color="000000" w:fill="FFFFFF"/>
            <w:vAlign w:val="center"/>
          </w:tcPr>
          <w:p w14:paraId="2A354CEB">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33" w:type="dxa"/>
            <w:tcBorders>
              <w:bottom w:val="single" w:color="000000" w:sz="4" w:space="0"/>
              <w:right w:val="single" w:color="000000" w:sz="4" w:space="0"/>
            </w:tcBorders>
            <w:shd w:val="clear" w:color="000000" w:fill="FFFFFF"/>
            <w:vAlign w:val="center"/>
          </w:tcPr>
          <w:p w14:paraId="244A8C4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9" w:type="dxa"/>
            <w:tcBorders>
              <w:bottom w:val="single" w:color="000000" w:sz="4" w:space="0"/>
              <w:right w:val="single" w:color="000000" w:sz="4" w:space="0"/>
            </w:tcBorders>
            <w:shd w:val="clear" w:color="000000" w:fill="FFFFFF"/>
            <w:vAlign w:val="center"/>
          </w:tcPr>
          <w:p w14:paraId="21A50BAC">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c>
          <w:tcPr>
            <w:tcW w:w="1120" w:type="dxa"/>
            <w:tcBorders>
              <w:bottom w:val="single" w:color="000000" w:sz="4" w:space="0"/>
              <w:right w:val="single" w:color="000000" w:sz="4" w:space="0"/>
            </w:tcBorders>
            <w:shd w:val="clear" w:color="000000" w:fill="FFFFFF"/>
            <w:vAlign w:val="center"/>
          </w:tcPr>
          <w:p w14:paraId="47B39719">
            <w:pPr>
              <w:keepNext/>
              <w:keepLines/>
              <w:widowControl/>
              <w:numPr>
                <w:ilvl w:val="0"/>
                <w:numId w:val="0"/>
              </w:numPr>
              <w:spacing w:before="260" w:after="260" w:line="418" w:lineRule="auto"/>
              <w:ind w:firstLine="440"/>
              <w:jc w:val="right"/>
              <w:outlineLvl w:val="2"/>
              <w:rPr>
                <w:rFonts w:ascii="Times New Roman" w:hAnsi="Times New Roman" w:eastAsia="仿宋_GB2312"/>
                <w:color w:val="000000"/>
                <w:kern w:val="0"/>
                <w:sz w:val="22"/>
              </w:rPr>
            </w:pPr>
          </w:p>
        </w:tc>
      </w:tr>
    </w:tbl>
    <w:p w14:paraId="351392F5">
      <w:pPr>
        <w:spacing w:line="360" w:lineRule="auto"/>
        <w:ind w:firstLine="600"/>
        <w:rPr>
          <w:rFonts w:ascii="Times New Roman" w:hAnsi="Times New Roman" w:eastAsia="仿宋_GB2312"/>
          <w:sz w:val="30"/>
        </w:rPr>
      </w:pPr>
      <w:r>
        <w:rPr>
          <w:rFonts w:ascii="Times New Roman" w:hAnsi="Times New Roman" w:eastAsia="仿宋_GB2312"/>
          <w:sz w:val="30"/>
        </w:rPr>
        <w:t>存在其他重要财务指标的，请进行说明。</w:t>
      </w:r>
    </w:p>
    <w:p w14:paraId="6E8A1780">
      <w:pPr>
        <w:spacing w:line="360" w:lineRule="auto"/>
        <w:ind w:firstLine="600"/>
        <w:rPr>
          <w:rFonts w:ascii="Times New Roman" w:hAnsi="Times New Roman" w:eastAsia="仿宋_GB2312"/>
          <w:sz w:val="30"/>
        </w:rPr>
      </w:pPr>
      <w:r>
        <w:rPr>
          <w:rFonts w:ascii="Times New Roman" w:hAnsi="Times New Roman" w:eastAsia="仿宋_GB2312"/>
          <w:sz w:val="30"/>
        </w:rPr>
        <w:t>报告期期内数据存在重大变化的，请说明原因。</w:t>
      </w:r>
    </w:p>
    <w:p w14:paraId="7F1D97DF">
      <w:pPr>
        <w:spacing w:line="360" w:lineRule="auto"/>
        <w:ind w:firstLine="600"/>
        <w:rPr>
          <w:rFonts w:ascii="Times New Roman" w:hAnsi="Times New Roman" w:eastAsia="仿宋_GB2312"/>
          <w:sz w:val="30"/>
        </w:rPr>
      </w:pPr>
      <w:r>
        <w:rPr>
          <w:rFonts w:ascii="Times New Roman" w:hAnsi="Times New Roman" w:eastAsia="仿宋_GB2312"/>
          <w:sz w:val="30"/>
        </w:rPr>
        <w:t>4.增信机构的资信情况和累计对外担保情况。</w:t>
      </w:r>
    </w:p>
    <w:p w14:paraId="5CC6C7BD">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(三)</w:t>
      </w:r>
      <w:r>
        <w:rPr>
          <w:rFonts w:ascii="Times New Roman" w:hAnsi="Times New Roman" w:eastAsia="仿宋_GB2312"/>
          <w:b/>
          <w:sz w:val="30"/>
        </w:rPr>
        <w:t>重要现金流提供方</w:t>
      </w:r>
    </w:p>
    <w:p w14:paraId="7B6A50B4">
      <w:pPr>
        <w:spacing w:line="360" w:lineRule="auto"/>
        <w:ind w:firstLine="600"/>
        <w:rPr>
          <w:rFonts w:ascii="Times New Roman" w:hAnsi="Times New Roman" w:eastAsia="仿宋_GB2312"/>
          <w:sz w:val="30"/>
        </w:rPr>
      </w:pPr>
      <w:r>
        <w:rPr>
          <w:rFonts w:ascii="Times New Roman" w:hAnsi="Times New Roman" w:eastAsia="仿宋_GB2312"/>
          <w:sz w:val="30"/>
        </w:rPr>
        <w:t>若涉及重要现金流提供方，请说明其占入池资产比重，简述基本情况（名称、注册资本、成立日期、经营范围）、经营情况、近三年及一期主要财务数据（资产总额、流动资产、负债总额、流动负债、所有者权益、营业收入、净利润、资产负债率、流动比率、速动比率、净资产收益率）、资信状况和偿付能力分析。</w:t>
      </w:r>
    </w:p>
    <w:p w14:paraId="42A2EC3A">
      <w:pPr>
        <w:spacing w:line="360" w:lineRule="auto"/>
        <w:ind w:firstLine="600"/>
        <w:rPr>
          <w:rFonts w:ascii="Times New Roman" w:hAnsi="Times New Roman" w:eastAsia="仿宋_GB2312"/>
          <w:b/>
          <w:sz w:val="30"/>
        </w:rPr>
      </w:pPr>
      <w:r>
        <w:rPr>
          <w:rFonts w:ascii="Times New Roman" w:hAnsi="Times New Roman" w:eastAsia="仿宋_GB2312"/>
          <w:sz w:val="30"/>
        </w:rPr>
        <w:t>若不涉及重要现金流提供方，请说明。</w:t>
      </w:r>
    </w:p>
    <w:p w14:paraId="0CAC4B70">
      <w:pPr>
        <w:pStyle w:val="83"/>
        <w:numPr>
          <w:ilvl w:val="0"/>
          <w:numId w:val="0"/>
        </w:numPr>
        <w:snapToGrid w:val="0"/>
        <w:spacing w:line="360" w:lineRule="auto"/>
        <w:ind w:left="0" w:leftChars="0" w:firstLine="602" w:firstLineChars="0"/>
        <w:rPr>
          <w:rFonts w:ascii="Times New Roman" w:hAnsi="Times New Roman" w:eastAsia="仿宋_GB2312"/>
          <w:b/>
          <w:sz w:val="30"/>
        </w:rPr>
      </w:pPr>
      <w:r>
        <w:rPr>
          <w:rFonts w:ascii="Times New Roman" w:hAnsi="Times New Roman" w:eastAsia="仿宋_GB2312" w:cs="Times New Roman"/>
          <w:b/>
          <w:color w:val="auto"/>
          <w:kern w:val="2"/>
          <w:sz w:val="30"/>
          <w:szCs w:val="22"/>
          <w:lang w:val="en-US" w:eastAsia="zh-CN" w:bidi="ar-SA"/>
        </w:rPr>
        <w:t>(四)</w:t>
      </w:r>
      <w:r>
        <w:rPr>
          <w:rFonts w:ascii="Times New Roman" w:hAnsi="Times New Roman" w:eastAsia="仿宋_GB2312"/>
          <w:b/>
          <w:sz w:val="30"/>
        </w:rPr>
        <w:t>征信情况核查</w:t>
      </w:r>
    </w:p>
    <w:p w14:paraId="1B2B9A87">
      <w:pPr>
        <w:tabs>
          <w:tab w:val="left" w:pos="756"/>
        </w:tabs>
        <w:spacing w:line="360" w:lineRule="auto"/>
        <w:ind w:firstLine="600"/>
        <w:textAlignment w:val="baseline"/>
        <w:rPr>
          <w:rFonts w:ascii="Times New Roman" w:hAnsi="Times New Roman" w:eastAsia="仿宋_GB2312"/>
          <w:b/>
          <w:sz w:val="30"/>
          <w:szCs w:val="30"/>
        </w:rPr>
      </w:pPr>
      <w:r>
        <w:rPr>
          <w:rFonts w:ascii="Times New Roman" w:hAnsi="Times New Roman" w:eastAsia="仿宋_GB2312"/>
          <w:sz w:val="30"/>
          <w:szCs w:val="30"/>
        </w:rPr>
        <w:t>填写示例：</w:t>
      </w:r>
    </w:p>
    <w:p w14:paraId="06C68E7A">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1.管理人及律师已对特定原始权益人及重要现金流提供方征信情况进行核查，未发现上述主体存在失信被执行记录。若存在，需说明具体原因和对还款能力及还款意愿的影响。</w:t>
      </w:r>
    </w:p>
    <w:p w14:paraId="13AE7BC1">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2.管理人及律师已对特定原始权益人及重要现金流提供方征信情况进行核查，未发现上述主体存在被列入环保领域和安全生产领域失信生产经营单位、重大税收违法案件当事人、涉金融严重失信人。若存在，需说明具体原因和对持续经营能力的影响。</w:t>
      </w:r>
    </w:p>
    <w:p w14:paraId="2A6A2C12">
      <w:pPr>
        <w:pStyle w:val="83"/>
        <w:numPr>
          <w:ilvl w:val="0"/>
          <w:numId w:val="0"/>
        </w:numPr>
        <w:ind w:left="846" w:leftChars="0" w:hanging="420" w:firstLineChars="0"/>
        <w:rPr>
          <w:rFonts w:ascii="Times New Roman" w:hAnsi="Times New Roman" w:eastAsia="黑体"/>
          <w:b/>
          <w:bCs/>
          <w:kern w:val="0"/>
          <w:sz w:val="32"/>
          <w:szCs w:val="32"/>
        </w:rPr>
      </w:pPr>
      <w:bookmarkStart w:id="56" w:name="_Toc478717276"/>
      <w:r>
        <w:rPr>
          <w:rFonts w:ascii="Times New Roman" w:hAnsi="Times New Roman" w:eastAsia="黑体" w:cs="Times New Roman"/>
          <w:b/>
          <w:bCs/>
          <w:color w:val="auto"/>
          <w:kern w:val="0"/>
          <w:sz w:val="32"/>
          <w:szCs w:val="32"/>
          <w:lang w:val="en-US" w:eastAsia="zh-CN" w:bidi="ar-SA"/>
        </w:rPr>
        <w:t>五、</w:t>
      </w:r>
      <w:r>
        <w:rPr>
          <w:rFonts w:ascii="Times New Roman" w:hAnsi="Times New Roman" w:eastAsia="黑体"/>
          <w:b/>
          <w:bCs/>
          <w:kern w:val="0"/>
          <w:sz w:val="32"/>
          <w:szCs w:val="32"/>
        </w:rPr>
        <w:t>评级报告中关注的主要风险</w:t>
      </w:r>
      <w:bookmarkEnd w:id="56"/>
    </w:p>
    <w:p w14:paraId="757A8099">
      <w:pPr>
        <w:tabs>
          <w:tab w:val="left" w:pos="756"/>
        </w:tabs>
        <w:spacing w:line="560" w:lineRule="exact"/>
        <w:ind w:firstLine="600"/>
        <w:textAlignment w:val="baseline"/>
        <w:rPr>
          <w:rFonts w:ascii="Times New Roman" w:hAnsi="Times New Roman" w:eastAsia="仿宋_GB2312"/>
          <w:sz w:val="30"/>
          <w:szCs w:val="30"/>
        </w:rPr>
      </w:pPr>
      <w:r>
        <w:rPr>
          <w:rFonts w:ascii="Times New Roman" w:hAnsi="Times New Roman" w:eastAsia="仿宋_GB2312"/>
          <w:sz w:val="30"/>
          <w:szCs w:val="30"/>
        </w:rPr>
        <w:t>填写示例：</w:t>
      </w:r>
    </w:p>
    <w:p w14:paraId="3DAE3BDD">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1.集团管控压力加大。随着公司业务规模的迅速扩大，集团内部管理难度逐步加大，如何梳理各板块运营体系、强化集团化管控将对后续公司发展起到重要影响。</w:t>
      </w:r>
    </w:p>
    <w:p w14:paraId="37E4B3F4">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2.未来投资资金需求大。根据公司投资支出计划，未来几年公司还将继续推进能源板块投资，同时加大对金融板块的投入，资本支出压力较大。</w:t>
      </w:r>
    </w:p>
    <w:p w14:paraId="09340B7F">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3.盈利能力偏低。公司目前能源贸易业务规模迅速扩张，但受外部环境影响，毛利空间较为有限，且短期内难以得到实质性改善，加之火电板块持续亏损，对整体盈利状况造成一定的影响。</w:t>
      </w:r>
    </w:p>
    <w:p w14:paraId="607972BD">
      <w:pPr>
        <w:pStyle w:val="83"/>
        <w:numPr>
          <w:ilvl w:val="0"/>
          <w:numId w:val="0"/>
        </w:numPr>
        <w:ind w:left="846" w:leftChars="0" w:hanging="420" w:firstLineChars="0"/>
        <w:rPr>
          <w:rFonts w:ascii="Times New Roman" w:hAnsi="Times New Roman" w:eastAsia="黑体"/>
          <w:b/>
          <w:bCs/>
          <w:kern w:val="0"/>
          <w:sz w:val="32"/>
          <w:szCs w:val="32"/>
        </w:rPr>
      </w:pPr>
      <w:r>
        <w:rPr>
          <w:rFonts w:ascii="Times New Roman" w:hAnsi="Times New Roman" w:eastAsia="黑体" w:cs="Times New Roman"/>
          <w:b/>
          <w:bCs/>
          <w:color w:val="auto"/>
          <w:kern w:val="0"/>
          <w:sz w:val="32"/>
          <w:szCs w:val="32"/>
          <w:lang w:val="en-US" w:eastAsia="zh-CN" w:bidi="ar-SA"/>
        </w:rPr>
        <w:t>六、</w:t>
      </w:r>
      <w:r>
        <w:rPr>
          <w:rFonts w:ascii="Times New Roman" w:hAnsi="Times New Roman" w:eastAsia="黑体"/>
          <w:b/>
          <w:bCs/>
          <w:kern w:val="0"/>
          <w:sz w:val="32"/>
          <w:szCs w:val="32"/>
        </w:rPr>
        <w:t>结论</w:t>
      </w:r>
    </w:p>
    <w:p w14:paraId="1895561B">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填写示例：根据管理人及律师核查，本次资产支持证券发行内部授权合法合规，相关主体及基础资产符合《证券公司及基金管理公司子公司资产证券化业务管理规定》的相关要求。</w:t>
      </w:r>
    </w:p>
    <w:p w14:paraId="3661A76C">
      <w:pPr>
        <w:tabs>
          <w:tab w:val="left" w:pos="756"/>
        </w:tabs>
        <w:spacing w:line="360" w:lineRule="auto"/>
        <w:ind w:firstLine="600"/>
        <w:textAlignment w:val="baseline"/>
        <w:rPr>
          <w:rFonts w:ascii="Times New Roman" w:hAnsi="Times New Roman" w:eastAsia="仿宋_GB2312"/>
          <w:sz w:val="30"/>
          <w:szCs w:val="30"/>
        </w:rPr>
      </w:pPr>
      <w:r>
        <w:rPr>
          <w:rFonts w:ascii="Times New Roman" w:hAnsi="Times New Roman" w:eastAsia="仿宋_GB2312"/>
          <w:sz w:val="30"/>
          <w:szCs w:val="30"/>
        </w:rPr>
        <w:t>若存在豁免事项，请说明具体条款及申请豁免原因。</w:t>
      </w:r>
    </w:p>
    <w:p w14:paraId="29A49FE1">
      <w:pPr>
        <w:rPr>
          <w:rFonts w:ascii="Times New Roman" w:hAnsi="Times New Roman" w:eastAsia="黑体"/>
          <w:b/>
          <w:bCs/>
          <w:sz w:val="32"/>
          <w:szCs w:val="32"/>
        </w:rPr>
      </w:pPr>
      <w:bookmarkStart w:id="57" w:name="_Toc478717282"/>
      <w:r>
        <w:rPr>
          <w:rFonts w:ascii="Times New Roman" w:hAnsi="Times New Roman" w:eastAsia="黑体"/>
          <w:b/>
          <w:bCs/>
          <w:sz w:val="32"/>
          <w:szCs w:val="32"/>
        </w:rPr>
        <w:t>附件一：</w:t>
      </w:r>
      <w:bookmarkEnd w:id="57"/>
      <w:r>
        <w:rPr>
          <w:rFonts w:ascii="Times New Roman" w:hAnsi="Times New Roman" w:eastAsia="黑体"/>
          <w:b/>
          <w:bCs/>
          <w:sz w:val="32"/>
          <w:szCs w:val="32"/>
        </w:rPr>
        <w:t>基础资产合格标准（如有）</w:t>
      </w:r>
    </w:p>
    <w:tbl>
      <w:tblPr>
        <w:tblStyle w:val="32"/>
        <w:tblW w:w="8522" w:type="dxa"/>
        <w:tblInd w:w="113" w:type="dxa"/>
        <w:tblLayout w:type="fixed"/>
        <w:tblCellMar>
          <w:top w:w="0" w:type="dxa"/>
          <w:left w:w="108" w:type="dxa"/>
          <w:bottom w:w="0" w:type="dxa"/>
          <w:right w:w="108" w:type="dxa"/>
        </w:tblCellMar>
      </w:tblPr>
      <w:tblGrid>
        <w:gridCol w:w="8522"/>
      </w:tblGrid>
      <w:tr w14:paraId="4AF6E8DB">
        <w:tblPrEx>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F3963ED">
            <w:pPr>
              <w:jc w:val="center"/>
              <w:rPr>
                <w:rFonts w:ascii="Times New Roman" w:hAnsi="Times New Roman" w:eastAsia="仿宋_GB2312"/>
                <w:b/>
                <w:kern w:val="0"/>
                <w:sz w:val="22"/>
                <w:lang w:val="zh-CN"/>
              </w:rPr>
            </w:pPr>
            <w:r>
              <w:rPr>
                <w:rFonts w:ascii="Times New Roman" w:hAnsi="Times New Roman" w:eastAsia="仿宋_GB2312"/>
                <w:b/>
                <w:kern w:val="0"/>
                <w:sz w:val="22"/>
                <w:lang w:val="zh-CN"/>
              </w:rPr>
              <w:t>合格标准</w:t>
            </w:r>
          </w:p>
        </w:tc>
      </w:tr>
      <w:tr w14:paraId="47C7E170">
        <w:tblPrEx>
          <w:tblCellMar>
            <w:top w:w="0" w:type="dxa"/>
            <w:left w:w="108" w:type="dxa"/>
            <w:bottom w:w="0" w:type="dxa"/>
            <w:right w:w="108" w:type="dxa"/>
          </w:tblCellMar>
        </w:tblPrEx>
        <w:trPr>
          <w:trHeight w:val="896" w:hRule="atLeast"/>
        </w:trPr>
        <w:tc>
          <w:tcPr>
            <w:tcW w:w="8522" w:type="dxa"/>
            <w:tcBorders>
              <w:top w:val="single" w:color="000000" w:sz="4" w:space="0"/>
              <w:left w:val="single" w:color="000000" w:sz="4" w:space="0"/>
              <w:bottom w:val="single" w:color="000000" w:sz="4" w:space="0"/>
              <w:right w:val="single" w:color="000000" w:sz="4" w:space="0"/>
            </w:tcBorders>
          </w:tcPr>
          <w:p w14:paraId="17A35C0B">
            <w:pPr>
              <w:rPr>
                <w:rFonts w:ascii="Times New Roman" w:hAnsi="Times New Roman" w:eastAsia="仿宋_GB2312"/>
                <w:b/>
                <w:kern w:val="0"/>
                <w:sz w:val="22"/>
                <w:lang w:val="zh-CN"/>
              </w:rPr>
            </w:pPr>
            <w:r>
              <w:rPr>
                <w:rFonts w:ascii="Times New Roman" w:hAnsi="Times New Roman" w:eastAsia="仿宋_GB2312"/>
                <w:b/>
                <w:kern w:val="0"/>
                <w:sz w:val="22"/>
                <w:lang w:val="zh-CN"/>
              </w:rPr>
              <w:t>1.</w:t>
            </w:r>
          </w:p>
          <w:p w14:paraId="7756E23D">
            <w:pPr>
              <w:rPr>
                <w:rFonts w:ascii="Times New Roman" w:hAnsi="Times New Roman" w:eastAsia="仿宋_GB2312"/>
                <w:b/>
                <w:kern w:val="0"/>
                <w:sz w:val="22"/>
                <w:lang w:val="zh-CN"/>
              </w:rPr>
            </w:pPr>
            <w:r>
              <w:rPr>
                <w:rFonts w:ascii="Times New Roman" w:hAnsi="Times New Roman" w:eastAsia="仿宋_GB2312"/>
                <w:b/>
                <w:kern w:val="0"/>
                <w:sz w:val="22"/>
                <w:lang w:val="zh-CN"/>
              </w:rPr>
              <w:t>2.</w:t>
            </w:r>
          </w:p>
          <w:p w14:paraId="2D3204F3">
            <w:pPr>
              <w:rPr>
                <w:rFonts w:ascii="Times New Roman" w:hAnsi="Times New Roman" w:eastAsia="仿宋_GB2312"/>
                <w:b/>
                <w:kern w:val="0"/>
                <w:sz w:val="22"/>
                <w:lang w:val="zh-CN"/>
              </w:rPr>
            </w:pPr>
            <w:r>
              <w:rPr>
                <w:rFonts w:ascii="Times New Roman" w:hAnsi="Times New Roman" w:eastAsia="仿宋_GB2312"/>
                <w:b/>
                <w:kern w:val="0"/>
                <w:sz w:val="22"/>
                <w:lang w:val="zh-CN"/>
              </w:rPr>
              <w:t>3.</w:t>
            </w:r>
          </w:p>
        </w:tc>
      </w:tr>
    </w:tbl>
    <w:p w14:paraId="746B79A7">
      <w:pPr>
        <w:spacing w:line="360" w:lineRule="auto"/>
        <w:ind w:left="600"/>
        <w:rPr>
          <w:rFonts w:ascii="Times New Roman" w:hAnsi="Times New Roman" w:eastAsia="仿宋_GB2312"/>
          <w:sz w:val="30"/>
          <w:szCs w:val="30"/>
        </w:rPr>
      </w:pPr>
    </w:p>
    <w:p w14:paraId="7D41CA67">
      <w:pPr>
        <w:rPr>
          <w:rFonts w:ascii="Times New Roman" w:hAnsi="Times New Roman" w:eastAsia="黑体"/>
          <w:b/>
          <w:bCs/>
          <w:sz w:val="32"/>
          <w:szCs w:val="32"/>
        </w:rPr>
      </w:pPr>
      <w:r>
        <w:rPr>
          <w:rFonts w:ascii="Times New Roman" w:hAnsi="Times New Roman" w:eastAsia="黑体"/>
          <w:b/>
          <w:sz w:val="32"/>
          <w:szCs w:val="30"/>
        </w:rPr>
        <w:t>附件二：资产支持证券特殊条款具体内容（如有）</w:t>
      </w:r>
    </w:p>
    <w:tbl>
      <w:tblPr>
        <w:tblStyle w:val="32"/>
        <w:tblW w:w="8466" w:type="dxa"/>
        <w:tblInd w:w="113" w:type="dxa"/>
        <w:tblLayout w:type="fixed"/>
        <w:tblCellMar>
          <w:top w:w="0" w:type="dxa"/>
          <w:left w:w="108" w:type="dxa"/>
          <w:bottom w:w="0" w:type="dxa"/>
          <w:right w:w="108" w:type="dxa"/>
        </w:tblCellMar>
      </w:tblPr>
      <w:tblGrid>
        <w:gridCol w:w="3085"/>
        <w:gridCol w:w="3658"/>
        <w:gridCol w:w="1723"/>
      </w:tblGrid>
      <w:tr w14:paraId="179DCC0F">
        <w:tblPrEx>
          <w:tblCellMar>
            <w:top w:w="0" w:type="dxa"/>
            <w:left w:w="108" w:type="dxa"/>
            <w:bottom w:w="0" w:type="dxa"/>
            <w:right w:w="108" w:type="dxa"/>
          </w:tblCellMar>
        </w:tblPrEx>
        <w:trPr>
          <w:trHeight w:val="54" w:hRule="atLeas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882984">
            <w:pPr>
              <w:jc w:val="center"/>
              <w:rPr>
                <w:rFonts w:ascii="Times New Roman" w:hAnsi="Times New Roman" w:eastAsia="仿宋_GB2312"/>
                <w:b/>
                <w:sz w:val="22"/>
              </w:rPr>
            </w:pPr>
            <w:r>
              <w:rPr>
                <w:rFonts w:ascii="Times New Roman" w:hAnsi="Times New Roman" w:eastAsia="仿宋_GB2312"/>
                <w:b/>
                <w:sz w:val="22"/>
              </w:rPr>
              <w:t>特殊条款</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6796B">
            <w:pPr>
              <w:jc w:val="center"/>
              <w:rPr>
                <w:rFonts w:ascii="Times New Roman" w:hAnsi="Times New Roman" w:eastAsia="仿宋_GB2312"/>
                <w:b/>
                <w:sz w:val="22"/>
              </w:rPr>
            </w:pPr>
            <w:r>
              <w:rPr>
                <w:rFonts w:ascii="Times New Roman" w:hAnsi="Times New Roman" w:eastAsia="仿宋_GB2312"/>
                <w:b/>
                <w:sz w:val="22"/>
              </w:rPr>
              <w:t>触发条件</w:t>
            </w: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530138E4">
            <w:pPr>
              <w:jc w:val="center"/>
              <w:rPr>
                <w:rFonts w:ascii="Times New Roman" w:hAnsi="Times New Roman" w:eastAsia="仿宋_GB2312"/>
                <w:b/>
                <w:sz w:val="22"/>
              </w:rPr>
            </w:pPr>
            <w:r>
              <w:rPr>
                <w:rFonts w:ascii="Times New Roman" w:hAnsi="Times New Roman" w:eastAsia="仿宋_GB2312"/>
                <w:b/>
                <w:sz w:val="22"/>
              </w:rPr>
              <w:t>触发后果</w:t>
            </w:r>
          </w:p>
        </w:tc>
      </w:tr>
      <w:tr w14:paraId="12BD6885">
        <w:tblPrEx>
          <w:tblCellMar>
            <w:top w:w="0" w:type="dxa"/>
            <w:left w:w="108" w:type="dxa"/>
            <w:bottom w:w="0" w:type="dxa"/>
            <w:right w:w="108" w:type="dxa"/>
          </w:tblCellMar>
        </w:tblPrEx>
        <w:trPr>
          <w:trHeight w:val="996"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252CE6">
            <w:pPr>
              <w:rPr>
                <w:rFonts w:ascii="Times New Roman" w:hAnsi="Times New Roman" w:eastAsia="仿宋_GB2312"/>
                <w:sz w:val="22"/>
              </w:rPr>
            </w:pPr>
            <w:r>
              <w:rPr>
                <w:rFonts w:ascii="Times New Roman" w:hAnsi="Times New Roman" w:eastAsia="仿宋_GB2312"/>
                <w:sz w:val="22"/>
              </w:rPr>
              <w:t>循环购买安排（如有）</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825841">
            <w:pPr>
              <w:rPr>
                <w:rFonts w:ascii="Times New Roman" w:hAnsi="Times New Roman" w:eastAsia="仿宋_GB2312"/>
                <w:bCs/>
                <w:sz w:val="22"/>
              </w:rPr>
            </w:pPr>
            <w:r>
              <w:rPr>
                <w:rFonts w:ascii="Times New Roman" w:hAnsi="Times New Roman" w:eastAsia="仿宋_GB2312"/>
                <w:sz w:val="22"/>
              </w:rPr>
              <w:t>包括循环购买期间、频率、购买价格计算方式、主要操作安排</w:t>
            </w: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6311C86B">
            <w:pPr>
              <w:keepNext/>
              <w:keepLines/>
              <w:numPr>
                <w:ilvl w:val="0"/>
                <w:numId w:val="0"/>
              </w:numPr>
              <w:spacing w:before="260" w:after="260" w:line="418" w:lineRule="auto"/>
              <w:outlineLvl w:val="2"/>
              <w:rPr>
                <w:rFonts w:ascii="Times New Roman" w:hAnsi="Times New Roman" w:eastAsia="仿宋_GB2312"/>
                <w:sz w:val="22"/>
              </w:rPr>
            </w:pPr>
          </w:p>
        </w:tc>
      </w:tr>
      <w:tr w14:paraId="17D65E98">
        <w:tblPrEx>
          <w:tblCellMar>
            <w:top w:w="0" w:type="dxa"/>
            <w:left w:w="108" w:type="dxa"/>
            <w:bottom w:w="0" w:type="dxa"/>
            <w:right w:w="108" w:type="dxa"/>
          </w:tblCellMar>
        </w:tblPrEx>
        <w:trPr>
          <w:trHeight w:val="567"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2C8662">
            <w:pPr>
              <w:rPr>
                <w:rFonts w:ascii="Times New Roman" w:hAnsi="Times New Roman" w:eastAsia="仿宋_GB2312"/>
                <w:sz w:val="22"/>
              </w:rPr>
            </w:pPr>
            <w:r>
              <w:rPr>
                <w:rFonts w:ascii="Times New Roman" w:hAnsi="Times New Roman" w:eastAsia="仿宋_GB2312"/>
                <w:sz w:val="22"/>
              </w:rPr>
              <w:t>回售/赎回条款（如有）</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FC4613">
            <w:pPr>
              <w:keepNext/>
              <w:keepLines/>
              <w:numPr>
                <w:ilvl w:val="0"/>
                <w:numId w:val="0"/>
              </w:numPr>
              <w:spacing w:before="260" w:after="260" w:line="418" w:lineRule="auto"/>
              <w:outlineLvl w:val="2"/>
              <w:rPr>
                <w:rFonts w:ascii="Times New Roman" w:hAnsi="Times New Roman" w:eastAsia="仿宋_GB2312"/>
                <w:bCs/>
                <w:sz w:val="22"/>
              </w:rPr>
            </w:pP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2F46F574">
            <w:pPr>
              <w:keepNext/>
              <w:keepLines/>
              <w:numPr>
                <w:ilvl w:val="0"/>
                <w:numId w:val="0"/>
              </w:numPr>
              <w:spacing w:before="260" w:after="260" w:line="418" w:lineRule="auto"/>
              <w:outlineLvl w:val="2"/>
              <w:rPr>
                <w:rFonts w:ascii="Times New Roman" w:hAnsi="Times New Roman" w:eastAsia="仿宋_GB2312"/>
                <w:bCs/>
                <w:sz w:val="22"/>
              </w:rPr>
            </w:pPr>
          </w:p>
        </w:tc>
      </w:tr>
      <w:tr w14:paraId="62861211">
        <w:tblPrEx>
          <w:tblCellMar>
            <w:top w:w="0" w:type="dxa"/>
            <w:left w:w="108" w:type="dxa"/>
            <w:bottom w:w="0" w:type="dxa"/>
            <w:right w:w="108" w:type="dxa"/>
          </w:tblCellMar>
        </w:tblPrEx>
        <w:trPr>
          <w:trHeight w:val="567"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CA2E2D">
            <w:pPr>
              <w:rPr>
                <w:rFonts w:ascii="Times New Roman" w:hAnsi="Times New Roman" w:eastAsia="仿宋_GB2312"/>
                <w:sz w:val="22"/>
              </w:rPr>
            </w:pPr>
            <w:r>
              <w:rPr>
                <w:rFonts w:ascii="Times New Roman" w:hAnsi="Times New Roman" w:eastAsia="仿宋_GB2312"/>
                <w:sz w:val="22"/>
              </w:rPr>
              <w:t>权利完善事件触发条件（如有）</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435DC6">
            <w:pPr>
              <w:keepNext/>
              <w:keepLines/>
              <w:numPr>
                <w:ilvl w:val="0"/>
                <w:numId w:val="0"/>
              </w:numPr>
              <w:spacing w:before="260" w:after="260" w:line="418" w:lineRule="auto"/>
              <w:outlineLvl w:val="2"/>
              <w:rPr>
                <w:rFonts w:ascii="Times New Roman" w:hAnsi="Times New Roman" w:eastAsia="仿宋_GB2312"/>
                <w:bCs/>
                <w:sz w:val="22"/>
              </w:rPr>
            </w:pP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70990BAB">
            <w:pPr>
              <w:keepNext/>
              <w:keepLines/>
              <w:numPr>
                <w:ilvl w:val="0"/>
                <w:numId w:val="0"/>
              </w:numPr>
              <w:spacing w:before="260" w:after="260" w:line="418" w:lineRule="auto"/>
              <w:outlineLvl w:val="2"/>
              <w:rPr>
                <w:rFonts w:ascii="Times New Roman" w:hAnsi="Times New Roman" w:eastAsia="仿宋_GB2312"/>
                <w:bCs/>
                <w:sz w:val="22"/>
              </w:rPr>
            </w:pPr>
          </w:p>
        </w:tc>
      </w:tr>
      <w:tr w14:paraId="2554397B">
        <w:tblPrEx>
          <w:tblCellMar>
            <w:top w:w="0" w:type="dxa"/>
            <w:left w:w="108" w:type="dxa"/>
            <w:bottom w:w="0" w:type="dxa"/>
            <w:right w:w="108" w:type="dxa"/>
          </w:tblCellMar>
        </w:tblPrEx>
        <w:trPr>
          <w:trHeight w:val="567"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DD75E8">
            <w:pPr>
              <w:rPr>
                <w:rFonts w:ascii="Times New Roman" w:hAnsi="Times New Roman" w:eastAsia="仿宋_GB2312"/>
                <w:sz w:val="22"/>
              </w:rPr>
            </w:pPr>
            <w:r>
              <w:rPr>
                <w:rFonts w:ascii="Times New Roman" w:hAnsi="Times New Roman" w:eastAsia="仿宋_GB2312"/>
                <w:sz w:val="22"/>
              </w:rPr>
              <w:t>加速清偿事件触发条件（如有）</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B10348">
            <w:pPr>
              <w:keepNext/>
              <w:keepLines/>
              <w:numPr>
                <w:ilvl w:val="0"/>
                <w:numId w:val="0"/>
              </w:numPr>
              <w:spacing w:before="260" w:after="260" w:line="418" w:lineRule="auto"/>
              <w:outlineLvl w:val="2"/>
              <w:rPr>
                <w:rFonts w:ascii="Times New Roman" w:hAnsi="Times New Roman" w:eastAsia="仿宋_GB2312"/>
                <w:bCs/>
                <w:sz w:val="22"/>
              </w:rPr>
            </w:pP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57114F6C">
            <w:pPr>
              <w:keepNext/>
              <w:keepLines/>
              <w:numPr>
                <w:ilvl w:val="0"/>
                <w:numId w:val="0"/>
              </w:numPr>
              <w:spacing w:before="260" w:after="260" w:line="418" w:lineRule="auto"/>
              <w:outlineLvl w:val="2"/>
              <w:rPr>
                <w:rFonts w:ascii="Times New Roman" w:hAnsi="Times New Roman" w:eastAsia="仿宋_GB2312"/>
                <w:bCs/>
                <w:sz w:val="22"/>
              </w:rPr>
            </w:pPr>
          </w:p>
        </w:tc>
      </w:tr>
      <w:tr w14:paraId="14E2A1AF">
        <w:tblPrEx>
          <w:tblCellMar>
            <w:top w:w="0" w:type="dxa"/>
            <w:left w:w="108" w:type="dxa"/>
            <w:bottom w:w="0" w:type="dxa"/>
            <w:right w:w="108" w:type="dxa"/>
          </w:tblCellMar>
        </w:tblPrEx>
        <w:trPr>
          <w:trHeight w:val="567"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D81A96">
            <w:pPr>
              <w:rPr>
                <w:rFonts w:ascii="Times New Roman" w:hAnsi="Times New Roman" w:eastAsia="仿宋_GB2312"/>
                <w:sz w:val="22"/>
              </w:rPr>
            </w:pPr>
            <w:r>
              <w:rPr>
                <w:rFonts w:ascii="Times New Roman" w:hAnsi="Times New Roman" w:eastAsia="仿宋_GB2312"/>
                <w:sz w:val="22"/>
              </w:rPr>
              <w:t>其他特殊条款（如有）</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D7EA46">
            <w:pPr>
              <w:keepNext/>
              <w:keepLines/>
              <w:numPr>
                <w:ilvl w:val="0"/>
                <w:numId w:val="0"/>
              </w:numPr>
              <w:spacing w:before="260" w:after="260" w:line="418" w:lineRule="auto"/>
              <w:outlineLvl w:val="2"/>
              <w:rPr>
                <w:rFonts w:ascii="Times New Roman" w:hAnsi="Times New Roman" w:eastAsia="仿宋_GB2312"/>
                <w:bCs/>
                <w:sz w:val="22"/>
              </w:rPr>
            </w:pP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1C7FF849">
            <w:pPr>
              <w:keepNext/>
              <w:keepLines/>
              <w:numPr>
                <w:ilvl w:val="0"/>
                <w:numId w:val="0"/>
              </w:numPr>
              <w:spacing w:before="260" w:after="260" w:line="418" w:lineRule="auto"/>
              <w:outlineLvl w:val="2"/>
              <w:rPr>
                <w:rFonts w:ascii="Times New Roman" w:hAnsi="Times New Roman" w:eastAsia="仿宋_GB2312"/>
                <w:bCs/>
                <w:sz w:val="22"/>
              </w:rPr>
            </w:pPr>
          </w:p>
        </w:tc>
      </w:tr>
      <w:tr w14:paraId="6FAAFA72">
        <w:tblPrEx>
          <w:tblCellMar>
            <w:top w:w="0" w:type="dxa"/>
            <w:left w:w="108" w:type="dxa"/>
            <w:bottom w:w="0" w:type="dxa"/>
            <w:right w:w="108" w:type="dxa"/>
          </w:tblCellMar>
        </w:tblPrEx>
        <w:trPr>
          <w:trHeight w:val="567"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BE0B32">
            <w:pPr>
              <w:rPr>
                <w:rFonts w:ascii="Times New Roman" w:hAnsi="Times New Roman" w:eastAsia="仿宋_GB2312"/>
                <w:sz w:val="22"/>
              </w:rPr>
            </w:pPr>
            <w:r>
              <w:rPr>
                <w:rFonts w:ascii="Times New Roman" w:hAnsi="Times New Roman" w:eastAsia="仿宋_GB2312"/>
                <w:sz w:val="22"/>
              </w:rPr>
              <w:t>违约事件（如有）</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268556">
            <w:pPr>
              <w:keepNext/>
              <w:keepLines/>
              <w:numPr>
                <w:ilvl w:val="0"/>
                <w:numId w:val="0"/>
              </w:numPr>
              <w:spacing w:before="260" w:after="260" w:line="418" w:lineRule="auto"/>
              <w:outlineLvl w:val="2"/>
              <w:rPr>
                <w:rFonts w:ascii="Times New Roman" w:hAnsi="Times New Roman" w:eastAsia="仿宋_GB2312"/>
                <w:bCs/>
                <w:sz w:val="22"/>
              </w:rPr>
            </w:pP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5EFE44E2">
            <w:pPr>
              <w:keepNext/>
              <w:keepLines/>
              <w:numPr>
                <w:ilvl w:val="0"/>
                <w:numId w:val="0"/>
              </w:numPr>
              <w:spacing w:before="260" w:after="260" w:line="418" w:lineRule="auto"/>
              <w:outlineLvl w:val="2"/>
              <w:rPr>
                <w:rFonts w:ascii="Times New Roman" w:hAnsi="Times New Roman" w:eastAsia="仿宋_GB2312"/>
                <w:bCs/>
                <w:sz w:val="22"/>
              </w:rPr>
            </w:pPr>
          </w:p>
        </w:tc>
      </w:tr>
      <w:tr w14:paraId="6EBBEAB0">
        <w:tblPrEx>
          <w:tblCellMar>
            <w:top w:w="0" w:type="dxa"/>
            <w:left w:w="108" w:type="dxa"/>
            <w:bottom w:w="0" w:type="dxa"/>
            <w:right w:w="108" w:type="dxa"/>
          </w:tblCellMar>
        </w:tblPrEx>
        <w:trPr>
          <w:trHeight w:val="567" w:hRule="exact"/>
          <w:tblHeader/>
        </w:trPr>
        <w:tc>
          <w:tcPr>
            <w:tcW w:w="30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EC8A86">
            <w:pPr>
              <w:rPr>
                <w:rFonts w:ascii="Times New Roman" w:hAnsi="Times New Roman" w:eastAsia="仿宋_GB2312"/>
                <w:sz w:val="22"/>
              </w:rPr>
            </w:pPr>
            <w:r>
              <w:rPr>
                <w:rFonts w:ascii="Times New Roman" w:hAnsi="Times New Roman" w:eastAsia="仿宋_GB2312"/>
                <w:sz w:val="22"/>
              </w:rPr>
              <w:t>……</w:t>
            </w:r>
          </w:p>
        </w:tc>
        <w:tc>
          <w:tcPr>
            <w:tcW w:w="365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FB49DD">
            <w:pPr>
              <w:keepNext/>
              <w:keepLines/>
              <w:numPr>
                <w:ilvl w:val="0"/>
                <w:numId w:val="0"/>
              </w:numPr>
              <w:spacing w:before="260" w:after="260" w:line="418" w:lineRule="auto"/>
              <w:outlineLvl w:val="2"/>
              <w:rPr>
                <w:rFonts w:ascii="Times New Roman" w:hAnsi="Times New Roman" w:eastAsia="仿宋_GB2312"/>
                <w:bCs/>
                <w:sz w:val="22"/>
              </w:rPr>
            </w:pPr>
          </w:p>
        </w:tc>
        <w:tc>
          <w:tcPr>
            <w:tcW w:w="1723" w:type="dxa"/>
            <w:tcBorders>
              <w:top w:val="single" w:color="000000" w:sz="4" w:space="0"/>
              <w:left w:val="single" w:color="000000" w:sz="4" w:space="0"/>
              <w:bottom w:val="single" w:color="000000" w:sz="4" w:space="0"/>
              <w:right w:val="single" w:color="000000" w:sz="4" w:space="0"/>
            </w:tcBorders>
            <w:shd w:val="clear" w:color="000000" w:fill="FFFFFF"/>
          </w:tcPr>
          <w:p w14:paraId="77E1E70C">
            <w:pPr>
              <w:keepNext/>
              <w:keepLines/>
              <w:numPr>
                <w:ilvl w:val="0"/>
                <w:numId w:val="0"/>
              </w:numPr>
              <w:spacing w:before="260" w:after="260" w:line="418" w:lineRule="auto"/>
              <w:outlineLvl w:val="2"/>
              <w:rPr>
                <w:rFonts w:ascii="Times New Roman" w:hAnsi="Times New Roman" w:eastAsia="仿宋_GB2312"/>
                <w:bCs/>
                <w:sz w:val="22"/>
              </w:rPr>
            </w:pPr>
          </w:p>
        </w:tc>
      </w:tr>
    </w:tbl>
    <w:p w14:paraId="08036FCB">
      <w:pPr>
        <w:spacing w:line="360" w:lineRule="auto"/>
        <w:ind w:firstLine="600"/>
        <w:rPr>
          <w:rFonts w:ascii="Times New Roman" w:hAnsi="Times New Roman" w:eastAsia="仿宋_GB2312"/>
          <w:sz w:val="30"/>
          <w:szCs w:val="30"/>
        </w:rPr>
        <w:sectPr>
          <w:footerReference r:id="rId7" w:type="default"/>
          <w:footnotePr>
            <w:numFmt w:val="decimal"/>
            <w:numRestart w:val="eachPage"/>
          </w:footnotePr>
          <w:pgSz w:w="11906" w:h="16838"/>
          <w:pgMar w:top="1440" w:right="1800" w:bottom="1440" w:left="1800" w:header="0" w:footer="992" w:gutter="0"/>
          <w:pgNumType w:fmt="decimal"/>
          <w:cols w:space="720" w:num="1"/>
          <w:formProt w:val="0"/>
          <w:docGrid w:type="lines" w:linePitch="408" w:charSpace="0"/>
        </w:sectPr>
      </w:pPr>
    </w:p>
    <w:p w14:paraId="480CC880">
      <w:pPr>
        <w:rPr>
          <w:rFonts w:ascii="Times New Roman" w:hAnsi="Times New Roman" w:eastAsia="黑体"/>
          <w:b/>
          <w:bCs/>
          <w:sz w:val="32"/>
          <w:szCs w:val="32"/>
        </w:rPr>
      </w:pPr>
      <w:r>
        <w:rPr>
          <w:rFonts w:ascii="Times New Roman" w:hAnsi="Times New Roman" w:eastAsia="黑体"/>
          <w:b/>
          <w:bCs/>
          <w:sz w:val="32"/>
          <w:szCs w:val="32"/>
        </w:rPr>
        <w:t>附件三：真实/首期真实/模拟池基础资产清单</w:t>
      </w:r>
    </w:p>
    <w:p w14:paraId="3C8E8468">
      <w:pPr>
        <w:spacing w:line="360" w:lineRule="auto"/>
        <w:jc w:val="center"/>
        <w:rPr>
          <w:rFonts w:ascii="Times New Roman" w:hAnsi="Times New Roman" w:eastAsia="仿宋_GB2312"/>
          <w:sz w:val="30"/>
          <w:szCs w:val="30"/>
        </w:rPr>
      </w:pPr>
      <w:r>
        <w:rPr>
          <w:rFonts w:ascii="Times New Roman" w:hAnsi="Times New Roman" w:eastAsia="仿宋_GB2312"/>
          <w:sz w:val="30"/>
          <w:szCs w:val="30"/>
        </w:rPr>
        <w:t>（请填写基础资产金额占比最高的20笔基础资产信息，单笔资产金额占比不超过1%，可不填写）</w:t>
      </w:r>
    </w:p>
    <w:p w14:paraId="3DA32D79">
      <w:pPr>
        <w:spacing w:line="360" w:lineRule="auto"/>
        <w:rPr>
          <w:rFonts w:ascii="Times New Roman" w:hAnsi="Times New Roman" w:eastAsia="仿宋_GB2312"/>
          <w:sz w:val="30"/>
          <w:szCs w:val="30"/>
        </w:rPr>
      </w:pPr>
      <w:r>
        <w:rPr>
          <w:rFonts w:ascii="Times New Roman" w:hAnsi="Times New Roman" w:eastAsia="仿宋_GB2312"/>
          <w:sz w:val="30"/>
          <w:szCs w:val="30"/>
        </w:rPr>
        <w:t>/由于单笔资产占比均不超过1%，豁免填写基础资产清单。</w:t>
      </w:r>
    </w:p>
    <w:tbl>
      <w:tblPr>
        <w:tblStyle w:val="32"/>
        <w:tblW w:w="14174" w:type="dxa"/>
        <w:jc w:val="center"/>
        <w:tblLayout w:type="fixed"/>
        <w:tblCellMar>
          <w:top w:w="0" w:type="dxa"/>
          <w:left w:w="108" w:type="dxa"/>
          <w:bottom w:w="0" w:type="dxa"/>
          <w:right w:w="108" w:type="dxa"/>
        </w:tblCellMar>
      </w:tblPr>
      <w:tblGrid>
        <w:gridCol w:w="857"/>
        <w:gridCol w:w="1399"/>
        <w:gridCol w:w="1902"/>
        <w:gridCol w:w="1480"/>
        <w:gridCol w:w="849"/>
        <w:gridCol w:w="1276"/>
        <w:gridCol w:w="1709"/>
        <w:gridCol w:w="1175"/>
        <w:gridCol w:w="1176"/>
        <w:gridCol w:w="1177"/>
        <w:gridCol w:w="1172"/>
      </w:tblGrid>
      <w:tr w14:paraId="66AF9F93">
        <w:tblPrEx>
          <w:tblCellMar>
            <w:top w:w="0" w:type="dxa"/>
            <w:left w:w="108" w:type="dxa"/>
            <w:bottom w:w="0" w:type="dxa"/>
            <w:right w:w="108" w:type="dxa"/>
          </w:tblCellMar>
        </w:tblPrEx>
        <w:trPr>
          <w:trHeight w:val="315" w:hRule="atLeast"/>
          <w:tblHeader/>
          <w:jc w:val="center"/>
        </w:trPr>
        <w:tc>
          <w:tcPr>
            <w:tcW w:w="857" w:type="dxa"/>
            <w:tcBorders>
              <w:top w:val="single" w:color="000000" w:sz="4" w:space="0"/>
              <w:left w:val="single" w:color="000000" w:sz="4" w:space="0"/>
              <w:bottom w:val="single" w:color="000000" w:sz="4" w:space="0"/>
              <w:right w:val="single" w:color="000000" w:sz="4" w:space="0"/>
            </w:tcBorders>
            <w:shd w:val="clear" w:color="auto" w:fill="auto"/>
          </w:tcPr>
          <w:p w14:paraId="6AAB997A">
            <w:pPr>
              <w:widowControl/>
              <w:rPr>
                <w:rFonts w:ascii="Times New Roman" w:hAnsi="Times New Roman" w:eastAsia="仿宋_GB2312"/>
                <w:b/>
                <w:szCs w:val="21"/>
              </w:rPr>
            </w:pPr>
            <w:r>
              <w:rPr>
                <w:rFonts w:ascii="Times New Roman" w:hAnsi="Times New Roman" w:eastAsia="仿宋_GB2312"/>
                <w:b/>
                <w:szCs w:val="21"/>
              </w:rPr>
              <w:t>序号</w:t>
            </w:r>
          </w:p>
        </w:tc>
        <w:tc>
          <w:tcPr>
            <w:tcW w:w="1399" w:type="dxa"/>
            <w:tcBorders>
              <w:top w:val="single" w:color="000000" w:sz="4" w:space="0"/>
              <w:left w:val="single" w:color="000000" w:sz="4" w:space="0"/>
              <w:bottom w:val="single" w:color="000000" w:sz="4" w:space="0"/>
              <w:right w:val="single" w:color="000000" w:sz="4" w:space="0"/>
            </w:tcBorders>
            <w:shd w:val="clear" w:color="auto" w:fill="auto"/>
          </w:tcPr>
          <w:p w14:paraId="2C7970E0">
            <w:pPr>
              <w:widowControl/>
              <w:rPr>
                <w:rFonts w:ascii="Times New Roman" w:hAnsi="Times New Roman" w:eastAsia="仿宋_GB2312"/>
                <w:b/>
                <w:szCs w:val="21"/>
              </w:rPr>
            </w:pPr>
            <w:r>
              <w:rPr>
                <w:rFonts w:ascii="Times New Roman" w:hAnsi="Times New Roman" w:eastAsia="仿宋_GB2312"/>
                <w:b/>
                <w:szCs w:val="21"/>
              </w:rPr>
              <w:t>债务人名称</w:t>
            </w:r>
          </w:p>
        </w:tc>
        <w:tc>
          <w:tcPr>
            <w:tcW w:w="1902" w:type="dxa"/>
            <w:tcBorders>
              <w:top w:val="single" w:color="000000" w:sz="4" w:space="0"/>
              <w:left w:val="single" w:color="000000" w:sz="4" w:space="0"/>
              <w:bottom w:val="single" w:color="000000" w:sz="4" w:space="0"/>
              <w:right w:val="single" w:color="000000" w:sz="4" w:space="0"/>
            </w:tcBorders>
            <w:shd w:val="clear" w:color="auto" w:fill="auto"/>
          </w:tcPr>
          <w:p w14:paraId="31ABCDC8">
            <w:pPr>
              <w:widowControl/>
              <w:rPr>
                <w:rFonts w:ascii="Times New Roman" w:hAnsi="Times New Roman" w:eastAsia="仿宋_GB2312"/>
                <w:b/>
                <w:szCs w:val="21"/>
              </w:rPr>
            </w:pPr>
            <w:r>
              <w:rPr>
                <w:rFonts w:ascii="Times New Roman" w:hAnsi="Times New Roman" w:eastAsia="仿宋_GB2312"/>
                <w:b/>
                <w:szCs w:val="21"/>
              </w:rPr>
              <w:t>未偿本金余额（或应收账款余额）（万元）</w:t>
            </w:r>
          </w:p>
        </w:tc>
        <w:tc>
          <w:tcPr>
            <w:tcW w:w="1480" w:type="dxa"/>
            <w:tcBorders>
              <w:top w:val="single" w:color="000000" w:sz="4" w:space="0"/>
              <w:left w:val="single" w:color="000000" w:sz="4" w:space="0"/>
              <w:bottom w:val="single" w:color="000000" w:sz="4" w:space="0"/>
              <w:right w:val="single" w:color="000000" w:sz="4" w:space="0"/>
            </w:tcBorders>
          </w:tcPr>
          <w:p w14:paraId="122CD60E">
            <w:pPr>
              <w:widowControl/>
              <w:rPr>
                <w:rFonts w:ascii="Times New Roman" w:hAnsi="Times New Roman" w:eastAsia="仿宋_GB2312"/>
                <w:b/>
                <w:szCs w:val="21"/>
              </w:rPr>
            </w:pPr>
            <w:r>
              <w:rPr>
                <w:rFonts w:ascii="Times New Roman" w:hAnsi="Times New Roman" w:eastAsia="仿宋_GB2312"/>
                <w:b/>
                <w:szCs w:val="21"/>
              </w:rPr>
              <w:t>金额占比（%）</w:t>
            </w:r>
          </w:p>
        </w:tc>
        <w:tc>
          <w:tcPr>
            <w:tcW w:w="849" w:type="dxa"/>
            <w:tcBorders>
              <w:top w:val="single" w:color="000000" w:sz="4" w:space="0"/>
              <w:left w:val="single" w:color="000000" w:sz="4" w:space="0"/>
              <w:bottom w:val="single" w:color="000000" w:sz="4" w:space="0"/>
              <w:right w:val="single" w:color="000000" w:sz="4" w:space="0"/>
            </w:tcBorders>
            <w:shd w:val="clear" w:color="auto" w:fill="auto"/>
          </w:tcPr>
          <w:p w14:paraId="1B6796D7">
            <w:pPr>
              <w:widowControl/>
              <w:rPr>
                <w:rFonts w:ascii="Times New Roman" w:hAnsi="Times New Roman" w:eastAsia="仿宋_GB2312"/>
                <w:b/>
                <w:szCs w:val="21"/>
              </w:rPr>
            </w:pPr>
            <w:r>
              <w:rPr>
                <w:rFonts w:ascii="Times New Roman" w:hAnsi="Times New Roman" w:eastAsia="仿宋_GB2312"/>
                <w:b/>
                <w:szCs w:val="21"/>
              </w:rPr>
              <w:t>利率</w:t>
            </w: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6E16855E">
            <w:pPr>
              <w:widowControl/>
              <w:rPr>
                <w:rFonts w:ascii="Times New Roman" w:hAnsi="Times New Roman" w:eastAsia="仿宋_GB2312"/>
                <w:b/>
                <w:szCs w:val="21"/>
              </w:rPr>
            </w:pPr>
            <w:r>
              <w:rPr>
                <w:rFonts w:ascii="Times New Roman" w:hAnsi="Times New Roman" w:eastAsia="仿宋_GB2312"/>
                <w:b/>
                <w:szCs w:val="21"/>
              </w:rPr>
              <w:t>债务人信用等级</w:t>
            </w:r>
          </w:p>
        </w:tc>
        <w:tc>
          <w:tcPr>
            <w:tcW w:w="1709" w:type="dxa"/>
            <w:tcBorders>
              <w:top w:val="single" w:color="000000" w:sz="4" w:space="0"/>
              <w:left w:val="single" w:color="000000" w:sz="4" w:space="0"/>
              <w:bottom w:val="single" w:color="000000" w:sz="4" w:space="0"/>
              <w:right w:val="single" w:color="000000" w:sz="4" w:space="0"/>
            </w:tcBorders>
            <w:shd w:val="clear" w:color="auto" w:fill="auto"/>
          </w:tcPr>
          <w:p w14:paraId="6916AE01">
            <w:pPr>
              <w:widowControl/>
              <w:rPr>
                <w:rFonts w:ascii="Times New Roman" w:hAnsi="Times New Roman" w:eastAsia="仿宋_GB2312"/>
                <w:b/>
                <w:szCs w:val="21"/>
              </w:rPr>
            </w:pPr>
            <w:r>
              <w:rPr>
                <w:rFonts w:ascii="Times New Roman" w:hAnsi="Times New Roman" w:eastAsia="仿宋_GB2312"/>
                <w:b/>
                <w:szCs w:val="21"/>
              </w:rPr>
              <w:t>融资租赁标的（或应收账款确认条件及时点）</w:t>
            </w:r>
          </w:p>
        </w:tc>
        <w:tc>
          <w:tcPr>
            <w:tcW w:w="1175" w:type="dxa"/>
            <w:tcBorders>
              <w:top w:val="single" w:color="000000" w:sz="4" w:space="0"/>
              <w:left w:val="single" w:color="000000" w:sz="4" w:space="0"/>
              <w:bottom w:val="single" w:color="000000" w:sz="4" w:space="0"/>
              <w:right w:val="single" w:color="000000" w:sz="4" w:space="0"/>
            </w:tcBorders>
            <w:shd w:val="clear" w:color="auto" w:fill="auto"/>
          </w:tcPr>
          <w:p w14:paraId="41131335">
            <w:pPr>
              <w:widowControl/>
              <w:rPr>
                <w:rFonts w:ascii="Times New Roman" w:hAnsi="Times New Roman" w:eastAsia="仿宋_GB2312"/>
                <w:b/>
                <w:szCs w:val="21"/>
              </w:rPr>
            </w:pPr>
            <w:r>
              <w:rPr>
                <w:rFonts w:ascii="Times New Roman" w:hAnsi="Times New Roman" w:eastAsia="仿宋_GB2312"/>
                <w:b/>
                <w:szCs w:val="21"/>
              </w:rPr>
              <w:t>增信机构</w:t>
            </w:r>
          </w:p>
        </w:tc>
        <w:tc>
          <w:tcPr>
            <w:tcW w:w="1176" w:type="dxa"/>
            <w:tcBorders>
              <w:top w:val="single" w:color="000000" w:sz="4" w:space="0"/>
              <w:left w:val="single" w:color="000000" w:sz="4" w:space="0"/>
              <w:bottom w:val="single" w:color="000000" w:sz="4" w:space="0"/>
              <w:right w:val="single" w:color="000000" w:sz="4" w:space="0"/>
            </w:tcBorders>
            <w:shd w:val="clear" w:color="auto" w:fill="auto"/>
          </w:tcPr>
          <w:p w14:paraId="681DB69F">
            <w:pPr>
              <w:widowControl/>
              <w:rPr>
                <w:rFonts w:ascii="Times New Roman" w:hAnsi="Times New Roman" w:eastAsia="仿宋_GB2312"/>
                <w:b/>
                <w:szCs w:val="21"/>
              </w:rPr>
            </w:pPr>
            <w:r>
              <w:rPr>
                <w:rFonts w:ascii="Times New Roman" w:hAnsi="Times New Roman" w:eastAsia="仿宋_GB2312"/>
                <w:b/>
                <w:szCs w:val="21"/>
              </w:rPr>
              <w:t>增信机构信用等级</w:t>
            </w:r>
          </w:p>
        </w:tc>
        <w:tc>
          <w:tcPr>
            <w:tcW w:w="1177" w:type="dxa"/>
            <w:tcBorders>
              <w:top w:val="single" w:color="000000" w:sz="4" w:space="0"/>
              <w:left w:val="single" w:color="000000" w:sz="4" w:space="0"/>
              <w:bottom w:val="single" w:color="000000" w:sz="4" w:space="0"/>
              <w:right w:val="single" w:color="000000" w:sz="4" w:space="0"/>
            </w:tcBorders>
          </w:tcPr>
          <w:p w14:paraId="74ACB14D">
            <w:pPr>
              <w:widowControl/>
              <w:rPr>
                <w:rFonts w:ascii="Times New Roman" w:hAnsi="Times New Roman" w:eastAsia="仿宋_GB2312"/>
                <w:b/>
                <w:szCs w:val="21"/>
              </w:rPr>
            </w:pPr>
            <w:r>
              <w:rPr>
                <w:rFonts w:ascii="Times New Roman" w:hAnsi="Times New Roman" w:eastAsia="仿宋_GB2312"/>
                <w:b/>
                <w:szCs w:val="21"/>
              </w:rPr>
              <w:t>增信形式</w:t>
            </w:r>
          </w:p>
        </w:tc>
        <w:tc>
          <w:tcPr>
            <w:tcW w:w="1172" w:type="dxa"/>
            <w:tcBorders>
              <w:top w:val="single" w:color="000000" w:sz="4" w:space="0"/>
              <w:left w:val="single" w:color="000000" w:sz="4" w:space="0"/>
              <w:bottom w:val="single" w:color="000000" w:sz="4" w:space="0"/>
              <w:right w:val="single" w:color="000000" w:sz="4" w:space="0"/>
            </w:tcBorders>
          </w:tcPr>
          <w:p w14:paraId="324D1E52">
            <w:pPr>
              <w:widowControl/>
              <w:rPr>
                <w:rFonts w:ascii="Times New Roman" w:hAnsi="Times New Roman" w:eastAsia="仿宋_GB2312"/>
                <w:b/>
                <w:szCs w:val="21"/>
              </w:rPr>
            </w:pPr>
            <w:r>
              <w:rPr>
                <w:rFonts w:ascii="Times New Roman" w:hAnsi="Times New Roman" w:eastAsia="仿宋_GB2312"/>
                <w:b/>
                <w:szCs w:val="21"/>
              </w:rPr>
              <w:t>基础资产影子评级</w:t>
            </w:r>
          </w:p>
        </w:tc>
      </w:tr>
      <w:tr w14:paraId="66F14709">
        <w:tblPrEx>
          <w:tblCellMar>
            <w:top w:w="0" w:type="dxa"/>
            <w:left w:w="108" w:type="dxa"/>
            <w:bottom w:w="0" w:type="dxa"/>
            <w:right w:w="108" w:type="dxa"/>
          </w:tblCellMar>
        </w:tblPrEx>
        <w:trPr>
          <w:trHeight w:val="567" w:hRule="exact"/>
          <w:jc w:val="center"/>
        </w:trPr>
        <w:tc>
          <w:tcPr>
            <w:tcW w:w="857" w:type="dxa"/>
            <w:tcBorders>
              <w:top w:val="single" w:color="000000" w:sz="4" w:space="0"/>
              <w:left w:val="single" w:color="000000" w:sz="4" w:space="0"/>
              <w:bottom w:val="single" w:color="000000" w:sz="4" w:space="0"/>
              <w:right w:val="single" w:color="000000" w:sz="4" w:space="0"/>
            </w:tcBorders>
          </w:tcPr>
          <w:p w14:paraId="2A2480AB">
            <w:pPr>
              <w:keepNext/>
              <w:keepLines/>
              <w:widowControl/>
              <w:numPr>
                <w:ilvl w:val="0"/>
                <w:numId w:val="0"/>
              </w:numPr>
              <w:spacing w:before="260" w:after="260" w:line="418" w:lineRule="auto"/>
              <w:ind w:firstLine="600"/>
              <w:outlineLvl w:val="2"/>
              <w:rPr>
                <w:rFonts w:ascii="Times New Roman" w:hAnsi="Times New Roman" w:eastAsia="仿宋_GB2312"/>
                <w:szCs w:val="21"/>
              </w:rPr>
            </w:pPr>
          </w:p>
        </w:tc>
        <w:tc>
          <w:tcPr>
            <w:tcW w:w="1399" w:type="dxa"/>
            <w:tcBorders>
              <w:top w:val="single" w:color="000000" w:sz="4" w:space="0"/>
              <w:left w:val="single" w:color="000000" w:sz="4" w:space="0"/>
              <w:bottom w:val="single" w:color="000000" w:sz="4" w:space="0"/>
              <w:right w:val="single" w:color="000000" w:sz="4" w:space="0"/>
            </w:tcBorders>
          </w:tcPr>
          <w:p w14:paraId="767105A7">
            <w:pPr>
              <w:keepNext/>
              <w:keepLines/>
              <w:widowControl/>
              <w:numPr>
                <w:ilvl w:val="0"/>
                <w:numId w:val="0"/>
              </w:numPr>
              <w:spacing w:before="260" w:after="260" w:line="418" w:lineRule="auto"/>
              <w:ind w:firstLine="600"/>
              <w:outlineLvl w:val="2"/>
              <w:rPr>
                <w:rFonts w:ascii="Times New Roman" w:hAnsi="Times New Roman" w:eastAsia="仿宋_GB2312"/>
                <w:szCs w:val="21"/>
              </w:rPr>
            </w:pPr>
          </w:p>
        </w:tc>
        <w:tc>
          <w:tcPr>
            <w:tcW w:w="1902" w:type="dxa"/>
            <w:tcBorders>
              <w:top w:val="single" w:color="000000" w:sz="4" w:space="0"/>
              <w:left w:val="single" w:color="000000" w:sz="4" w:space="0"/>
              <w:bottom w:val="single" w:color="000000" w:sz="4" w:space="0"/>
              <w:right w:val="single" w:color="000000" w:sz="4" w:space="0"/>
            </w:tcBorders>
          </w:tcPr>
          <w:p w14:paraId="058D5A94">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tcPr>
          <w:p w14:paraId="15C26D00">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849" w:type="dxa"/>
            <w:tcBorders>
              <w:top w:val="single" w:color="000000" w:sz="4" w:space="0"/>
              <w:left w:val="single" w:color="000000" w:sz="4" w:space="0"/>
              <w:bottom w:val="single" w:color="000000" w:sz="4" w:space="0"/>
              <w:right w:val="single" w:color="000000" w:sz="4" w:space="0"/>
            </w:tcBorders>
          </w:tcPr>
          <w:p w14:paraId="3450B8B7">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276" w:type="dxa"/>
            <w:tcBorders>
              <w:top w:val="single" w:color="000000" w:sz="4" w:space="0"/>
              <w:left w:val="single" w:color="000000" w:sz="4" w:space="0"/>
              <w:bottom w:val="single" w:color="000000" w:sz="4" w:space="0"/>
              <w:right w:val="single" w:color="000000" w:sz="4" w:space="0"/>
            </w:tcBorders>
          </w:tcPr>
          <w:p w14:paraId="545531FF">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709" w:type="dxa"/>
            <w:tcBorders>
              <w:top w:val="single" w:color="000000" w:sz="4" w:space="0"/>
              <w:left w:val="single" w:color="000000" w:sz="4" w:space="0"/>
              <w:bottom w:val="single" w:color="000000" w:sz="4" w:space="0"/>
              <w:right w:val="single" w:color="000000" w:sz="4" w:space="0"/>
            </w:tcBorders>
          </w:tcPr>
          <w:p w14:paraId="24B2376B">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5" w:type="dxa"/>
            <w:tcBorders>
              <w:top w:val="single" w:color="000000" w:sz="4" w:space="0"/>
              <w:left w:val="single" w:color="000000" w:sz="4" w:space="0"/>
              <w:bottom w:val="single" w:color="000000" w:sz="4" w:space="0"/>
              <w:right w:val="single" w:color="000000" w:sz="4" w:space="0"/>
            </w:tcBorders>
          </w:tcPr>
          <w:p w14:paraId="1E9D839D">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6" w:type="dxa"/>
            <w:tcBorders>
              <w:top w:val="single" w:color="000000" w:sz="4" w:space="0"/>
              <w:left w:val="single" w:color="000000" w:sz="4" w:space="0"/>
              <w:bottom w:val="single" w:color="000000" w:sz="4" w:space="0"/>
              <w:right w:val="single" w:color="000000" w:sz="4" w:space="0"/>
            </w:tcBorders>
          </w:tcPr>
          <w:p w14:paraId="2E1C1078">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7" w:type="dxa"/>
            <w:tcBorders>
              <w:top w:val="single" w:color="000000" w:sz="4" w:space="0"/>
              <w:left w:val="single" w:color="000000" w:sz="4" w:space="0"/>
              <w:bottom w:val="single" w:color="000000" w:sz="4" w:space="0"/>
              <w:right w:val="single" w:color="000000" w:sz="4" w:space="0"/>
            </w:tcBorders>
          </w:tcPr>
          <w:p w14:paraId="023B5F7B">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2" w:type="dxa"/>
            <w:tcBorders>
              <w:top w:val="single" w:color="000000" w:sz="4" w:space="0"/>
              <w:left w:val="single" w:color="000000" w:sz="4" w:space="0"/>
              <w:bottom w:val="single" w:color="000000" w:sz="4" w:space="0"/>
              <w:right w:val="single" w:color="000000" w:sz="4" w:space="0"/>
            </w:tcBorders>
          </w:tcPr>
          <w:p w14:paraId="62941B1C">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r>
      <w:tr w14:paraId="337CF2D2">
        <w:tblPrEx>
          <w:tblCellMar>
            <w:top w:w="0" w:type="dxa"/>
            <w:left w:w="108" w:type="dxa"/>
            <w:bottom w:w="0" w:type="dxa"/>
            <w:right w:w="108" w:type="dxa"/>
          </w:tblCellMar>
        </w:tblPrEx>
        <w:trPr>
          <w:trHeight w:val="567" w:hRule="exact"/>
          <w:jc w:val="center"/>
        </w:trPr>
        <w:tc>
          <w:tcPr>
            <w:tcW w:w="857" w:type="dxa"/>
            <w:tcBorders>
              <w:top w:val="single" w:color="000000" w:sz="4" w:space="0"/>
              <w:left w:val="single" w:color="000000" w:sz="4" w:space="0"/>
              <w:bottom w:val="single" w:color="000000" w:sz="4" w:space="0"/>
              <w:right w:val="single" w:color="000000" w:sz="4" w:space="0"/>
            </w:tcBorders>
          </w:tcPr>
          <w:p w14:paraId="49FD253C">
            <w:pPr>
              <w:keepNext/>
              <w:keepLines/>
              <w:widowControl/>
              <w:numPr>
                <w:ilvl w:val="0"/>
                <w:numId w:val="0"/>
              </w:numPr>
              <w:spacing w:before="260" w:after="260" w:line="418" w:lineRule="auto"/>
              <w:ind w:firstLine="600"/>
              <w:outlineLvl w:val="2"/>
              <w:rPr>
                <w:rFonts w:ascii="Times New Roman" w:hAnsi="Times New Roman" w:eastAsia="仿宋_GB2312"/>
                <w:szCs w:val="21"/>
              </w:rPr>
            </w:pPr>
          </w:p>
        </w:tc>
        <w:tc>
          <w:tcPr>
            <w:tcW w:w="1399" w:type="dxa"/>
            <w:tcBorders>
              <w:top w:val="single" w:color="000000" w:sz="4" w:space="0"/>
              <w:left w:val="single" w:color="000000" w:sz="4" w:space="0"/>
              <w:bottom w:val="single" w:color="000000" w:sz="4" w:space="0"/>
              <w:right w:val="single" w:color="000000" w:sz="4" w:space="0"/>
            </w:tcBorders>
          </w:tcPr>
          <w:p w14:paraId="1E3883E5">
            <w:pPr>
              <w:keepNext/>
              <w:keepLines/>
              <w:widowControl/>
              <w:numPr>
                <w:ilvl w:val="0"/>
                <w:numId w:val="0"/>
              </w:numPr>
              <w:spacing w:before="260" w:after="260" w:line="418" w:lineRule="auto"/>
              <w:ind w:firstLine="600"/>
              <w:outlineLvl w:val="2"/>
              <w:rPr>
                <w:rFonts w:ascii="Times New Roman" w:hAnsi="Times New Roman" w:eastAsia="仿宋_GB2312"/>
                <w:szCs w:val="21"/>
              </w:rPr>
            </w:pPr>
          </w:p>
        </w:tc>
        <w:tc>
          <w:tcPr>
            <w:tcW w:w="1902" w:type="dxa"/>
            <w:tcBorders>
              <w:top w:val="single" w:color="000000" w:sz="4" w:space="0"/>
              <w:left w:val="single" w:color="000000" w:sz="4" w:space="0"/>
              <w:bottom w:val="single" w:color="000000" w:sz="4" w:space="0"/>
              <w:right w:val="single" w:color="000000" w:sz="4" w:space="0"/>
            </w:tcBorders>
          </w:tcPr>
          <w:p w14:paraId="667EABAE">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tcPr>
          <w:p w14:paraId="10C64953">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849" w:type="dxa"/>
            <w:tcBorders>
              <w:top w:val="single" w:color="000000" w:sz="4" w:space="0"/>
              <w:left w:val="single" w:color="000000" w:sz="4" w:space="0"/>
              <w:bottom w:val="single" w:color="000000" w:sz="4" w:space="0"/>
              <w:right w:val="single" w:color="000000" w:sz="4" w:space="0"/>
            </w:tcBorders>
          </w:tcPr>
          <w:p w14:paraId="5B112805">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276" w:type="dxa"/>
            <w:tcBorders>
              <w:top w:val="single" w:color="000000" w:sz="4" w:space="0"/>
              <w:left w:val="single" w:color="000000" w:sz="4" w:space="0"/>
              <w:bottom w:val="single" w:color="000000" w:sz="4" w:space="0"/>
              <w:right w:val="single" w:color="000000" w:sz="4" w:space="0"/>
            </w:tcBorders>
          </w:tcPr>
          <w:p w14:paraId="300BD678">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709" w:type="dxa"/>
            <w:tcBorders>
              <w:top w:val="single" w:color="000000" w:sz="4" w:space="0"/>
              <w:left w:val="single" w:color="000000" w:sz="4" w:space="0"/>
              <w:bottom w:val="single" w:color="000000" w:sz="4" w:space="0"/>
              <w:right w:val="single" w:color="000000" w:sz="4" w:space="0"/>
            </w:tcBorders>
          </w:tcPr>
          <w:p w14:paraId="2A6C308B">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5" w:type="dxa"/>
            <w:tcBorders>
              <w:top w:val="single" w:color="000000" w:sz="4" w:space="0"/>
              <w:left w:val="single" w:color="000000" w:sz="4" w:space="0"/>
              <w:bottom w:val="single" w:color="000000" w:sz="4" w:space="0"/>
              <w:right w:val="single" w:color="000000" w:sz="4" w:space="0"/>
            </w:tcBorders>
          </w:tcPr>
          <w:p w14:paraId="1D478991">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6" w:type="dxa"/>
            <w:tcBorders>
              <w:top w:val="single" w:color="000000" w:sz="4" w:space="0"/>
              <w:left w:val="single" w:color="000000" w:sz="4" w:space="0"/>
              <w:bottom w:val="single" w:color="000000" w:sz="4" w:space="0"/>
              <w:right w:val="single" w:color="000000" w:sz="4" w:space="0"/>
            </w:tcBorders>
          </w:tcPr>
          <w:p w14:paraId="5DFF0CD1">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7" w:type="dxa"/>
            <w:tcBorders>
              <w:top w:val="single" w:color="000000" w:sz="4" w:space="0"/>
              <w:left w:val="single" w:color="000000" w:sz="4" w:space="0"/>
              <w:bottom w:val="single" w:color="000000" w:sz="4" w:space="0"/>
              <w:right w:val="single" w:color="000000" w:sz="4" w:space="0"/>
            </w:tcBorders>
          </w:tcPr>
          <w:p w14:paraId="1F761D53">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2" w:type="dxa"/>
            <w:tcBorders>
              <w:top w:val="single" w:color="000000" w:sz="4" w:space="0"/>
              <w:left w:val="single" w:color="000000" w:sz="4" w:space="0"/>
              <w:bottom w:val="single" w:color="000000" w:sz="4" w:space="0"/>
              <w:right w:val="single" w:color="000000" w:sz="4" w:space="0"/>
            </w:tcBorders>
          </w:tcPr>
          <w:p w14:paraId="49369CC7">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r>
      <w:tr w14:paraId="1D39DDE4">
        <w:tblPrEx>
          <w:tblCellMar>
            <w:top w:w="0" w:type="dxa"/>
            <w:left w:w="108" w:type="dxa"/>
            <w:bottom w:w="0" w:type="dxa"/>
            <w:right w:w="108" w:type="dxa"/>
          </w:tblCellMar>
        </w:tblPrEx>
        <w:trPr>
          <w:trHeight w:val="567" w:hRule="exact"/>
          <w:jc w:val="center"/>
        </w:trPr>
        <w:tc>
          <w:tcPr>
            <w:tcW w:w="857" w:type="dxa"/>
            <w:tcBorders>
              <w:top w:val="single" w:color="000000" w:sz="4" w:space="0"/>
              <w:left w:val="single" w:color="000000" w:sz="4" w:space="0"/>
              <w:bottom w:val="single" w:color="000000" w:sz="4" w:space="0"/>
              <w:right w:val="single" w:color="000000" w:sz="4" w:space="0"/>
            </w:tcBorders>
          </w:tcPr>
          <w:p w14:paraId="31828CCD">
            <w:pPr>
              <w:keepNext/>
              <w:keepLines/>
              <w:widowControl/>
              <w:numPr>
                <w:ilvl w:val="0"/>
                <w:numId w:val="0"/>
              </w:numPr>
              <w:spacing w:before="260" w:after="260" w:line="418" w:lineRule="auto"/>
              <w:ind w:firstLine="600"/>
              <w:jc w:val="center"/>
              <w:outlineLvl w:val="2"/>
              <w:rPr>
                <w:rFonts w:ascii="Times New Roman" w:hAnsi="Times New Roman" w:eastAsia="仿宋_GB2312"/>
                <w:szCs w:val="21"/>
              </w:rPr>
            </w:pPr>
          </w:p>
        </w:tc>
        <w:tc>
          <w:tcPr>
            <w:tcW w:w="1399" w:type="dxa"/>
            <w:tcBorders>
              <w:top w:val="single" w:color="000000" w:sz="4" w:space="0"/>
              <w:left w:val="single" w:color="000000" w:sz="4" w:space="0"/>
              <w:bottom w:val="single" w:color="000000" w:sz="4" w:space="0"/>
              <w:right w:val="single" w:color="000000" w:sz="4" w:space="0"/>
            </w:tcBorders>
          </w:tcPr>
          <w:p w14:paraId="786C6B47">
            <w:pPr>
              <w:keepNext/>
              <w:keepLines/>
              <w:widowControl/>
              <w:numPr>
                <w:ilvl w:val="0"/>
                <w:numId w:val="0"/>
              </w:numPr>
              <w:spacing w:before="260" w:after="260" w:line="418" w:lineRule="auto"/>
              <w:ind w:firstLine="600"/>
              <w:jc w:val="center"/>
              <w:outlineLvl w:val="2"/>
              <w:rPr>
                <w:rFonts w:ascii="Times New Roman" w:hAnsi="Times New Roman" w:eastAsia="仿宋_GB2312"/>
                <w:szCs w:val="21"/>
              </w:rPr>
            </w:pPr>
          </w:p>
        </w:tc>
        <w:tc>
          <w:tcPr>
            <w:tcW w:w="1902" w:type="dxa"/>
            <w:tcBorders>
              <w:top w:val="single" w:color="000000" w:sz="4" w:space="0"/>
              <w:left w:val="single" w:color="000000" w:sz="4" w:space="0"/>
              <w:bottom w:val="single" w:color="000000" w:sz="4" w:space="0"/>
              <w:right w:val="single" w:color="000000" w:sz="4" w:space="0"/>
            </w:tcBorders>
          </w:tcPr>
          <w:p w14:paraId="114953F6">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480" w:type="dxa"/>
            <w:tcBorders>
              <w:top w:val="single" w:color="000000" w:sz="4" w:space="0"/>
              <w:left w:val="single" w:color="000000" w:sz="4" w:space="0"/>
              <w:bottom w:val="single" w:color="000000" w:sz="4" w:space="0"/>
              <w:right w:val="single" w:color="000000" w:sz="4" w:space="0"/>
            </w:tcBorders>
          </w:tcPr>
          <w:p w14:paraId="3B0C825E">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849" w:type="dxa"/>
            <w:tcBorders>
              <w:top w:val="single" w:color="000000" w:sz="4" w:space="0"/>
              <w:left w:val="single" w:color="000000" w:sz="4" w:space="0"/>
              <w:bottom w:val="single" w:color="000000" w:sz="4" w:space="0"/>
              <w:right w:val="single" w:color="000000" w:sz="4" w:space="0"/>
            </w:tcBorders>
          </w:tcPr>
          <w:p w14:paraId="26C172BB">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276" w:type="dxa"/>
            <w:tcBorders>
              <w:top w:val="single" w:color="000000" w:sz="4" w:space="0"/>
              <w:left w:val="single" w:color="000000" w:sz="4" w:space="0"/>
              <w:bottom w:val="single" w:color="000000" w:sz="4" w:space="0"/>
              <w:right w:val="single" w:color="000000" w:sz="4" w:space="0"/>
            </w:tcBorders>
          </w:tcPr>
          <w:p w14:paraId="7956147B">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709" w:type="dxa"/>
            <w:tcBorders>
              <w:top w:val="single" w:color="000000" w:sz="4" w:space="0"/>
              <w:left w:val="single" w:color="000000" w:sz="4" w:space="0"/>
              <w:bottom w:val="single" w:color="000000" w:sz="4" w:space="0"/>
              <w:right w:val="single" w:color="000000" w:sz="4" w:space="0"/>
            </w:tcBorders>
          </w:tcPr>
          <w:p w14:paraId="3F4F1E1C">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5" w:type="dxa"/>
            <w:tcBorders>
              <w:top w:val="single" w:color="000000" w:sz="4" w:space="0"/>
              <w:left w:val="single" w:color="000000" w:sz="4" w:space="0"/>
              <w:bottom w:val="single" w:color="000000" w:sz="4" w:space="0"/>
              <w:right w:val="single" w:color="000000" w:sz="4" w:space="0"/>
            </w:tcBorders>
          </w:tcPr>
          <w:p w14:paraId="622774E8">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6" w:type="dxa"/>
            <w:tcBorders>
              <w:top w:val="single" w:color="000000" w:sz="4" w:space="0"/>
              <w:left w:val="single" w:color="000000" w:sz="4" w:space="0"/>
              <w:bottom w:val="single" w:color="000000" w:sz="4" w:space="0"/>
              <w:right w:val="single" w:color="000000" w:sz="4" w:space="0"/>
            </w:tcBorders>
          </w:tcPr>
          <w:p w14:paraId="1D5A6F10">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7" w:type="dxa"/>
            <w:tcBorders>
              <w:top w:val="single" w:color="000000" w:sz="4" w:space="0"/>
              <w:left w:val="single" w:color="000000" w:sz="4" w:space="0"/>
              <w:bottom w:val="single" w:color="000000" w:sz="4" w:space="0"/>
              <w:right w:val="single" w:color="000000" w:sz="4" w:space="0"/>
            </w:tcBorders>
          </w:tcPr>
          <w:p w14:paraId="4F4F98A8">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c>
          <w:tcPr>
            <w:tcW w:w="1172" w:type="dxa"/>
            <w:tcBorders>
              <w:top w:val="single" w:color="000000" w:sz="4" w:space="0"/>
              <w:left w:val="single" w:color="000000" w:sz="4" w:space="0"/>
              <w:bottom w:val="single" w:color="000000" w:sz="4" w:space="0"/>
              <w:right w:val="single" w:color="000000" w:sz="4" w:space="0"/>
            </w:tcBorders>
          </w:tcPr>
          <w:p w14:paraId="24A12228">
            <w:pPr>
              <w:keepNext/>
              <w:keepLines/>
              <w:widowControl/>
              <w:numPr>
                <w:ilvl w:val="0"/>
                <w:numId w:val="0"/>
              </w:numPr>
              <w:spacing w:before="260" w:after="260" w:line="418" w:lineRule="auto"/>
              <w:ind w:firstLine="600"/>
              <w:jc w:val="right"/>
              <w:outlineLvl w:val="2"/>
              <w:rPr>
                <w:rFonts w:ascii="Times New Roman" w:hAnsi="Times New Roman" w:eastAsia="仿宋_GB2312"/>
                <w:szCs w:val="21"/>
              </w:rPr>
            </w:pPr>
          </w:p>
        </w:tc>
      </w:tr>
    </w:tbl>
    <w:p w14:paraId="0FFBD826">
      <w:pPr>
        <w:spacing w:before="120" w:after="120" w:line="360" w:lineRule="auto"/>
        <w:jc w:val="left"/>
        <w:rPr>
          <w:rFonts w:ascii="Times New Roman" w:hAnsi="Times New Roman" w:eastAsia="仿宋_GB2312"/>
          <w:b/>
          <w:bCs/>
          <w:sz w:val="32"/>
          <w:szCs w:val="32"/>
        </w:rPr>
      </w:pPr>
    </w:p>
    <w:p w14:paraId="17545BD5">
      <w:pPr>
        <w:spacing w:line="560" w:lineRule="exact"/>
        <w:ind w:firstLine="420"/>
        <w:jc w:val="right"/>
        <w:rPr>
          <w:rFonts w:ascii="Times New Roman" w:hAnsi="Times New Roman" w:eastAsia="仿宋_GB2312"/>
          <w:sz w:val="30"/>
          <w:szCs w:val="30"/>
        </w:rPr>
      </w:pPr>
    </w:p>
    <w:p w14:paraId="5617D50D">
      <w:pPr>
        <w:spacing w:line="560" w:lineRule="exact"/>
        <w:ind w:firstLine="420"/>
        <w:jc w:val="right"/>
        <w:rPr>
          <w:rFonts w:ascii="Times New Roman" w:hAnsi="Times New Roman" w:eastAsia="仿宋_GB2312"/>
          <w:sz w:val="30"/>
          <w:szCs w:val="30"/>
        </w:rPr>
        <w:sectPr>
          <w:footerReference r:id="rId9" w:type="first"/>
          <w:footerReference r:id="rId8" w:type="default"/>
          <w:footnotePr>
            <w:numFmt w:val="decimal"/>
            <w:numRestart w:val="eachPage"/>
          </w:footnotePr>
          <w:pgSz w:w="16838" w:h="11906" w:orient="landscape"/>
          <w:pgMar w:top="1800" w:right="1440" w:bottom="1800" w:left="1440" w:header="0" w:footer="992" w:gutter="0"/>
          <w:pgNumType w:fmt="decimal"/>
          <w:cols w:space="720" w:num="1"/>
          <w:formProt w:val="0"/>
          <w:docGrid w:type="lines" w:linePitch="408" w:charSpace="0"/>
        </w:sectPr>
      </w:pPr>
    </w:p>
    <w:p w14:paraId="00A641F6">
      <w:pPr>
        <w:ind w:left="161" w:hanging="161"/>
        <w:rPr>
          <w:rFonts w:ascii="Times New Roman" w:hAnsi="Times New Roman" w:eastAsia="黑体"/>
          <w:b/>
          <w:bCs/>
          <w:sz w:val="32"/>
          <w:szCs w:val="32"/>
        </w:rPr>
      </w:pPr>
      <w:bookmarkStart w:id="58" w:name="_Toc118891189"/>
      <w:r>
        <w:rPr>
          <w:rFonts w:ascii="Times New Roman" w:hAnsi="Times New Roman" w:eastAsia="黑体"/>
          <w:b/>
          <w:bCs/>
          <w:sz w:val="32"/>
          <w:szCs w:val="32"/>
        </w:rPr>
        <w:t>附件四：XX资产支持专项计划关于适用优化审核/重点审核的说明</w:t>
      </w:r>
    </w:p>
    <w:p w14:paraId="661AE42F">
      <w:pPr>
        <w:snapToGrid w:val="0"/>
        <w:spacing w:line="600" w:lineRule="exact"/>
        <w:rPr>
          <w:rFonts w:ascii="Times New Roman" w:hAnsi="Times New Roman" w:eastAsia="仿宋_GB2312"/>
          <w:b/>
          <w:color w:val="000000"/>
          <w:sz w:val="30"/>
          <w:szCs w:val="30"/>
        </w:rPr>
      </w:pPr>
    </w:p>
    <w:p w14:paraId="332DDC28">
      <w:pPr>
        <w:snapToGrid w:val="0"/>
        <w:spacing w:line="600" w:lineRule="exact"/>
        <w:ind w:firstLine="600"/>
        <w:rPr>
          <w:rFonts w:ascii="Times New Roman" w:hAnsi="Times New Roman" w:eastAsia="仿宋_GB2312"/>
          <w:bCs/>
          <w:color w:val="000000"/>
          <w:sz w:val="30"/>
          <w:szCs w:val="30"/>
        </w:rPr>
      </w:pPr>
      <w:r>
        <w:rPr>
          <w:rFonts w:ascii="Times New Roman" w:hAnsi="Times New Roman" w:eastAsia="仿宋_GB2312"/>
          <w:color w:val="000000"/>
          <w:sz w:val="30"/>
          <w:szCs w:val="30"/>
        </w:rPr>
        <w:t>根据《上海证券交易所资产支持证券挂牌条件确认规则适用指引第3号——分类审核》（以下简称《分类指引》）的规定，XX资产支持专项计划符合上海证券交</w:t>
      </w:r>
      <w:r>
        <w:rPr>
          <w:rFonts w:ascii="Times New Roman" w:hAnsi="Times New Roman" w:eastAsia="仿宋_GB2312"/>
          <w:bCs/>
          <w:color w:val="000000"/>
          <w:sz w:val="30"/>
          <w:szCs w:val="30"/>
        </w:rPr>
        <w:t>易所资产支持证券优化审核/ 重点审核安排的适用条件。具体情况说明如下：</w:t>
      </w:r>
    </w:p>
    <w:tbl>
      <w:tblPr>
        <w:tblStyle w:val="32"/>
        <w:tblW w:w="5000" w:type="pct"/>
        <w:jc w:val="center"/>
        <w:tblLayout w:type="fixed"/>
        <w:tblCellMar>
          <w:top w:w="0" w:type="dxa"/>
          <w:left w:w="108" w:type="dxa"/>
          <w:bottom w:w="0" w:type="dxa"/>
          <w:right w:w="108" w:type="dxa"/>
        </w:tblCellMar>
      </w:tblPr>
      <w:tblGrid>
        <w:gridCol w:w="547"/>
        <w:gridCol w:w="747"/>
        <w:gridCol w:w="4728"/>
        <w:gridCol w:w="2500"/>
      </w:tblGrid>
      <w:tr w14:paraId="08725975">
        <w:tblPrEx>
          <w:tblCellMar>
            <w:top w:w="0" w:type="dxa"/>
            <w:left w:w="108" w:type="dxa"/>
            <w:bottom w:w="0" w:type="dxa"/>
            <w:right w:w="108" w:type="dxa"/>
          </w:tblCellMar>
        </w:tblPrEx>
        <w:trPr>
          <w:cantSpli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4262DCCB">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优化审核</w:t>
            </w:r>
          </w:p>
        </w:tc>
      </w:tr>
      <w:tr w14:paraId="62882462">
        <w:tblPrEx>
          <w:tblCellMar>
            <w:top w:w="0" w:type="dxa"/>
            <w:left w:w="108" w:type="dxa"/>
            <w:bottom w:w="0" w:type="dxa"/>
            <w:right w:w="108" w:type="dxa"/>
          </w:tblCellMar>
        </w:tblPrEx>
        <w:trPr>
          <w:cantSpli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433FA52B">
            <w:pPr>
              <w:snapToGrid w:val="0"/>
              <w:jc w:val="left"/>
              <w:rPr>
                <w:rFonts w:ascii="Times New Roman" w:hAnsi="Times New Roman" w:eastAsia="仿宋_GB2312"/>
                <w:b/>
                <w:color w:val="000000"/>
                <w:szCs w:val="21"/>
              </w:rPr>
            </w:pPr>
            <w:r>
              <w:rPr>
                <w:rFonts w:ascii="Times New Roman" w:hAnsi="Times New Roman" w:eastAsia="仿宋_GB2312"/>
                <w:b/>
                <w:color w:val="000000"/>
                <w:szCs w:val="21"/>
              </w:rPr>
              <w:t>一、发起人</w:t>
            </w:r>
          </w:p>
        </w:tc>
      </w:tr>
      <w:tr w14:paraId="01D176AE">
        <w:tblPrEx>
          <w:tblCellMar>
            <w:top w:w="0" w:type="dxa"/>
            <w:left w:w="108" w:type="dxa"/>
            <w:bottom w:w="0" w:type="dxa"/>
            <w:right w:w="108" w:type="dxa"/>
          </w:tblCellMar>
        </w:tblPrEx>
        <w:trPr>
          <w:cantSplit/>
          <w:jc w:val="center"/>
        </w:trPr>
        <w:tc>
          <w:tcPr>
            <w:tcW w:w="533" w:type="dxa"/>
            <w:vMerge w:val="restart"/>
            <w:tcBorders>
              <w:top w:val="single" w:color="000000" w:sz="4" w:space="0"/>
              <w:left w:val="single" w:color="000000" w:sz="4" w:space="0"/>
              <w:bottom w:val="single" w:color="000000" w:sz="4" w:space="0"/>
              <w:right w:val="single" w:color="000000" w:sz="4" w:space="0"/>
            </w:tcBorders>
          </w:tcPr>
          <w:p w14:paraId="517DFCB5">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236055BA">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（一）已在本所适用优化融资监管</w:t>
            </w:r>
          </w:p>
        </w:tc>
        <w:tc>
          <w:tcPr>
            <w:tcW w:w="2436" w:type="dxa"/>
            <w:tcBorders>
              <w:top w:val="single" w:color="000000" w:sz="4" w:space="0"/>
              <w:left w:val="single" w:color="000000" w:sz="4" w:space="0"/>
              <w:bottom w:val="single" w:color="000000" w:sz="4" w:space="0"/>
              <w:right w:val="single" w:color="000000" w:sz="4" w:space="0"/>
            </w:tcBorders>
            <w:vAlign w:val="center"/>
          </w:tcPr>
          <w:p w14:paraId="330AACF5">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0A0C4D6B">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77F8FFA1">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29597B99">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（二）同时符合以下情形：</w:t>
            </w:r>
          </w:p>
        </w:tc>
        <w:tc>
          <w:tcPr>
            <w:tcW w:w="2436" w:type="dxa"/>
            <w:tcBorders>
              <w:top w:val="single" w:color="000000" w:sz="4" w:space="0"/>
              <w:left w:val="single" w:color="000000" w:sz="4" w:space="0"/>
              <w:bottom w:val="single" w:color="000000" w:sz="4" w:space="0"/>
              <w:right w:val="single" w:color="000000" w:sz="4" w:space="0"/>
            </w:tcBorders>
            <w:vAlign w:val="center"/>
          </w:tcPr>
          <w:p w14:paraId="11798499">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24F8BE80">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76B5D52D">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2CE74DEE">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608" w:type="dxa"/>
            <w:tcBorders>
              <w:top w:val="single" w:color="000000" w:sz="4" w:space="0"/>
              <w:left w:val="single" w:color="000000" w:sz="4" w:space="0"/>
              <w:bottom w:val="single" w:color="000000" w:sz="4" w:space="0"/>
              <w:right w:val="single" w:color="000000" w:sz="4" w:space="0"/>
            </w:tcBorders>
            <w:vAlign w:val="center"/>
          </w:tcPr>
          <w:p w14:paraId="2D7481A7">
            <w:pPr>
              <w:snapToGrid w:val="0"/>
              <w:jc w:val="left"/>
              <w:rPr>
                <w:rFonts w:ascii="Times New Roman" w:hAnsi="Times New Roman" w:eastAsia="仿宋_GB2312"/>
                <w:color w:val="000000"/>
                <w:szCs w:val="21"/>
              </w:rPr>
            </w:pPr>
            <w:r>
              <w:rPr>
                <w:rFonts w:ascii="Times New Roman" w:hAnsi="Times New Roman" w:eastAsia="仿宋_GB2312"/>
                <w:color w:val="000000"/>
                <w:szCs w:val="21"/>
              </w:rPr>
              <w:t>生产经营符合国家宏观调控政策和产业政策，资信状况良好，市场认可度高，行业地位显著，公司治理完善，经营财务状况稳健</w:t>
            </w:r>
          </w:p>
        </w:tc>
        <w:tc>
          <w:tcPr>
            <w:tcW w:w="2436" w:type="dxa"/>
            <w:tcBorders>
              <w:top w:val="single" w:color="000000" w:sz="4" w:space="0"/>
              <w:left w:val="single" w:color="000000" w:sz="4" w:space="0"/>
              <w:bottom w:val="single" w:color="000000" w:sz="4" w:space="0"/>
              <w:right w:val="single" w:color="000000" w:sz="4" w:space="0"/>
            </w:tcBorders>
            <w:vAlign w:val="center"/>
          </w:tcPr>
          <w:p w14:paraId="491EE0D5">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1EC44BB0">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6627CA53">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633B15ED">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08" w:type="dxa"/>
            <w:tcBorders>
              <w:top w:val="single" w:color="000000" w:sz="4" w:space="0"/>
              <w:left w:val="single" w:color="000000" w:sz="4" w:space="0"/>
              <w:bottom w:val="single" w:color="000000" w:sz="4" w:space="0"/>
              <w:right w:val="single" w:color="000000" w:sz="4" w:space="0"/>
            </w:tcBorders>
            <w:vAlign w:val="center"/>
          </w:tcPr>
          <w:p w14:paraId="30058072">
            <w:pPr>
              <w:snapToGrid w:val="0"/>
              <w:jc w:val="left"/>
              <w:rPr>
                <w:rFonts w:ascii="Times New Roman" w:hAnsi="Times New Roman" w:eastAsia="仿宋_GB2312"/>
                <w:color w:val="000000"/>
                <w:szCs w:val="21"/>
              </w:rPr>
            </w:pPr>
            <w:r>
              <w:rPr>
                <w:rFonts w:ascii="Times New Roman" w:hAnsi="Times New Roman" w:eastAsia="仿宋_GB2312"/>
                <w:color w:val="000000"/>
                <w:szCs w:val="21"/>
              </w:rPr>
              <w:t>融资经验丰富，最近36个月内累计发行不少于3只证券化产品，累计发行金额原则上不少于50亿元</w:t>
            </w:r>
          </w:p>
        </w:tc>
        <w:tc>
          <w:tcPr>
            <w:tcW w:w="2436" w:type="dxa"/>
            <w:tcBorders>
              <w:top w:val="single" w:color="000000" w:sz="4" w:space="0"/>
              <w:left w:val="single" w:color="000000" w:sz="4" w:space="0"/>
              <w:bottom w:val="single" w:color="000000" w:sz="4" w:space="0"/>
              <w:right w:val="single" w:color="000000" w:sz="4" w:space="0"/>
            </w:tcBorders>
            <w:vAlign w:val="center"/>
          </w:tcPr>
          <w:p w14:paraId="4F50752E">
            <w:pPr>
              <w:snapToGrid w:val="0"/>
              <w:ind w:firstLine="840"/>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15A1DECF">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4255A871">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57B9712">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08" w:type="dxa"/>
            <w:tcBorders>
              <w:top w:val="single" w:color="000000" w:sz="4" w:space="0"/>
              <w:left w:val="single" w:color="000000" w:sz="4" w:space="0"/>
              <w:bottom w:val="single" w:color="000000" w:sz="4" w:space="0"/>
              <w:right w:val="single" w:color="000000" w:sz="4" w:space="0"/>
            </w:tcBorders>
            <w:vAlign w:val="center"/>
          </w:tcPr>
          <w:p w14:paraId="44A59FE8">
            <w:pPr>
              <w:snapToGrid w:val="0"/>
              <w:jc w:val="left"/>
              <w:rPr>
                <w:rFonts w:ascii="Times New Roman" w:hAnsi="Times New Roman" w:eastAsia="仿宋_GB2312"/>
                <w:color w:val="000000"/>
                <w:szCs w:val="21"/>
              </w:rPr>
            </w:pPr>
            <w:r>
              <w:rPr>
                <w:rFonts w:ascii="Times New Roman" w:hAnsi="Times New Roman" w:eastAsia="仿宋_GB2312"/>
                <w:color w:val="000000"/>
                <w:szCs w:val="21"/>
              </w:rPr>
              <w:t>最近3年财务报告未被注册会计师出具非标准意见的审计报告，或者最近3年内财务报表曾被注册会计师出具保留意见但保留意见所涉及事项的重大影响已经消除</w:t>
            </w:r>
          </w:p>
        </w:tc>
        <w:tc>
          <w:tcPr>
            <w:tcW w:w="2436" w:type="dxa"/>
            <w:tcBorders>
              <w:top w:val="single" w:color="000000" w:sz="4" w:space="0"/>
              <w:left w:val="single" w:color="000000" w:sz="4" w:space="0"/>
              <w:bottom w:val="single" w:color="000000" w:sz="4" w:space="0"/>
              <w:right w:val="single" w:color="000000" w:sz="4" w:space="0"/>
            </w:tcBorders>
            <w:vAlign w:val="center"/>
          </w:tcPr>
          <w:p w14:paraId="4224AC72">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5F6F5FFE">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3773C40C">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039839B4">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4</w:t>
            </w:r>
          </w:p>
        </w:tc>
        <w:tc>
          <w:tcPr>
            <w:tcW w:w="4608" w:type="dxa"/>
            <w:tcBorders>
              <w:top w:val="single" w:color="000000" w:sz="4" w:space="0"/>
              <w:left w:val="single" w:color="000000" w:sz="4" w:space="0"/>
              <w:bottom w:val="single" w:color="000000" w:sz="4" w:space="0"/>
              <w:right w:val="single" w:color="000000" w:sz="4" w:space="0"/>
            </w:tcBorders>
            <w:vAlign w:val="center"/>
          </w:tcPr>
          <w:p w14:paraId="2329B06B">
            <w:pPr>
              <w:snapToGrid w:val="0"/>
              <w:jc w:val="left"/>
              <w:rPr>
                <w:rFonts w:ascii="Times New Roman" w:hAnsi="Times New Roman" w:eastAsia="仿宋_GB2312"/>
                <w:color w:val="000000"/>
                <w:szCs w:val="21"/>
              </w:rPr>
            </w:pPr>
            <w:r>
              <w:rPr>
                <w:rFonts w:ascii="Times New Roman" w:hAnsi="Times New Roman" w:eastAsia="仿宋_GB2312"/>
                <w:color w:val="000000"/>
                <w:szCs w:val="21"/>
              </w:rPr>
              <w:t>最近36个月内，资产支持证券项目发起人及其所属企业集团、实际控制人无债券、证券化产品或其他债务违约或者延迟支付本息的事实；项目发起人未受到债券或资产支持证券融资限制，且最近36个月内项目发起人未因债券业务或资产支持证券业务违规被实施行政处罚或者纪律处分</w:t>
            </w:r>
          </w:p>
        </w:tc>
        <w:tc>
          <w:tcPr>
            <w:tcW w:w="2436" w:type="dxa"/>
            <w:tcBorders>
              <w:top w:val="single" w:color="000000" w:sz="4" w:space="0"/>
              <w:left w:val="single" w:color="000000" w:sz="4" w:space="0"/>
              <w:bottom w:val="single" w:color="000000" w:sz="4" w:space="0"/>
              <w:right w:val="single" w:color="000000" w:sz="4" w:space="0"/>
            </w:tcBorders>
            <w:vAlign w:val="center"/>
          </w:tcPr>
          <w:p w14:paraId="390C50E3">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0646B015">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20B95DCD">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4A64AD51">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（三）存在以下情形之一：</w:t>
            </w:r>
          </w:p>
        </w:tc>
        <w:tc>
          <w:tcPr>
            <w:tcW w:w="2436" w:type="dxa"/>
            <w:tcBorders>
              <w:top w:val="single" w:color="000000" w:sz="4" w:space="0"/>
              <w:left w:val="single" w:color="000000" w:sz="4" w:space="0"/>
              <w:bottom w:val="single" w:color="000000" w:sz="4" w:space="0"/>
              <w:right w:val="single" w:color="000000" w:sz="4" w:space="0"/>
            </w:tcBorders>
            <w:vAlign w:val="center"/>
          </w:tcPr>
          <w:p w14:paraId="33638BB2">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421FADD4">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2467F6D1">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72EC3910">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608" w:type="dxa"/>
            <w:tcBorders>
              <w:top w:val="single" w:color="000000" w:sz="4" w:space="0"/>
              <w:left w:val="single" w:color="000000" w:sz="4" w:space="0"/>
              <w:bottom w:val="single" w:color="000000" w:sz="4" w:space="0"/>
              <w:right w:val="single" w:color="000000" w:sz="4" w:space="0"/>
            </w:tcBorders>
            <w:vAlign w:val="center"/>
          </w:tcPr>
          <w:p w14:paraId="785DBB9B">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公司股票为上证50指数成分股的上市公司</w:t>
            </w:r>
          </w:p>
        </w:tc>
        <w:tc>
          <w:tcPr>
            <w:tcW w:w="2436" w:type="dxa"/>
            <w:tcBorders>
              <w:top w:val="single" w:color="000000" w:sz="4" w:space="0"/>
              <w:left w:val="single" w:color="000000" w:sz="4" w:space="0"/>
              <w:bottom w:val="single" w:color="000000" w:sz="4" w:space="0"/>
              <w:right w:val="single" w:color="000000" w:sz="4" w:space="0"/>
            </w:tcBorders>
            <w:vAlign w:val="center"/>
          </w:tcPr>
          <w:p w14:paraId="265D3BC9">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09AC79E9">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4D863769">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2987BA77">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08" w:type="dxa"/>
            <w:tcBorders>
              <w:top w:val="single" w:color="000000" w:sz="4" w:space="0"/>
              <w:left w:val="single" w:color="000000" w:sz="4" w:space="0"/>
              <w:bottom w:val="single" w:color="000000" w:sz="4" w:space="0"/>
              <w:right w:val="single" w:color="000000" w:sz="4" w:space="0"/>
            </w:tcBorders>
            <w:vAlign w:val="center"/>
          </w:tcPr>
          <w:p w14:paraId="7CAAD09B">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在全球市场、在国家重点支持的行业领域等具有领先地位的企业</w:t>
            </w:r>
          </w:p>
        </w:tc>
        <w:tc>
          <w:tcPr>
            <w:tcW w:w="2436" w:type="dxa"/>
            <w:tcBorders>
              <w:top w:val="single" w:color="000000" w:sz="4" w:space="0"/>
              <w:left w:val="single" w:color="000000" w:sz="4" w:space="0"/>
              <w:bottom w:val="single" w:color="000000" w:sz="4" w:space="0"/>
              <w:right w:val="single" w:color="000000" w:sz="4" w:space="0"/>
            </w:tcBorders>
            <w:vAlign w:val="center"/>
          </w:tcPr>
          <w:p w14:paraId="70F79AEF">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4942C9B4">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2F5F3F10">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6134BB22">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08" w:type="dxa"/>
            <w:tcBorders>
              <w:top w:val="single" w:color="000000" w:sz="4" w:space="0"/>
              <w:left w:val="single" w:color="000000" w:sz="4" w:space="0"/>
              <w:bottom w:val="single" w:color="000000" w:sz="4" w:space="0"/>
              <w:right w:val="single" w:color="000000" w:sz="4" w:space="0"/>
            </w:tcBorders>
            <w:vAlign w:val="center"/>
          </w:tcPr>
          <w:p w14:paraId="640C5B34">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具有一定市场认可度、财务状况健康、盈利能力良好、违约风险较低，且属于国家政策和市场发展所支持行业</w:t>
            </w:r>
          </w:p>
        </w:tc>
        <w:tc>
          <w:tcPr>
            <w:tcW w:w="2436" w:type="dxa"/>
            <w:tcBorders>
              <w:top w:val="single" w:color="000000" w:sz="4" w:space="0"/>
              <w:left w:val="single" w:color="000000" w:sz="4" w:space="0"/>
              <w:bottom w:val="single" w:color="000000" w:sz="4" w:space="0"/>
              <w:right w:val="single" w:color="000000" w:sz="4" w:space="0"/>
            </w:tcBorders>
            <w:vAlign w:val="center"/>
          </w:tcPr>
          <w:p w14:paraId="318817A9">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55F2B744">
        <w:tblPrEx>
          <w:tblCellMar>
            <w:top w:w="0" w:type="dxa"/>
            <w:left w:w="108" w:type="dxa"/>
            <w:bottom w:w="0" w:type="dxa"/>
            <w:right w:w="108" w:type="dxa"/>
          </w:tblCellMar>
        </w:tblPrEx>
        <w:trPr>
          <w:cantSpli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5499E3A5">
            <w:pPr>
              <w:snapToGrid w:val="0"/>
              <w:jc w:val="left"/>
              <w:rPr>
                <w:rFonts w:ascii="Times New Roman" w:hAnsi="Times New Roman" w:eastAsia="仿宋_GB2312"/>
                <w:b/>
                <w:color w:val="000000"/>
                <w:szCs w:val="21"/>
              </w:rPr>
            </w:pPr>
            <w:r>
              <w:rPr>
                <w:rFonts w:ascii="Times New Roman" w:hAnsi="Times New Roman" w:eastAsia="仿宋_GB2312"/>
                <w:b/>
                <w:color w:val="000000"/>
                <w:szCs w:val="21"/>
              </w:rPr>
              <w:t>二、资产</w:t>
            </w:r>
          </w:p>
        </w:tc>
      </w:tr>
      <w:tr w14:paraId="3660355A">
        <w:tblPrEx>
          <w:tblCellMar>
            <w:top w:w="0" w:type="dxa"/>
            <w:left w:w="108" w:type="dxa"/>
            <w:bottom w:w="0" w:type="dxa"/>
            <w:right w:w="108" w:type="dxa"/>
          </w:tblCellMar>
        </w:tblPrEx>
        <w:trPr>
          <w:cantSplit/>
          <w:jc w:val="center"/>
        </w:trPr>
        <w:tc>
          <w:tcPr>
            <w:tcW w:w="533" w:type="dxa"/>
            <w:vMerge w:val="restart"/>
            <w:tcBorders>
              <w:top w:val="single" w:color="000000" w:sz="4" w:space="0"/>
              <w:left w:val="single" w:color="000000" w:sz="4" w:space="0"/>
              <w:bottom w:val="single" w:color="000000" w:sz="4" w:space="0"/>
              <w:right w:val="single" w:color="000000" w:sz="4" w:space="0"/>
            </w:tcBorders>
          </w:tcPr>
          <w:p w14:paraId="44F1C26E">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5EFB9070">
            <w:pPr>
              <w:snapToGrid w:val="0"/>
              <w:rPr>
                <w:rFonts w:ascii="Times New Roman" w:hAnsi="Times New Roman" w:eastAsia="仿宋_GB2312"/>
                <w:color w:val="000000"/>
                <w:szCs w:val="21"/>
              </w:rPr>
            </w:pPr>
            <w:r>
              <w:rPr>
                <w:rFonts w:ascii="Times New Roman" w:hAnsi="Times New Roman" w:eastAsia="仿宋_GB2312"/>
                <w:color w:val="000000"/>
                <w:szCs w:val="21"/>
              </w:rPr>
              <w:t>（一）基础资产、底层资产、现金流来源应当符合国家宏观调控政策和产业政策、业务运作模式成熟、资产运行风险控制指标良好</w:t>
            </w:r>
          </w:p>
        </w:tc>
        <w:tc>
          <w:tcPr>
            <w:tcW w:w="2436" w:type="dxa"/>
            <w:tcBorders>
              <w:top w:val="single" w:color="000000" w:sz="4" w:space="0"/>
              <w:left w:val="single" w:color="000000" w:sz="4" w:space="0"/>
              <w:bottom w:val="single" w:color="000000" w:sz="4" w:space="0"/>
              <w:right w:val="single" w:color="000000" w:sz="4" w:space="0"/>
            </w:tcBorders>
            <w:vAlign w:val="center"/>
          </w:tcPr>
          <w:p w14:paraId="00ECE08F">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2979B4B1">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138E1D48">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306C27C4">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（二）符合以下要求之一：</w:t>
            </w:r>
          </w:p>
        </w:tc>
        <w:tc>
          <w:tcPr>
            <w:tcW w:w="2436" w:type="dxa"/>
            <w:tcBorders>
              <w:top w:val="single" w:color="000000" w:sz="4" w:space="0"/>
              <w:left w:val="single" w:color="000000" w:sz="4" w:space="0"/>
              <w:bottom w:val="single" w:color="000000" w:sz="4" w:space="0"/>
              <w:right w:val="single" w:color="000000" w:sz="4" w:space="0"/>
            </w:tcBorders>
            <w:vAlign w:val="center"/>
          </w:tcPr>
          <w:p w14:paraId="58B9BCC9">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39CA1C81">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4EE6C0CD">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11A66E36">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608" w:type="dxa"/>
            <w:tcBorders>
              <w:top w:val="single" w:color="000000" w:sz="4" w:space="0"/>
              <w:left w:val="single" w:color="000000" w:sz="4" w:space="0"/>
              <w:bottom w:val="single" w:color="000000" w:sz="4" w:space="0"/>
              <w:right w:val="single" w:color="000000" w:sz="4" w:space="0"/>
            </w:tcBorders>
            <w:vAlign w:val="center"/>
          </w:tcPr>
          <w:p w14:paraId="699F955E">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基础资产分散度较高，单笔基础资产金额占当期资产支持证券资产池余额不超过0.1%</w:t>
            </w:r>
          </w:p>
        </w:tc>
        <w:tc>
          <w:tcPr>
            <w:tcW w:w="2436" w:type="dxa"/>
            <w:tcBorders>
              <w:top w:val="single" w:color="000000" w:sz="4" w:space="0"/>
              <w:left w:val="single" w:color="000000" w:sz="4" w:space="0"/>
              <w:bottom w:val="single" w:color="000000" w:sz="4" w:space="0"/>
              <w:right w:val="single" w:color="000000" w:sz="4" w:space="0"/>
            </w:tcBorders>
            <w:vAlign w:val="center"/>
          </w:tcPr>
          <w:p w14:paraId="1E9210A7">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057CE9FB">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78F92C0C">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003C76DC">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08" w:type="dxa"/>
            <w:tcBorders>
              <w:top w:val="single" w:color="000000" w:sz="4" w:space="0"/>
              <w:left w:val="single" w:color="000000" w:sz="4" w:space="0"/>
              <w:bottom w:val="single" w:color="000000" w:sz="4" w:space="0"/>
              <w:right w:val="single" w:color="000000" w:sz="4" w:space="0"/>
            </w:tcBorders>
            <w:vAlign w:val="center"/>
          </w:tcPr>
          <w:p w14:paraId="60B73D0E">
            <w:pPr>
              <w:snapToGrid w:val="0"/>
              <w:jc w:val="left"/>
              <w:rPr>
                <w:rFonts w:ascii="Times New Roman" w:hAnsi="Times New Roman" w:eastAsia="仿宋_GB2312"/>
                <w:color w:val="000000"/>
                <w:szCs w:val="21"/>
              </w:rPr>
            </w:pPr>
            <w:r>
              <w:rPr>
                <w:rFonts w:ascii="Times New Roman" w:hAnsi="Times New Roman" w:eastAsia="仿宋_GB2312"/>
                <w:color w:val="000000"/>
                <w:szCs w:val="21"/>
              </w:rPr>
              <w:t>本金余额最高的前五名现金流提供方集中度不超过50%且单一现金流提供方集中度不超过15%，或者资产池加权平均影子评级达AA+或以上</w:t>
            </w:r>
          </w:p>
        </w:tc>
        <w:tc>
          <w:tcPr>
            <w:tcW w:w="2436" w:type="dxa"/>
            <w:tcBorders>
              <w:top w:val="single" w:color="000000" w:sz="4" w:space="0"/>
              <w:left w:val="single" w:color="000000" w:sz="4" w:space="0"/>
              <w:bottom w:val="single" w:color="000000" w:sz="4" w:space="0"/>
              <w:right w:val="single" w:color="000000" w:sz="4" w:space="0"/>
            </w:tcBorders>
            <w:vAlign w:val="center"/>
          </w:tcPr>
          <w:p w14:paraId="0BF4FB8B">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355FAD91">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191A524A">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DE6720E">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08" w:type="dxa"/>
            <w:tcBorders>
              <w:top w:val="single" w:color="000000" w:sz="4" w:space="0"/>
              <w:left w:val="single" w:color="000000" w:sz="4" w:space="0"/>
              <w:bottom w:val="single" w:color="000000" w:sz="4" w:space="0"/>
              <w:right w:val="single" w:color="000000" w:sz="4" w:space="0"/>
            </w:tcBorders>
            <w:vAlign w:val="center"/>
          </w:tcPr>
          <w:p w14:paraId="318A116B">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不动产项目位于一线城市，业态为办公楼等易于处置类型，且不动产项目估值及现金流预测审慎、合理</w:t>
            </w:r>
          </w:p>
        </w:tc>
        <w:tc>
          <w:tcPr>
            <w:tcW w:w="2436" w:type="dxa"/>
            <w:tcBorders>
              <w:top w:val="single" w:color="000000" w:sz="4" w:space="0"/>
              <w:left w:val="single" w:color="000000" w:sz="4" w:space="0"/>
              <w:bottom w:val="single" w:color="000000" w:sz="4" w:space="0"/>
              <w:right w:val="single" w:color="000000" w:sz="4" w:space="0"/>
            </w:tcBorders>
            <w:vAlign w:val="center"/>
          </w:tcPr>
          <w:p w14:paraId="6ACCF417">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56245558">
        <w:tblPrEx>
          <w:tblCellMar>
            <w:top w:w="0" w:type="dxa"/>
            <w:left w:w="108" w:type="dxa"/>
            <w:bottom w:w="0" w:type="dxa"/>
            <w:right w:w="108" w:type="dxa"/>
          </w:tblCellMar>
        </w:tblPrEx>
        <w:trPr>
          <w:cantSplit/>
          <w:trHeight w:val="250" w:hRule="atLeas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1AFE26D7">
            <w:pPr>
              <w:snapToGrid w:val="0"/>
              <w:jc w:val="left"/>
              <w:rPr>
                <w:rFonts w:ascii="Times New Roman" w:hAnsi="Times New Roman" w:eastAsia="仿宋_GB2312"/>
                <w:b/>
                <w:color w:val="000000"/>
                <w:szCs w:val="21"/>
              </w:rPr>
            </w:pPr>
            <w:r>
              <w:rPr>
                <w:rFonts w:ascii="Times New Roman" w:hAnsi="Times New Roman" w:eastAsia="仿宋_GB2312"/>
                <w:b/>
                <w:color w:val="000000"/>
                <w:szCs w:val="21"/>
              </w:rPr>
              <w:t>三、计划管理人</w:t>
            </w:r>
          </w:p>
        </w:tc>
      </w:tr>
      <w:tr w14:paraId="32BFAB2C">
        <w:tblPrEx>
          <w:tblCellMar>
            <w:top w:w="0" w:type="dxa"/>
            <w:left w:w="108" w:type="dxa"/>
            <w:bottom w:w="0" w:type="dxa"/>
            <w:right w:w="108" w:type="dxa"/>
          </w:tblCellMar>
        </w:tblPrEx>
        <w:trPr>
          <w:cantSplit/>
          <w:jc w:val="center"/>
        </w:trPr>
        <w:tc>
          <w:tcPr>
            <w:tcW w:w="533" w:type="dxa"/>
            <w:tcBorders>
              <w:top w:val="single" w:color="000000" w:sz="4" w:space="0"/>
              <w:left w:val="single" w:color="000000" w:sz="4" w:space="0"/>
              <w:bottom w:val="single" w:color="000000" w:sz="4" w:space="0"/>
              <w:right w:val="single" w:color="000000" w:sz="4" w:space="0"/>
            </w:tcBorders>
          </w:tcPr>
          <w:p w14:paraId="3D7C7729">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5DE5476B">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不存在执业质量较差、风险项目集中度较高等负面情形</w:t>
            </w:r>
          </w:p>
        </w:tc>
        <w:tc>
          <w:tcPr>
            <w:tcW w:w="2436" w:type="dxa"/>
            <w:tcBorders>
              <w:top w:val="single" w:color="000000" w:sz="4" w:space="0"/>
              <w:left w:val="single" w:color="000000" w:sz="4" w:space="0"/>
              <w:bottom w:val="single" w:color="000000" w:sz="4" w:space="0"/>
              <w:right w:val="single" w:color="000000" w:sz="4" w:space="0"/>
            </w:tcBorders>
            <w:vAlign w:val="center"/>
          </w:tcPr>
          <w:p w14:paraId="75416D2C">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具体情况（管理人和项目负责人负责的资产支持证券项目风险情况等）</w:t>
            </w:r>
          </w:p>
        </w:tc>
      </w:tr>
      <w:tr w14:paraId="59835F42">
        <w:tblPrEx>
          <w:tblCellMar>
            <w:top w:w="0" w:type="dxa"/>
            <w:left w:w="108" w:type="dxa"/>
            <w:bottom w:w="0" w:type="dxa"/>
            <w:right w:w="108" w:type="dxa"/>
          </w:tblCellMar>
        </w:tblPrEx>
        <w:trPr>
          <w:cantSpli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2C27FBC9">
            <w:pPr>
              <w:snapToGrid w:val="0"/>
              <w:jc w:val="center"/>
              <w:rPr>
                <w:rFonts w:ascii="Times New Roman" w:hAnsi="Times New Roman" w:eastAsia="仿宋_GB2312"/>
                <w:b/>
                <w:color w:val="000000"/>
                <w:szCs w:val="21"/>
              </w:rPr>
            </w:pPr>
            <w:r>
              <w:rPr>
                <w:rFonts w:ascii="Times New Roman" w:hAnsi="Times New Roman" w:eastAsia="仿宋_GB2312"/>
                <w:b/>
                <w:color w:val="000000"/>
                <w:szCs w:val="21"/>
              </w:rPr>
              <w:t>重点审核</w:t>
            </w:r>
          </w:p>
        </w:tc>
      </w:tr>
      <w:tr w14:paraId="249D6948">
        <w:tblPrEx>
          <w:tblCellMar>
            <w:top w:w="0" w:type="dxa"/>
            <w:left w:w="108" w:type="dxa"/>
            <w:bottom w:w="0" w:type="dxa"/>
            <w:right w:w="108" w:type="dxa"/>
          </w:tblCellMar>
        </w:tblPrEx>
        <w:trPr>
          <w:cantSpli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6343886A">
            <w:pPr>
              <w:snapToGrid w:val="0"/>
              <w:rPr>
                <w:rFonts w:ascii="Times New Roman" w:hAnsi="Times New Roman" w:eastAsia="仿宋_GB2312"/>
                <w:b/>
                <w:color w:val="000000"/>
                <w:szCs w:val="21"/>
              </w:rPr>
            </w:pPr>
            <w:r>
              <w:rPr>
                <w:rFonts w:ascii="Times New Roman" w:hAnsi="Times New Roman" w:eastAsia="仿宋_GB2312"/>
                <w:b/>
                <w:color w:val="000000"/>
                <w:szCs w:val="21"/>
              </w:rPr>
              <w:t>一、发起人</w:t>
            </w:r>
          </w:p>
        </w:tc>
      </w:tr>
      <w:tr w14:paraId="36D6CAD3">
        <w:tblPrEx>
          <w:tblCellMar>
            <w:top w:w="0" w:type="dxa"/>
            <w:left w:w="108" w:type="dxa"/>
            <w:bottom w:w="0" w:type="dxa"/>
            <w:right w:w="108" w:type="dxa"/>
          </w:tblCellMar>
        </w:tblPrEx>
        <w:trPr>
          <w:cantSplit/>
          <w:jc w:val="center"/>
        </w:trPr>
        <w:tc>
          <w:tcPr>
            <w:tcW w:w="533" w:type="dxa"/>
            <w:vMerge w:val="restart"/>
            <w:tcBorders>
              <w:top w:val="single" w:color="000000" w:sz="4" w:space="0"/>
              <w:left w:val="single" w:color="000000" w:sz="4" w:space="0"/>
              <w:bottom w:val="single" w:color="000000" w:sz="4" w:space="0"/>
              <w:right w:val="single" w:color="000000" w:sz="4" w:space="0"/>
            </w:tcBorders>
          </w:tcPr>
          <w:p w14:paraId="67CEB725">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54260220">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存在以下情形之一：</w:t>
            </w:r>
          </w:p>
        </w:tc>
        <w:tc>
          <w:tcPr>
            <w:tcW w:w="2436" w:type="dxa"/>
            <w:tcBorders>
              <w:top w:val="single" w:color="000000" w:sz="4" w:space="0"/>
              <w:left w:val="single" w:color="000000" w:sz="4" w:space="0"/>
              <w:bottom w:val="single" w:color="000000" w:sz="4" w:space="0"/>
              <w:right w:val="single" w:color="000000" w:sz="4" w:space="0"/>
            </w:tcBorders>
            <w:vAlign w:val="center"/>
          </w:tcPr>
          <w:p w14:paraId="437ED642">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7247D658">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39854679">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2BC100FF">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608" w:type="dxa"/>
            <w:tcBorders>
              <w:top w:val="single" w:color="000000" w:sz="4" w:space="0"/>
              <w:left w:val="single" w:color="000000" w:sz="4" w:space="0"/>
              <w:bottom w:val="single" w:color="000000" w:sz="4" w:space="0"/>
              <w:right w:val="single" w:color="000000" w:sz="4" w:space="0"/>
            </w:tcBorders>
            <w:vAlign w:val="center"/>
          </w:tcPr>
          <w:p w14:paraId="0F7E1B65">
            <w:pPr>
              <w:snapToGrid w:val="0"/>
              <w:jc w:val="left"/>
              <w:rPr>
                <w:rFonts w:ascii="Times New Roman" w:hAnsi="Times New Roman" w:eastAsia="仿宋_GB2312"/>
                <w:color w:val="000000"/>
                <w:szCs w:val="21"/>
              </w:rPr>
            </w:pPr>
            <w:r>
              <w:rPr>
                <w:rFonts w:ascii="Times New Roman" w:hAnsi="Times New Roman" w:eastAsia="仿宋_GB2312"/>
                <w:color w:val="000000"/>
                <w:szCs w:val="21"/>
              </w:rPr>
              <w:t>项目发起人所在区域、所处行业已发生可能影响其偿付与融资能力的重大不利变化，或最近12个月内项目发起人或其所属企业集团内的公司存在债务违约或展期，或最近6个月内项目发起人及其所属企业集团、实际控制人存在重大负面舆情</w:t>
            </w:r>
          </w:p>
        </w:tc>
        <w:tc>
          <w:tcPr>
            <w:tcW w:w="2436" w:type="dxa"/>
            <w:tcBorders>
              <w:top w:val="single" w:color="000000" w:sz="4" w:space="0"/>
              <w:left w:val="single" w:color="000000" w:sz="4" w:space="0"/>
              <w:bottom w:val="single" w:color="000000" w:sz="4" w:space="0"/>
              <w:right w:val="single" w:color="000000" w:sz="4" w:space="0"/>
            </w:tcBorders>
            <w:vAlign w:val="center"/>
          </w:tcPr>
          <w:p w14:paraId="26C5C157">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3A903258">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2DD52DA5">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39E59C34">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08" w:type="dxa"/>
            <w:tcBorders>
              <w:top w:val="single" w:color="000000" w:sz="4" w:space="0"/>
              <w:left w:val="single" w:color="000000" w:sz="4" w:space="0"/>
              <w:bottom w:val="single" w:color="000000" w:sz="4" w:space="0"/>
              <w:right w:val="single" w:color="000000" w:sz="4" w:space="0"/>
            </w:tcBorders>
            <w:vAlign w:val="center"/>
          </w:tcPr>
          <w:p w14:paraId="2032A889">
            <w:pPr>
              <w:snapToGrid w:val="0"/>
              <w:jc w:val="left"/>
              <w:rPr>
                <w:rFonts w:ascii="Times New Roman" w:hAnsi="Times New Roman" w:eastAsia="仿宋_GB2312"/>
                <w:color w:val="000000"/>
                <w:szCs w:val="21"/>
              </w:rPr>
            </w:pPr>
            <w:r>
              <w:rPr>
                <w:rFonts w:ascii="Times New Roman" w:hAnsi="Times New Roman" w:eastAsia="仿宋_GB2312"/>
                <w:color w:val="000000"/>
                <w:szCs w:val="21"/>
              </w:rPr>
              <w:t>项目发起人或其所属企业集团合并范围内存续的本所公司债券余额，及上述主体作为项目发起人在本所发行的资产支持证券余额（包括本次申报金额，下同）合计超过200亿元，或存在明显债务集中兑付压力，项目发起人符合《分类指引》第五条的除外</w:t>
            </w:r>
          </w:p>
        </w:tc>
        <w:tc>
          <w:tcPr>
            <w:tcW w:w="2436" w:type="dxa"/>
            <w:tcBorders>
              <w:top w:val="single" w:color="000000" w:sz="4" w:space="0"/>
              <w:left w:val="single" w:color="000000" w:sz="4" w:space="0"/>
              <w:bottom w:val="single" w:color="000000" w:sz="4" w:space="0"/>
              <w:right w:val="single" w:color="000000" w:sz="4" w:space="0"/>
            </w:tcBorders>
            <w:vAlign w:val="center"/>
          </w:tcPr>
          <w:p w14:paraId="3416E003">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2D516D7D">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377B05B8">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476E6902">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08" w:type="dxa"/>
            <w:tcBorders>
              <w:top w:val="single" w:color="000000" w:sz="4" w:space="0"/>
              <w:left w:val="single" w:color="000000" w:sz="4" w:space="0"/>
              <w:bottom w:val="single" w:color="000000" w:sz="4" w:space="0"/>
              <w:right w:val="single" w:color="000000" w:sz="4" w:space="0"/>
            </w:tcBorders>
            <w:vAlign w:val="center"/>
          </w:tcPr>
          <w:p w14:paraId="1239BB6B">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其他可能体现或造成项目发起人资信情况、偿付能力负面变化、资产支持证券挂牌条件重大不利变化的事项</w:t>
            </w:r>
          </w:p>
        </w:tc>
        <w:tc>
          <w:tcPr>
            <w:tcW w:w="2436" w:type="dxa"/>
            <w:tcBorders>
              <w:top w:val="single" w:color="000000" w:sz="4" w:space="0"/>
              <w:left w:val="single" w:color="000000" w:sz="4" w:space="0"/>
              <w:bottom w:val="single" w:color="000000" w:sz="4" w:space="0"/>
              <w:right w:val="single" w:color="000000" w:sz="4" w:space="0"/>
            </w:tcBorders>
            <w:vAlign w:val="center"/>
          </w:tcPr>
          <w:p w14:paraId="0A52554C">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602FBAF3">
        <w:tblPrEx>
          <w:tblCellMar>
            <w:top w:w="0" w:type="dxa"/>
            <w:left w:w="108" w:type="dxa"/>
            <w:bottom w:w="0" w:type="dxa"/>
            <w:right w:w="108" w:type="dxa"/>
          </w:tblCellMar>
        </w:tblPrEx>
        <w:trPr>
          <w:cantSplit/>
          <w:jc w:val="center"/>
        </w:trPr>
        <w:tc>
          <w:tcPr>
            <w:tcW w:w="8305" w:type="dxa"/>
            <w:gridSpan w:val="4"/>
            <w:tcBorders>
              <w:top w:val="single" w:color="000000" w:sz="4" w:space="0"/>
              <w:left w:val="single" w:color="000000" w:sz="4" w:space="0"/>
              <w:bottom w:val="single" w:color="000000" w:sz="4" w:space="0"/>
              <w:right w:val="single" w:color="000000" w:sz="4" w:space="0"/>
            </w:tcBorders>
          </w:tcPr>
          <w:p w14:paraId="73F0E12B">
            <w:pPr>
              <w:snapToGrid w:val="0"/>
              <w:rPr>
                <w:rFonts w:ascii="Times New Roman" w:hAnsi="Times New Roman" w:eastAsia="仿宋_GB2312"/>
                <w:b/>
                <w:color w:val="000000"/>
                <w:szCs w:val="21"/>
              </w:rPr>
            </w:pPr>
            <w:r>
              <w:rPr>
                <w:rFonts w:ascii="Times New Roman" w:hAnsi="Times New Roman" w:eastAsia="仿宋_GB2312"/>
                <w:b/>
                <w:color w:val="000000"/>
                <w:szCs w:val="21"/>
              </w:rPr>
              <w:t>二、资产</w:t>
            </w:r>
          </w:p>
        </w:tc>
      </w:tr>
      <w:tr w14:paraId="70C537BE">
        <w:tblPrEx>
          <w:tblCellMar>
            <w:top w:w="0" w:type="dxa"/>
            <w:left w:w="108" w:type="dxa"/>
            <w:bottom w:w="0" w:type="dxa"/>
            <w:right w:w="108" w:type="dxa"/>
          </w:tblCellMar>
        </w:tblPrEx>
        <w:trPr>
          <w:cantSplit/>
          <w:jc w:val="center"/>
        </w:trPr>
        <w:tc>
          <w:tcPr>
            <w:tcW w:w="533" w:type="dxa"/>
            <w:vMerge w:val="restart"/>
            <w:tcBorders>
              <w:top w:val="single" w:color="000000" w:sz="4" w:space="0"/>
              <w:left w:val="single" w:color="000000" w:sz="4" w:space="0"/>
              <w:bottom w:val="single" w:color="000000" w:sz="4" w:space="0"/>
              <w:right w:val="single" w:color="000000" w:sz="4" w:space="0"/>
            </w:tcBorders>
          </w:tcPr>
          <w:p w14:paraId="69AB1F74">
            <w:pPr>
              <w:snapToGrid w:val="0"/>
              <w:rPr>
                <w:rFonts w:ascii="Times New Roman" w:hAnsi="Times New Roman" w:eastAsia="仿宋_GB2312"/>
                <w:color w:val="000000"/>
                <w:szCs w:val="21"/>
              </w:rPr>
            </w:pPr>
          </w:p>
        </w:tc>
        <w:tc>
          <w:tcPr>
            <w:tcW w:w="5336" w:type="dxa"/>
            <w:gridSpan w:val="2"/>
            <w:tcBorders>
              <w:top w:val="single" w:color="000000" w:sz="4" w:space="0"/>
              <w:left w:val="single" w:color="000000" w:sz="4" w:space="0"/>
              <w:bottom w:val="single" w:color="000000" w:sz="4" w:space="0"/>
              <w:right w:val="single" w:color="000000" w:sz="4" w:space="0"/>
            </w:tcBorders>
            <w:vAlign w:val="center"/>
          </w:tcPr>
          <w:p w14:paraId="7EC44A0C">
            <w:pPr>
              <w:snapToGrid w:val="0"/>
              <w:jc w:val="left"/>
              <w:rPr>
                <w:rFonts w:ascii="Times New Roman" w:hAnsi="Times New Roman" w:eastAsia="仿宋_GB2312"/>
                <w:color w:val="000000"/>
                <w:szCs w:val="21"/>
              </w:rPr>
            </w:pPr>
            <w:r>
              <w:rPr>
                <w:rFonts w:ascii="Times New Roman" w:hAnsi="Times New Roman" w:eastAsia="仿宋_GB2312"/>
                <w:color w:val="000000"/>
                <w:szCs w:val="21"/>
              </w:rPr>
              <w:t>基础资产、底层资产、现金流来源存在下列情形之一：</w:t>
            </w:r>
          </w:p>
        </w:tc>
        <w:tc>
          <w:tcPr>
            <w:tcW w:w="2436" w:type="dxa"/>
            <w:tcBorders>
              <w:top w:val="single" w:color="000000" w:sz="4" w:space="0"/>
              <w:left w:val="single" w:color="000000" w:sz="4" w:space="0"/>
              <w:bottom w:val="single" w:color="000000" w:sz="4" w:space="0"/>
              <w:right w:val="single" w:color="000000" w:sz="4" w:space="0"/>
            </w:tcBorders>
            <w:vAlign w:val="center"/>
          </w:tcPr>
          <w:p w14:paraId="0F60C68B">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是/否</w:t>
            </w:r>
          </w:p>
        </w:tc>
      </w:tr>
      <w:tr w14:paraId="17CB218C">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03B044F4">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79CD5FD4">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4608" w:type="dxa"/>
            <w:tcBorders>
              <w:top w:val="single" w:color="000000" w:sz="4" w:space="0"/>
              <w:left w:val="single" w:color="000000" w:sz="4" w:space="0"/>
              <w:bottom w:val="single" w:color="000000" w:sz="4" w:space="0"/>
              <w:right w:val="single" w:color="000000" w:sz="4" w:space="0"/>
            </w:tcBorders>
            <w:vAlign w:val="center"/>
          </w:tcPr>
          <w:p w14:paraId="7B15D716">
            <w:pPr>
              <w:snapToGrid w:val="0"/>
              <w:jc w:val="left"/>
              <w:rPr>
                <w:rFonts w:ascii="Times New Roman" w:hAnsi="Times New Roman" w:eastAsia="仿宋_GB2312"/>
                <w:color w:val="000000"/>
                <w:szCs w:val="21"/>
              </w:rPr>
            </w:pPr>
            <w:r>
              <w:rPr>
                <w:rFonts w:ascii="Times New Roman" w:hAnsi="Times New Roman" w:eastAsia="仿宋_GB2312"/>
                <w:color w:val="000000"/>
                <w:szCs w:val="21"/>
              </w:rPr>
              <w:t>报告期内资产静态逾期率、静态违约率等指标大幅上升，或者单个现金流提供方集中度超过30%且该现金流提供方存在《分类指引》第十五条相关情形</w:t>
            </w:r>
          </w:p>
        </w:tc>
        <w:tc>
          <w:tcPr>
            <w:tcW w:w="2436" w:type="dxa"/>
            <w:tcBorders>
              <w:top w:val="single" w:color="000000" w:sz="4" w:space="0"/>
              <w:left w:val="single" w:color="000000" w:sz="4" w:space="0"/>
              <w:bottom w:val="single" w:color="000000" w:sz="4" w:space="0"/>
              <w:right w:val="single" w:color="000000" w:sz="4" w:space="0"/>
            </w:tcBorders>
            <w:vAlign w:val="center"/>
          </w:tcPr>
          <w:p w14:paraId="2A5B72FA">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5FE54EB5">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10182DC7">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1018DCD8">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4608" w:type="dxa"/>
            <w:tcBorders>
              <w:top w:val="single" w:color="000000" w:sz="4" w:space="0"/>
              <w:left w:val="single" w:color="000000" w:sz="4" w:space="0"/>
              <w:bottom w:val="single" w:color="000000" w:sz="4" w:space="0"/>
              <w:right w:val="single" w:color="000000" w:sz="4" w:space="0"/>
            </w:tcBorders>
            <w:vAlign w:val="center"/>
          </w:tcPr>
          <w:p w14:paraId="263FFE67">
            <w:pPr>
              <w:snapToGrid w:val="0"/>
              <w:jc w:val="left"/>
              <w:rPr>
                <w:rFonts w:ascii="Times New Roman" w:hAnsi="Times New Roman" w:eastAsia="仿宋_GB2312"/>
                <w:color w:val="000000"/>
                <w:szCs w:val="21"/>
              </w:rPr>
            </w:pPr>
            <w:r>
              <w:rPr>
                <w:rFonts w:ascii="Times New Roman" w:hAnsi="Times New Roman" w:eastAsia="仿宋_GB2312"/>
                <w:color w:val="000000"/>
                <w:szCs w:val="21"/>
              </w:rPr>
              <w:t>相关资产存在权利限制或未向专项计划抵押；或者专项计划设置回售、赎回或开放退出（如有）安排且上述安排的偿付主体资信状况较弱</w:t>
            </w:r>
          </w:p>
        </w:tc>
        <w:tc>
          <w:tcPr>
            <w:tcW w:w="2436" w:type="dxa"/>
            <w:tcBorders>
              <w:top w:val="single" w:color="000000" w:sz="4" w:space="0"/>
              <w:left w:val="single" w:color="000000" w:sz="4" w:space="0"/>
              <w:bottom w:val="single" w:color="000000" w:sz="4" w:space="0"/>
              <w:right w:val="single" w:color="000000" w:sz="4" w:space="0"/>
            </w:tcBorders>
            <w:vAlign w:val="center"/>
          </w:tcPr>
          <w:p w14:paraId="375DDFFF">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r w14:paraId="4F237B74">
        <w:tblPrEx>
          <w:tblCellMar>
            <w:top w:w="0" w:type="dxa"/>
            <w:left w:w="108" w:type="dxa"/>
            <w:bottom w:w="0" w:type="dxa"/>
            <w:right w:w="108" w:type="dxa"/>
          </w:tblCellMar>
        </w:tblPrEx>
        <w:trPr>
          <w:cantSplit/>
          <w:jc w:val="center"/>
        </w:trPr>
        <w:tc>
          <w:tcPr>
            <w:tcW w:w="533" w:type="dxa"/>
            <w:vMerge w:val="continue"/>
            <w:tcBorders>
              <w:top w:val="single" w:color="000000" w:sz="4" w:space="0"/>
              <w:left w:val="single" w:color="000000" w:sz="4" w:space="0"/>
              <w:bottom w:val="single" w:color="000000" w:sz="4" w:space="0"/>
              <w:right w:val="single" w:color="000000" w:sz="4" w:space="0"/>
            </w:tcBorders>
          </w:tcPr>
          <w:p w14:paraId="68E7184F">
            <w:pPr>
              <w:snapToGrid w:val="0"/>
              <w:rPr>
                <w:rFonts w:ascii="Times New Roman" w:hAnsi="Times New Roman" w:eastAsia="仿宋_GB2312"/>
                <w:color w:val="000000"/>
                <w:szCs w:val="21"/>
              </w:rPr>
            </w:pPr>
          </w:p>
        </w:tc>
        <w:tc>
          <w:tcPr>
            <w:tcW w:w="728" w:type="dxa"/>
            <w:tcBorders>
              <w:top w:val="single" w:color="000000" w:sz="4" w:space="0"/>
              <w:left w:val="single" w:color="000000" w:sz="4" w:space="0"/>
              <w:bottom w:val="single" w:color="000000" w:sz="4" w:space="0"/>
              <w:right w:val="single" w:color="000000" w:sz="4" w:space="0"/>
            </w:tcBorders>
            <w:vAlign w:val="center"/>
          </w:tcPr>
          <w:p w14:paraId="41BFB18C">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4608" w:type="dxa"/>
            <w:tcBorders>
              <w:top w:val="single" w:color="000000" w:sz="4" w:space="0"/>
              <w:left w:val="single" w:color="000000" w:sz="4" w:space="0"/>
              <w:bottom w:val="single" w:color="000000" w:sz="4" w:space="0"/>
              <w:right w:val="single" w:color="000000" w:sz="4" w:space="0"/>
            </w:tcBorders>
            <w:vAlign w:val="center"/>
          </w:tcPr>
          <w:p w14:paraId="3B28D132">
            <w:pPr>
              <w:snapToGrid w:val="0"/>
              <w:jc w:val="left"/>
              <w:rPr>
                <w:rFonts w:ascii="Times New Roman" w:hAnsi="Times New Roman" w:eastAsia="仿宋_GB2312"/>
                <w:color w:val="000000"/>
                <w:szCs w:val="21"/>
              </w:rPr>
            </w:pPr>
            <w:r>
              <w:rPr>
                <w:rFonts w:ascii="Times New Roman" w:hAnsi="Times New Roman" w:eastAsia="仿宋_GB2312"/>
                <w:color w:val="000000"/>
                <w:szCs w:val="21"/>
              </w:rPr>
              <w:t>不动产项目所在区域最近一年内相同业态的物业未发生过大宗交易，缺乏有效的市场交易价格，或者不动产项目三年内曾进行融资且本次融资规模较前次融资初始规模高20%或以上，或者报告期内不动产项目现金流下滑或与预测值（如有）偏差超过30%</w:t>
            </w:r>
          </w:p>
        </w:tc>
        <w:tc>
          <w:tcPr>
            <w:tcW w:w="2436" w:type="dxa"/>
            <w:tcBorders>
              <w:top w:val="single" w:color="000000" w:sz="4" w:space="0"/>
              <w:left w:val="single" w:color="000000" w:sz="4" w:space="0"/>
              <w:bottom w:val="single" w:color="000000" w:sz="4" w:space="0"/>
              <w:right w:val="single" w:color="000000" w:sz="4" w:space="0"/>
            </w:tcBorders>
            <w:vAlign w:val="center"/>
          </w:tcPr>
          <w:p w14:paraId="1C621CF7">
            <w:pPr>
              <w:snapToGrid w:val="0"/>
              <w:jc w:val="center"/>
              <w:rPr>
                <w:rFonts w:ascii="Times New Roman" w:hAnsi="Times New Roman" w:eastAsia="仿宋_GB2312"/>
                <w:color w:val="000000"/>
                <w:szCs w:val="21"/>
              </w:rPr>
            </w:pPr>
            <w:r>
              <w:rPr>
                <w:rFonts w:ascii="Times New Roman" w:hAnsi="Times New Roman" w:eastAsia="仿宋_GB2312"/>
                <w:color w:val="000000"/>
                <w:szCs w:val="21"/>
              </w:rPr>
              <w:t>具体情况</w:t>
            </w:r>
          </w:p>
        </w:tc>
      </w:tr>
    </w:tbl>
    <w:p w14:paraId="7A5B346F">
      <w:pPr>
        <w:pStyle w:val="2"/>
        <w:rPr>
          <w:rFonts w:ascii="Times New Roman" w:hAnsi="Times New Roman"/>
        </w:rPr>
      </w:pPr>
    </w:p>
    <w:p w14:paraId="4A07AFDA">
      <w:pPr>
        <w:pStyle w:val="2"/>
        <w:rPr>
          <w:rFonts w:ascii="Times New Roman" w:hAnsi="Times New Roman"/>
        </w:rPr>
      </w:pPr>
    </w:p>
    <w:p w14:paraId="1FB39C97">
      <w:pPr>
        <w:spacing w:line="560" w:lineRule="exact"/>
        <w:ind w:firstLine="420"/>
        <w:jc w:val="right"/>
        <w:rPr>
          <w:rFonts w:ascii="Times New Roman" w:hAnsi="Times New Roman" w:eastAsia="仿宋_GB2312"/>
          <w:sz w:val="30"/>
          <w:szCs w:val="30"/>
        </w:rPr>
      </w:pPr>
      <w:r>
        <w:rPr>
          <w:rFonts w:ascii="Times New Roman" w:hAnsi="Times New Roman" w:eastAsia="仿宋_GB2312"/>
          <w:sz w:val="30"/>
          <w:szCs w:val="30"/>
        </w:rPr>
        <w:t>计划管理人（公章）</w:t>
      </w:r>
    </w:p>
    <w:p w14:paraId="3C633547">
      <w:pPr>
        <w:spacing w:line="560" w:lineRule="exact"/>
        <w:ind w:firstLine="420"/>
        <w:jc w:val="right"/>
        <w:rPr>
          <w:rFonts w:ascii="Times New Roman" w:hAnsi="Times New Roman" w:eastAsia="仿宋_GB2312"/>
          <w:sz w:val="30"/>
          <w:szCs w:val="30"/>
        </w:rPr>
      </w:pPr>
    </w:p>
    <w:p w14:paraId="49188FCA">
      <w:pPr>
        <w:widowControl/>
        <w:jc w:val="right"/>
        <w:rPr>
          <w:rStyle w:val="38"/>
          <w:rFonts w:ascii="Times New Roman" w:hAnsi="Times New Roman" w:eastAsia="仿宋_GB2312"/>
          <w:b/>
          <w:bCs/>
          <w:i w:val="0"/>
          <w:kern w:val="2"/>
          <w:sz w:val="32"/>
          <w:szCs w:val="32"/>
          <w:lang w:bidi="en-US"/>
        </w:rPr>
      </w:pPr>
      <w:r>
        <w:rPr>
          <w:rFonts w:ascii="Times New Roman" w:hAnsi="Times New Roman" w:eastAsia="仿宋_GB2312"/>
          <w:kern w:val="0"/>
          <w:sz w:val="30"/>
          <w:szCs w:val="30"/>
          <w:lang w:bidi="en-US"/>
        </w:rPr>
        <w:t>XX年XX月XX日</w:t>
      </w:r>
    </w:p>
    <w:p w14:paraId="79B8FA22">
      <w:pPr>
        <w:widowControl/>
        <w:jc w:val="left"/>
        <w:rPr>
          <w:rStyle w:val="38"/>
          <w:rFonts w:ascii="Times New Roman" w:hAnsi="Times New Roman" w:eastAsia="仿宋_GB2312"/>
          <w:b/>
          <w:bCs/>
          <w:i w:val="0"/>
          <w:kern w:val="2"/>
          <w:sz w:val="32"/>
          <w:szCs w:val="32"/>
          <w:lang w:bidi="en-US"/>
        </w:rPr>
      </w:pPr>
      <w:r>
        <w:br w:type="page"/>
      </w:r>
    </w:p>
    <w:p w14:paraId="70CA3231">
      <w:pPr>
        <w:pStyle w:val="4"/>
        <w:spacing w:before="0" w:after="330"/>
        <w:jc w:val="left"/>
        <w:rPr>
          <w:rStyle w:val="38"/>
          <w:rFonts w:ascii="Times New Roman" w:hAnsi="Times New Roman"/>
          <w:i w:val="0"/>
          <w:sz w:val="32"/>
          <w:szCs w:val="32"/>
          <w:shd w:val="clear" w:fill="auto"/>
          <w:lang w:bidi="en-US"/>
        </w:rPr>
      </w:pPr>
      <w:r>
        <w:rPr>
          <w:rStyle w:val="38"/>
          <w:rFonts w:ascii="Times New Roman" w:hAnsi="Times New Roman"/>
          <w:i w:val="0"/>
          <w:sz w:val="32"/>
          <w:szCs w:val="32"/>
          <w:shd w:val="clear" w:fill="auto"/>
          <w:lang w:bidi="en-US"/>
        </w:rPr>
        <w:t>附件3：《</w:t>
      </w:r>
      <w:r>
        <w:rPr>
          <w:rFonts w:ascii="Times New Roman" w:hAnsi="Times New Roman"/>
          <w:szCs w:val="30"/>
          <w:shd w:val="clear" w:fill="auto"/>
        </w:rPr>
        <w:t>管理人的合规审查意见</w:t>
      </w:r>
      <w:r>
        <w:rPr>
          <w:rStyle w:val="38"/>
          <w:rFonts w:ascii="Times New Roman" w:hAnsi="Times New Roman"/>
          <w:i w:val="0"/>
          <w:sz w:val="32"/>
          <w:szCs w:val="32"/>
          <w:shd w:val="clear" w:fill="auto"/>
          <w:lang w:bidi="en-US"/>
        </w:rPr>
        <w:t>》参考格式</w:t>
      </w:r>
      <w:bookmarkEnd w:id="58"/>
    </w:p>
    <w:p w14:paraId="285410E2">
      <w:p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管理人的合规审查意见</w:t>
      </w:r>
    </w:p>
    <w:p w14:paraId="067BEEDD">
      <w:pPr>
        <w:spacing w:before="156" w:after="156" w:line="360" w:lineRule="auto"/>
        <w:ind w:firstLine="600"/>
        <w:rPr>
          <w:rFonts w:ascii="Times New Roman" w:hAnsi="Times New Roman" w:eastAsia="仿宋_GB2312"/>
          <w:sz w:val="30"/>
          <w:szCs w:val="30"/>
        </w:rPr>
      </w:pPr>
      <w:r>
        <w:rPr>
          <w:rFonts w:ascii="Times New Roman" w:hAnsi="Times New Roman" w:eastAsia="仿宋_GB2312"/>
          <w:sz w:val="30"/>
          <w:szCs w:val="30"/>
        </w:rPr>
        <w:t>×××公司（管理人）作为专项计划管理人设立“×××资产支持专项计划”，以×××为原始权益人，×××作为资产服务机构，×××作为托管人，×××作为监管银行，×××作为评级机构，×××作为律师事务所，×××作为会计师事务所。×××公司（管理人）依据《…》等（法律、法规名称），对业务的可行性和合规性作出评估，出具合规意见如下：</w:t>
      </w:r>
    </w:p>
    <w:p w14:paraId="32446364">
      <w:pPr>
        <w:spacing w:before="156" w:after="156" w:line="360" w:lineRule="auto"/>
        <w:ind w:firstLine="600"/>
        <w:rPr>
          <w:rFonts w:ascii="Times New Roman" w:hAnsi="Times New Roman" w:eastAsia="仿宋_GB2312"/>
          <w:sz w:val="30"/>
          <w:szCs w:val="30"/>
        </w:rPr>
      </w:pPr>
      <w:r>
        <w:rPr>
          <w:rFonts w:ascii="Times New Roman" w:hAnsi="Times New Roman" w:eastAsia="仿宋_GB2312"/>
          <w:sz w:val="30"/>
          <w:szCs w:val="30"/>
        </w:rPr>
        <w:t>一、关于×××公司是否符合资产支持专项计划管理人条件依据《证券公司及基金管理公司子公司资产证券化业务管理规定》进行逐条说明。</w:t>
      </w:r>
    </w:p>
    <w:p w14:paraId="3440852C">
      <w:pPr>
        <w:spacing w:before="156" w:after="156" w:line="360" w:lineRule="auto"/>
        <w:ind w:firstLine="600"/>
        <w:rPr>
          <w:rFonts w:ascii="Times New Roman" w:hAnsi="Times New Roman" w:eastAsia="仿宋_GB2312"/>
          <w:sz w:val="30"/>
          <w:szCs w:val="30"/>
        </w:rPr>
      </w:pPr>
      <w:r>
        <w:rPr>
          <w:rFonts w:ascii="Times New Roman" w:hAnsi="Times New Roman" w:eastAsia="仿宋_GB2312"/>
          <w:sz w:val="30"/>
          <w:szCs w:val="30"/>
        </w:rPr>
        <w:t>二、关于×××公司是否履行了内部程序，包括内部授权程序、风控部门程序和相应内核程序。</w:t>
      </w:r>
    </w:p>
    <w:p w14:paraId="35232973">
      <w:pPr>
        <w:spacing w:before="156" w:after="156" w:line="360" w:lineRule="auto"/>
        <w:ind w:firstLine="600"/>
        <w:rPr>
          <w:rFonts w:ascii="Times New Roman" w:hAnsi="Times New Roman" w:eastAsia="仿宋_GB2312"/>
          <w:sz w:val="30"/>
          <w:szCs w:val="30"/>
        </w:rPr>
      </w:pPr>
      <w:r>
        <w:rPr>
          <w:rFonts w:ascii="Times New Roman" w:hAnsi="Times New Roman" w:eastAsia="仿宋_GB2312"/>
          <w:sz w:val="30"/>
          <w:szCs w:val="30"/>
        </w:rPr>
        <w:t>三、关于×××公司申报材料的真实性和合规性的专项说明。</w:t>
      </w:r>
    </w:p>
    <w:p w14:paraId="5707BF2E">
      <w:pPr>
        <w:spacing w:before="156" w:after="156" w:line="360" w:lineRule="auto"/>
        <w:rPr>
          <w:rFonts w:ascii="Times New Roman" w:hAnsi="Times New Roman" w:eastAsia="仿宋_GB2312"/>
          <w:sz w:val="30"/>
          <w:szCs w:val="30"/>
        </w:rPr>
      </w:pPr>
    </w:p>
    <w:p w14:paraId="366E4CD7">
      <w:pPr>
        <w:spacing w:before="156" w:after="156" w:line="360" w:lineRule="auto"/>
        <w:jc w:val="right"/>
        <w:rPr>
          <w:rFonts w:ascii="Times New Roman" w:hAnsi="Times New Roman" w:eastAsia="仿宋_GB2312"/>
          <w:sz w:val="30"/>
          <w:szCs w:val="30"/>
        </w:rPr>
      </w:pPr>
      <w:r>
        <w:rPr>
          <w:rFonts w:ascii="Times New Roman" w:hAnsi="Times New Roman" w:eastAsia="仿宋_GB2312"/>
          <w:sz w:val="30"/>
          <w:szCs w:val="30"/>
        </w:rPr>
        <w:t>合规负责人（签章）</w:t>
      </w:r>
    </w:p>
    <w:p w14:paraId="02AF08FB">
      <w:pPr>
        <w:spacing w:before="156" w:after="156" w:line="360" w:lineRule="auto"/>
        <w:jc w:val="right"/>
        <w:rPr>
          <w:rFonts w:ascii="Times New Roman" w:hAnsi="Times New Roman" w:eastAsia="仿宋_GB2312"/>
          <w:sz w:val="30"/>
          <w:szCs w:val="30"/>
        </w:rPr>
      </w:pPr>
      <w:r>
        <w:rPr>
          <w:rFonts w:ascii="Times New Roman" w:hAnsi="Times New Roman" w:eastAsia="仿宋_GB2312"/>
          <w:sz w:val="30"/>
          <w:szCs w:val="30"/>
        </w:rPr>
        <w:t>管理人（盖章）</w:t>
      </w:r>
    </w:p>
    <w:p w14:paraId="34FC98F3">
      <w:pPr>
        <w:jc w:val="right"/>
        <w:rPr>
          <w:rFonts w:ascii="Times New Roman" w:hAnsi="Times New Roman" w:eastAsia="仿宋_GB2312"/>
          <w:b/>
          <w:sz w:val="30"/>
          <w:szCs w:val="30"/>
        </w:rPr>
        <w:sectPr>
          <w:footerReference r:id="rId12" w:type="first"/>
          <w:footerReference r:id="rId10" w:type="default"/>
          <w:footerReference r:id="rId11" w:type="even"/>
          <w:footnotePr>
            <w:numFmt w:val="decimal"/>
            <w:numRestart w:val="eachPage"/>
          </w:footnotePr>
          <w:pgSz w:w="11906" w:h="16838"/>
          <w:pgMar w:top="1440" w:right="1800" w:bottom="1440" w:left="1800" w:header="0" w:footer="992" w:gutter="0"/>
          <w:pgNumType w:fmt="decimal"/>
          <w:cols w:space="720" w:num="1"/>
          <w:formProt w:val="0"/>
          <w:docGrid w:type="lines" w:linePitch="312" w:charSpace="0"/>
        </w:sectPr>
      </w:pPr>
      <w:r>
        <w:rPr>
          <w:rFonts w:ascii="Times New Roman" w:hAnsi="Times New Roman" w:eastAsia="仿宋_GB2312"/>
          <w:sz w:val="30"/>
          <w:szCs w:val="30"/>
        </w:rPr>
        <w:t>XX年XX月XX日</w:t>
      </w:r>
    </w:p>
    <w:p w14:paraId="101CDEF7">
      <w:pPr>
        <w:pStyle w:val="4"/>
        <w:jc w:val="left"/>
        <w:rPr>
          <w:rStyle w:val="38"/>
          <w:rFonts w:ascii="Times New Roman" w:hAnsi="Times New Roman"/>
          <w:bCs w:val="0"/>
          <w:i w:val="0"/>
          <w:sz w:val="32"/>
          <w:szCs w:val="32"/>
          <w:shd w:val="clear" w:fill="auto"/>
          <w:lang w:bidi="en-US"/>
        </w:rPr>
      </w:pPr>
      <w:bookmarkStart w:id="59" w:name="_Toc118891190"/>
      <w:r>
        <w:rPr>
          <w:rStyle w:val="38"/>
          <w:rFonts w:ascii="Times New Roman" w:hAnsi="Times New Roman"/>
          <w:bCs w:val="0"/>
          <w:i w:val="0"/>
          <w:sz w:val="32"/>
          <w:szCs w:val="32"/>
          <w:shd w:val="clear" w:fill="auto"/>
          <w:lang w:bidi="en-US"/>
        </w:rPr>
        <w:t>附件4：资产支持专项计划挂牌转让申请承诺履行事项登记表</w:t>
      </w:r>
      <w:bookmarkEnd w:id="59"/>
    </w:p>
    <w:tbl>
      <w:tblPr>
        <w:tblStyle w:val="32"/>
        <w:tblW w:w="14034" w:type="dxa"/>
        <w:tblInd w:w="-354" w:type="dxa"/>
        <w:tblLayout w:type="fixed"/>
        <w:tblCellMar>
          <w:top w:w="0" w:type="dxa"/>
          <w:left w:w="108" w:type="dxa"/>
          <w:bottom w:w="0" w:type="dxa"/>
          <w:right w:w="108" w:type="dxa"/>
        </w:tblCellMar>
      </w:tblPr>
      <w:tblGrid>
        <w:gridCol w:w="1700"/>
        <w:gridCol w:w="1985"/>
        <w:gridCol w:w="1844"/>
        <w:gridCol w:w="2268"/>
        <w:gridCol w:w="2408"/>
        <w:gridCol w:w="1561"/>
        <w:gridCol w:w="1559"/>
        <w:gridCol w:w="707"/>
      </w:tblGrid>
      <w:tr w14:paraId="5803CE3F">
        <w:tblPrEx>
          <w:tblCellMar>
            <w:top w:w="0" w:type="dxa"/>
            <w:left w:w="108" w:type="dxa"/>
            <w:bottom w:w="0" w:type="dxa"/>
            <w:right w:w="108" w:type="dxa"/>
          </w:tblCellMar>
        </w:tblPrEx>
        <w:trPr>
          <w:trHeight w:val="347"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6034379C">
            <w:pPr>
              <w:rPr>
                <w:rFonts w:ascii="Times New Roman" w:hAnsi="Times New Roman" w:eastAsia="仿宋_GB2312"/>
                <w:b/>
                <w:kern w:val="0"/>
                <w:szCs w:val="21"/>
                <w:lang w:bidi="en-US"/>
              </w:rPr>
            </w:pPr>
            <w:r>
              <w:rPr>
                <w:rFonts w:ascii="Times New Roman" w:hAnsi="Times New Roman" w:eastAsia="仿宋_GB2312"/>
                <w:b/>
                <w:kern w:val="0"/>
                <w:szCs w:val="21"/>
                <w:lang w:bidi="en-US"/>
              </w:rPr>
              <w:t>承诺履行事项</w:t>
            </w:r>
          </w:p>
        </w:tc>
        <w:tc>
          <w:tcPr>
            <w:tcW w:w="1985" w:type="dxa"/>
            <w:tcBorders>
              <w:top w:val="single" w:color="000000" w:sz="4" w:space="0"/>
              <w:left w:val="single" w:color="000000" w:sz="4" w:space="0"/>
              <w:bottom w:val="single" w:color="000000" w:sz="4" w:space="0"/>
              <w:right w:val="single" w:color="000000" w:sz="4" w:space="0"/>
            </w:tcBorders>
            <w:vAlign w:val="center"/>
          </w:tcPr>
          <w:p w14:paraId="04F6D9BF">
            <w:pPr>
              <w:rPr>
                <w:rFonts w:ascii="Times New Roman" w:hAnsi="Times New Roman" w:eastAsia="仿宋_GB2312"/>
                <w:b/>
                <w:kern w:val="0"/>
                <w:szCs w:val="21"/>
                <w:lang w:bidi="en-US"/>
              </w:rPr>
            </w:pPr>
            <w:r>
              <w:rPr>
                <w:rFonts w:ascii="Times New Roman" w:hAnsi="Times New Roman" w:eastAsia="仿宋_GB2312"/>
                <w:b/>
                <w:kern w:val="0"/>
                <w:szCs w:val="21"/>
                <w:lang w:bidi="en-US"/>
              </w:rPr>
              <w:t>成因</w:t>
            </w:r>
          </w:p>
        </w:tc>
        <w:tc>
          <w:tcPr>
            <w:tcW w:w="1844" w:type="dxa"/>
            <w:tcBorders>
              <w:top w:val="single" w:color="000000" w:sz="4" w:space="0"/>
              <w:left w:val="single" w:color="000000" w:sz="4" w:space="0"/>
              <w:bottom w:val="single" w:color="000000" w:sz="4" w:space="0"/>
              <w:right w:val="single" w:color="000000" w:sz="4" w:space="0"/>
            </w:tcBorders>
            <w:vAlign w:val="center"/>
          </w:tcPr>
          <w:p w14:paraId="6DDE2907">
            <w:pPr>
              <w:rPr>
                <w:rFonts w:ascii="Times New Roman" w:hAnsi="Times New Roman" w:eastAsia="仿宋_GB2312"/>
                <w:b/>
                <w:kern w:val="0"/>
                <w:szCs w:val="21"/>
                <w:lang w:bidi="en-US"/>
              </w:rPr>
            </w:pPr>
            <w:r>
              <w:rPr>
                <w:rFonts w:ascii="Times New Roman" w:hAnsi="Times New Roman" w:eastAsia="仿宋_GB2312"/>
                <w:b/>
                <w:kern w:val="0"/>
                <w:szCs w:val="21"/>
                <w:lang w:bidi="en-US"/>
              </w:rPr>
              <w:t>涉事主体</w:t>
            </w:r>
          </w:p>
        </w:tc>
        <w:tc>
          <w:tcPr>
            <w:tcW w:w="2268" w:type="dxa"/>
            <w:tcBorders>
              <w:top w:val="single" w:color="000000" w:sz="4" w:space="0"/>
              <w:left w:val="single" w:color="000000" w:sz="4" w:space="0"/>
              <w:bottom w:val="single" w:color="000000" w:sz="4" w:space="0"/>
              <w:right w:val="single" w:color="000000" w:sz="4" w:space="0"/>
            </w:tcBorders>
            <w:vAlign w:val="center"/>
          </w:tcPr>
          <w:p w14:paraId="7BAA7FF4">
            <w:pPr>
              <w:rPr>
                <w:rFonts w:ascii="Times New Roman" w:hAnsi="Times New Roman" w:eastAsia="仿宋_GB2312"/>
                <w:b/>
                <w:kern w:val="0"/>
                <w:szCs w:val="21"/>
                <w:lang w:bidi="en-US"/>
              </w:rPr>
            </w:pPr>
            <w:r>
              <w:rPr>
                <w:rFonts w:ascii="Times New Roman" w:hAnsi="Times New Roman" w:eastAsia="仿宋_GB2312"/>
                <w:b/>
                <w:kern w:val="0"/>
                <w:szCs w:val="21"/>
                <w:lang w:bidi="en-US"/>
              </w:rPr>
              <w:t>履行计划</w:t>
            </w:r>
          </w:p>
        </w:tc>
        <w:tc>
          <w:tcPr>
            <w:tcW w:w="2408" w:type="dxa"/>
            <w:tcBorders>
              <w:top w:val="single" w:color="000000" w:sz="4" w:space="0"/>
              <w:left w:val="single" w:color="000000" w:sz="4" w:space="0"/>
              <w:bottom w:val="single" w:color="000000" w:sz="4" w:space="0"/>
              <w:right w:val="single" w:color="000000" w:sz="4" w:space="0"/>
            </w:tcBorders>
            <w:vAlign w:val="center"/>
          </w:tcPr>
          <w:p w14:paraId="027C1BD2">
            <w:pPr>
              <w:rPr>
                <w:rFonts w:ascii="Times New Roman" w:hAnsi="Times New Roman" w:eastAsia="仿宋_GB2312"/>
                <w:b/>
                <w:kern w:val="0"/>
                <w:szCs w:val="21"/>
                <w:lang w:bidi="en-US"/>
              </w:rPr>
            </w:pPr>
            <w:r>
              <w:rPr>
                <w:rFonts w:ascii="Times New Roman" w:hAnsi="Times New Roman" w:eastAsia="仿宋_GB2312"/>
                <w:b/>
                <w:kern w:val="0"/>
                <w:szCs w:val="21"/>
                <w:lang w:bidi="en-US"/>
              </w:rPr>
              <w:t>材料清单</w:t>
            </w:r>
          </w:p>
        </w:tc>
        <w:tc>
          <w:tcPr>
            <w:tcW w:w="1561" w:type="dxa"/>
            <w:tcBorders>
              <w:top w:val="single" w:color="000000" w:sz="4" w:space="0"/>
              <w:left w:val="single" w:color="000000" w:sz="4" w:space="0"/>
              <w:bottom w:val="single" w:color="000000" w:sz="4" w:space="0"/>
              <w:right w:val="single" w:color="000000" w:sz="4" w:space="0"/>
            </w:tcBorders>
            <w:vAlign w:val="center"/>
          </w:tcPr>
          <w:p w14:paraId="37600862">
            <w:pPr>
              <w:rPr>
                <w:rFonts w:ascii="Times New Roman" w:hAnsi="Times New Roman" w:eastAsia="仿宋_GB2312"/>
                <w:b/>
                <w:kern w:val="0"/>
                <w:szCs w:val="21"/>
                <w:lang w:bidi="en-US"/>
              </w:rPr>
            </w:pPr>
            <w:r>
              <w:rPr>
                <w:rFonts w:ascii="Times New Roman" w:hAnsi="Times New Roman" w:eastAsia="仿宋_GB2312"/>
                <w:b/>
                <w:kern w:val="0"/>
                <w:szCs w:val="21"/>
                <w:lang w:bidi="en-US"/>
              </w:rPr>
              <w:t>日期（预期）</w:t>
            </w:r>
          </w:p>
        </w:tc>
        <w:tc>
          <w:tcPr>
            <w:tcW w:w="1559" w:type="dxa"/>
            <w:tcBorders>
              <w:top w:val="single" w:color="000000" w:sz="4" w:space="0"/>
              <w:left w:val="single" w:color="000000" w:sz="4" w:space="0"/>
              <w:bottom w:val="single" w:color="000000" w:sz="4" w:space="0"/>
              <w:right w:val="single" w:color="000000" w:sz="4" w:space="0"/>
            </w:tcBorders>
            <w:vAlign w:val="center"/>
          </w:tcPr>
          <w:p w14:paraId="34334149">
            <w:pPr>
              <w:rPr>
                <w:rFonts w:ascii="Times New Roman" w:hAnsi="Times New Roman" w:eastAsia="仿宋_GB2312"/>
                <w:b/>
                <w:kern w:val="0"/>
                <w:szCs w:val="21"/>
                <w:lang w:bidi="en-US"/>
              </w:rPr>
            </w:pPr>
            <w:r>
              <w:rPr>
                <w:rFonts w:ascii="Times New Roman" w:hAnsi="Times New Roman" w:eastAsia="仿宋_GB2312"/>
                <w:b/>
                <w:kern w:val="0"/>
                <w:szCs w:val="21"/>
                <w:lang w:bidi="en-US"/>
              </w:rPr>
              <w:t>日期（实际）</w:t>
            </w:r>
          </w:p>
        </w:tc>
        <w:tc>
          <w:tcPr>
            <w:tcW w:w="707" w:type="dxa"/>
            <w:tcBorders>
              <w:top w:val="single" w:color="000000" w:sz="4" w:space="0"/>
              <w:left w:val="single" w:color="000000" w:sz="4" w:space="0"/>
              <w:bottom w:val="single" w:color="000000" w:sz="4" w:space="0"/>
              <w:right w:val="single" w:color="000000" w:sz="4" w:space="0"/>
            </w:tcBorders>
            <w:vAlign w:val="center"/>
          </w:tcPr>
          <w:p w14:paraId="02442AD6">
            <w:pPr>
              <w:rPr>
                <w:rFonts w:ascii="Times New Roman" w:hAnsi="Times New Roman" w:eastAsia="仿宋_GB2312"/>
                <w:b/>
                <w:kern w:val="0"/>
                <w:szCs w:val="21"/>
                <w:lang w:bidi="en-US"/>
              </w:rPr>
            </w:pPr>
            <w:r>
              <w:rPr>
                <w:rFonts w:ascii="Times New Roman" w:hAnsi="Times New Roman" w:eastAsia="仿宋_GB2312"/>
                <w:b/>
                <w:kern w:val="0"/>
                <w:szCs w:val="21"/>
                <w:lang w:bidi="en-US"/>
              </w:rPr>
              <w:t>备注</w:t>
            </w:r>
          </w:p>
        </w:tc>
      </w:tr>
      <w:tr w14:paraId="4225AA9C">
        <w:tblPrEx>
          <w:tblCellMar>
            <w:top w:w="0" w:type="dxa"/>
            <w:left w:w="108" w:type="dxa"/>
            <w:bottom w:w="0" w:type="dxa"/>
            <w:right w:w="108" w:type="dxa"/>
          </w:tblCellMar>
        </w:tblPrEx>
        <w:trPr>
          <w:trHeight w:val="1459" w:hRule="atLeast"/>
        </w:trPr>
        <w:tc>
          <w:tcPr>
            <w:tcW w:w="1700" w:type="dxa"/>
            <w:vMerge w:val="restart"/>
            <w:tcBorders>
              <w:top w:val="single" w:color="000000" w:sz="4" w:space="0"/>
              <w:left w:val="single" w:color="000000" w:sz="4" w:space="0"/>
              <w:bottom w:val="single" w:color="000000" w:sz="4" w:space="0"/>
              <w:right w:val="single" w:color="000000" w:sz="4" w:space="0"/>
            </w:tcBorders>
          </w:tcPr>
          <w:p w14:paraId="2EC21D7E">
            <w:pPr>
              <w:rPr>
                <w:rFonts w:ascii="Times New Roman" w:hAnsi="Times New Roman" w:eastAsia="仿宋_GB2312"/>
                <w:kern w:val="0"/>
                <w:szCs w:val="21"/>
                <w:lang w:bidi="en-US"/>
              </w:rPr>
            </w:pPr>
            <w:r>
              <w:rPr>
                <w:rFonts w:ascii="Times New Roman" w:hAnsi="Times New Roman" w:eastAsia="仿宋_GB2312"/>
                <w:kern w:val="0"/>
                <w:szCs w:val="21"/>
                <w:lang w:bidi="en-US"/>
              </w:rPr>
              <w:t>【事项1，如：解除基础资产权利负担】</w:t>
            </w:r>
          </w:p>
        </w:tc>
        <w:tc>
          <w:tcPr>
            <w:tcW w:w="1985" w:type="dxa"/>
            <w:vMerge w:val="restart"/>
            <w:tcBorders>
              <w:top w:val="single" w:color="000000" w:sz="4" w:space="0"/>
              <w:left w:val="single" w:color="000000" w:sz="4" w:space="0"/>
              <w:bottom w:val="single" w:color="000000" w:sz="4" w:space="0"/>
              <w:right w:val="single" w:color="000000" w:sz="4" w:space="0"/>
            </w:tcBorders>
          </w:tcPr>
          <w:p w14:paraId="6A485E2E">
            <w:pPr>
              <w:rPr>
                <w:rFonts w:ascii="Times New Roman" w:hAnsi="Times New Roman" w:eastAsia="仿宋_GB2312"/>
                <w:kern w:val="0"/>
                <w:szCs w:val="21"/>
                <w:lang w:bidi="en-US"/>
              </w:rPr>
            </w:pPr>
            <w:r>
              <w:rPr>
                <w:rFonts w:ascii="Times New Roman" w:hAnsi="Times New Roman" w:eastAsia="仿宋_GB2312"/>
                <w:kern w:val="0"/>
                <w:szCs w:val="21"/>
                <w:lang w:bidi="en-US"/>
              </w:rPr>
              <w:t>【请简述事项无法在挂牌转让申请取得无异议函前履行完毕的原因】</w:t>
            </w:r>
          </w:p>
        </w:tc>
        <w:tc>
          <w:tcPr>
            <w:tcW w:w="1844" w:type="dxa"/>
            <w:tcBorders>
              <w:top w:val="single" w:color="000000" w:sz="4" w:space="0"/>
              <w:left w:val="single" w:color="000000" w:sz="4" w:space="0"/>
              <w:bottom w:val="single" w:color="000000" w:sz="4" w:space="0"/>
              <w:right w:val="single" w:color="000000" w:sz="4" w:space="0"/>
            </w:tcBorders>
          </w:tcPr>
          <w:p w14:paraId="4748F5ED">
            <w:pPr>
              <w:rPr>
                <w:rFonts w:ascii="Times New Roman" w:hAnsi="Times New Roman" w:eastAsia="仿宋_GB2312"/>
                <w:kern w:val="0"/>
                <w:szCs w:val="21"/>
                <w:lang w:bidi="en-US"/>
              </w:rPr>
            </w:pPr>
            <w:r>
              <w:rPr>
                <w:rFonts w:ascii="Times New Roman" w:hAnsi="Times New Roman" w:eastAsia="仿宋_GB2312"/>
                <w:kern w:val="0"/>
                <w:szCs w:val="21"/>
                <w:lang w:bidi="en-US"/>
              </w:rPr>
              <w:t>【请披露事项履行所涉及的各主体名称】</w:t>
            </w:r>
          </w:p>
        </w:tc>
        <w:tc>
          <w:tcPr>
            <w:tcW w:w="2268" w:type="dxa"/>
            <w:tcBorders>
              <w:top w:val="single" w:color="000000" w:sz="4" w:space="0"/>
              <w:left w:val="single" w:color="000000" w:sz="4" w:space="0"/>
              <w:bottom w:val="single" w:color="000000" w:sz="4" w:space="0"/>
              <w:right w:val="single" w:color="000000" w:sz="4" w:space="0"/>
            </w:tcBorders>
          </w:tcPr>
          <w:p w14:paraId="406E9223">
            <w:pPr>
              <w:rPr>
                <w:rFonts w:ascii="Times New Roman" w:hAnsi="Times New Roman" w:eastAsia="仿宋_GB2312"/>
                <w:kern w:val="0"/>
                <w:szCs w:val="21"/>
                <w:lang w:bidi="en-US"/>
              </w:rPr>
            </w:pPr>
            <w:r>
              <w:rPr>
                <w:rFonts w:ascii="Times New Roman" w:hAnsi="Times New Roman" w:eastAsia="仿宋_GB2312"/>
                <w:kern w:val="0"/>
                <w:szCs w:val="21"/>
                <w:lang w:bidi="en-US"/>
              </w:rPr>
              <w:t>【请简要叙述事项的拟定履行流程及各主体履行该事项的义务】</w:t>
            </w:r>
          </w:p>
        </w:tc>
        <w:tc>
          <w:tcPr>
            <w:tcW w:w="2408" w:type="dxa"/>
            <w:tcBorders>
              <w:top w:val="single" w:color="000000" w:sz="4" w:space="0"/>
              <w:left w:val="single" w:color="000000" w:sz="4" w:space="0"/>
              <w:bottom w:val="single" w:color="000000" w:sz="4" w:space="0"/>
              <w:right w:val="single" w:color="000000" w:sz="4" w:space="0"/>
            </w:tcBorders>
          </w:tcPr>
          <w:p w14:paraId="3B14572B">
            <w:pPr>
              <w:rPr>
                <w:rFonts w:ascii="Times New Roman" w:hAnsi="Times New Roman" w:eastAsia="仿宋_GB2312"/>
                <w:kern w:val="0"/>
                <w:szCs w:val="21"/>
                <w:lang w:bidi="en-US"/>
              </w:rPr>
            </w:pPr>
            <w:r>
              <w:rPr>
                <w:rFonts w:ascii="Times New Roman" w:hAnsi="Times New Roman" w:eastAsia="仿宋_GB2312"/>
                <w:kern w:val="0"/>
                <w:szCs w:val="21"/>
                <w:lang w:bidi="en-US"/>
              </w:rPr>
              <w:t>【请列明事项履行完毕的证明性文件名称及签署、出具方】</w:t>
            </w:r>
          </w:p>
        </w:tc>
        <w:tc>
          <w:tcPr>
            <w:tcW w:w="1561" w:type="dxa"/>
            <w:tcBorders>
              <w:top w:val="single" w:color="000000" w:sz="4" w:space="0"/>
              <w:left w:val="single" w:color="000000" w:sz="4" w:space="0"/>
              <w:bottom w:val="single" w:color="000000" w:sz="4" w:space="0"/>
              <w:right w:val="single" w:color="000000" w:sz="4" w:space="0"/>
            </w:tcBorders>
          </w:tcPr>
          <w:p w14:paraId="29A144A6">
            <w:pPr>
              <w:rPr>
                <w:rFonts w:ascii="Times New Roman" w:hAnsi="Times New Roman" w:eastAsia="仿宋_GB2312"/>
                <w:kern w:val="0"/>
                <w:szCs w:val="21"/>
                <w:lang w:bidi="en-US"/>
              </w:rPr>
            </w:pPr>
            <w:r>
              <w:rPr>
                <w:rFonts w:ascii="Times New Roman" w:hAnsi="Times New Roman" w:eastAsia="仿宋_GB2312"/>
                <w:kern w:val="0"/>
                <w:szCs w:val="21"/>
                <w:lang w:bidi="en-US"/>
              </w:rPr>
              <w:t>【可填写如：T+30日，而非实际日历日期】</w:t>
            </w:r>
          </w:p>
        </w:tc>
        <w:tc>
          <w:tcPr>
            <w:tcW w:w="1559" w:type="dxa"/>
            <w:tcBorders>
              <w:top w:val="single" w:color="000000" w:sz="4" w:space="0"/>
              <w:left w:val="single" w:color="000000" w:sz="4" w:space="0"/>
              <w:bottom w:val="single" w:color="000000" w:sz="4" w:space="0"/>
              <w:right w:val="single" w:color="000000" w:sz="4" w:space="0"/>
            </w:tcBorders>
          </w:tcPr>
          <w:p w14:paraId="40552F04">
            <w:pPr>
              <w:rPr>
                <w:rFonts w:ascii="Times New Roman" w:hAnsi="Times New Roman" w:eastAsia="仿宋_GB2312"/>
                <w:kern w:val="0"/>
                <w:szCs w:val="21"/>
                <w:lang w:bidi="en-US"/>
              </w:rPr>
            </w:pPr>
            <w:r>
              <w:rPr>
                <w:rFonts w:ascii="Times New Roman" w:hAnsi="Times New Roman" w:eastAsia="仿宋_GB2312"/>
                <w:kern w:val="0"/>
                <w:szCs w:val="21"/>
                <w:lang w:bidi="en-US"/>
              </w:rPr>
              <w:t>【待事项实际履行完毕后填写】</w:t>
            </w:r>
          </w:p>
        </w:tc>
        <w:tc>
          <w:tcPr>
            <w:tcW w:w="707" w:type="dxa"/>
            <w:vMerge w:val="restart"/>
            <w:tcBorders>
              <w:top w:val="single" w:color="000000" w:sz="4" w:space="0"/>
              <w:left w:val="single" w:color="000000" w:sz="4" w:space="0"/>
              <w:bottom w:val="single" w:color="000000" w:sz="4" w:space="0"/>
              <w:right w:val="single" w:color="000000" w:sz="4" w:space="0"/>
            </w:tcBorders>
          </w:tcPr>
          <w:p w14:paraId="42A94252">
            <w:pPr>
              <w:keepNext/>
              <w:keepLines/>
              <w:numPr>
                <w:ilvl w:val="0"/>
                <w:numId w:val="0"/>
              </w:numPr>
              <w:spacing w:before="260" w:after="260" w:line="418" w:lineRule="auto"/>
              <w:outlineLvl w:val="2"/>
              <w:rPr>
                <w:rFonts w:ascii="Times New Roman" w:hAnsi="Times New Roman" w:eastAsia="仿宋_GB2312"/>
                <w:kern w:val="0"/>
                <w:szCs w:val="21"/>
                <w:lang w:bidi="en-US"/>
              </w:rPr>
            </w:pPr>
          </w:p>
        </w:tc>
      </w:tr>
      <w:tr w14:paraId="193186EF">
        <w:tblPrEx>
          <w:tblCellMar>
            <w:top w:w="0" w:type="dxa"/>
            <w:left w:w="108" w:type="dxa"/>
            <w:bottom w:w="0" w:type="dxa"/>
            <w:right w:w="108" w:type="dxa"/>
          </w:tblCellMar>
        </w:tblPrEx>
        <w:trPr>
          <w:trHeight w:val="419" w:hRule="atLeast"/>
        </w:trPr>
        <w:tc>
          <w:tcPr>
            <w:tcW w:w="1700" w:type="dxa"/>
            <w:vMerge w:val="continue"/>
            <w:tcBorders>
              <w:top w:val="single" w:color="000000" w:sz="4" w:space="0"/>
              <w:left w:val="single" w:color="000000" w:sz="4" w:space="0"/>
              <w:bottom w:val="single" w:color="000000" w:sz="4" w:space="0"/>
              <w:right w:val="single" w:color="000000" w:sz="4" w:space="0"/>
            </w:tcBorders>
          </w:tcPr>
          <w:p w14:paraId="5A199942">
            <w:pPr>
              <w:keepNext/>
              <w:keepLines/>
              <w:widowControl/>
              <w:numPr>
                <w:ilvl w:val="0"/>
                <w:numId w:val="0"/>
              </w:numPr>
              <w:spacing w:before="260" w:after="260" w:line="418" w:lineRule="auto"/>
              <w:ind w:left="805" w:firstLine="0"/>
              <w:outlineLvl w:val="2"/>
              <w:rPr>
                <w:rFonts w:ascii="Times New Roman" w:hAnsi="Times New Roman" w:eastAsia="仿宋_GB2312"/>
                <w:kern w:val="0"/>
                <w:szCs w:val="21"/>
                <w:lang w:bidi="en-US"/>
              </w:rPr>
            </w:pPr>
          </w:p>
        </w:tc>
        <w:tc>
          <w:tcPr>
            <w:tcW w:w="1985" w:type="dxa"/>
            <w:vMerge w:val="continue"/>
            <w:tcBorders>
              <w:top w:val="single" w:color="000000" w:sz="4" w:space="0"/>
              <w:left w:val="single" w:color="000000" w:sz="4" w:space="0"/>
              <w:bottom w:val="single" w:color="000000" w:sz="4" w:space="0"/>
              <w:right w:val="single" w:color="000000" w:sz="4" w:space="0"/>
            </w:tcBorders>
          </w:tcPr>
          <w:p w14:paraId="15278CAC">
            <w:pPr>
              <w:keepNext/>
              <w:keepLines/>
              <w:widowControl/>
              <w:numPr>
                <w:ilvl w:val="0"/>
                <w:numId w:val="0"/>
              </w:numPr>
              <w:spacing w:before="260" w:after="260" w:line="418" w:lineRule="auto"/>
              <w:ind w:left="805" w:firstLine="0"/>
              <w:outlineLvl w:val="2"/>
              <w:rPr>
                <w:rFonts w:ascii="Times New Roman" w:hAnsi="Times New Roman" w:eastAsia="仿宋_GB2312"/>
                <w:kern w:val="0"/>
                <w:szCs w:val="21"/>
                <w:lang w:bidi="en-US"/>
              </w:rPr>
            </w:pPr>
          </w:p>
        </w:tc>
        <w:tc>
          <w:tcPr>
            <w:tcW w:w="1844" w:type="dxa"/>
            <w:tcBorders>
              <w:top w:val="single" w:color="000000" w:sz="4" w:space="0"/>
              <w:left w:val="single" w:color="000000" w:sz="4" w:space="0"/>
              <w:bottom w:val="single" w:color="000000" w:sz="4" w:space="0"/>
              <w:right w:val="single" w:color="000000" w:sz="4" w:space="0"/>
            </w:tcBorders>
          </w:tcPr>
          <w:p w14:paraId="04511E20">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2268" w:type="dxa"/>
            <w:tcBorders>
              <w:top w:val="single" w:color="000000" w:sz="4" w:space="0"/>
              <w:left w:val="single" w:color="000000" w:sz="4" w:space="0"/>
              <w:bottom w:val="single" w:color="000000" w:sz="4" w:space="0"/>
              <w:right w:val="single" w:color="000000" w:sz="4" w:space="0"/>
            </w:tcBorders>
          </w:tcPr>
          <w:p w14:paraId="42371E65">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2408" w:type="dxa"/>
            <w:tcBorders>
              <w:top w:val="single" w:color="000000" w:sz="4" w:space="0"/>
              <w:left w:val="single" w:color="000000" w:sz="4" w:space="0"/>
              <w:bottom w:val="single" w:color="000000" w:sz="4" w:space="0"/>
              <w:right w:val="single" w:color="000000" w:sz="4" w:space="0"/>
            </w:tcBorders>
          </w:tcPr>
          <w:p w14:paraId="038A8F06">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561" w:type="dxa"/>
            <w:tcBorders>
              <w:top w:val="single" w:color="000000" w:sz="4" w:space="0"/>
              <w:left w:val="single" w:color="000000" w:sz="4" w:space="0"/>
              <w:bottom w:val="single" w:color="000000" w:sz="4" w:space="0"/>
              <w:right w:val="single" w:color="000000" w:sz="4" w:space="0"/>
            </w:tcBorders>
          </w:tcPr>
          <w:p w14:paraId="21D10835">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559" w:type="dxa"/>
            <w:tcBorders>
              <w:top w:val="single" w:color="000000" w:sz="4" w:space="0"/>
              <w:left w:val="single" w:color="000000" w:sz="4" w:space="0"/>
              <w:bottom w:val="single" w:color="000000" w:sz="4" w:space="0"/>
              <w:right w:val="single" w:color="000000" w:sz="4" w:space="0"/>
            </w:tcBorders>
          </w:tcPr>
          <w:p w14:paraId="19F9363E">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707" w:type="dxa"/>
            <w:vMerge w:val="continue"/>
            <w:tcBorders>
              <w:top w:val="single" w:color="000000" w:sz="4" w:space="0"/>
              <w:left w:val="single" w:color="000000" w:sz="4" w:space="0"/>
              <w:bottom w:val="single" w:color="000000" w:sz="4" w:space="0"/>
              <w:right w:val="single" w:color="000000" w:sz="4" w:space="0"/>
            </w:tcBorders>
          </w:tcPr>
          <w:p w14:paraId="694F6490">
            <w:pPr>
              <w:keepNext/>
              <w:keepLines/>
              <w:widowControl/>
              <w:numPr>
                <w:ilvl w:val="0"/>
                <w:numId w:val="0"/>
              </w:numPr>
              <w:spacing w:before="260" w:after="260" w:line="418" w:lineRule="auto"/>
              <w:ind w:left="805" w:firstLine="0"/>
              <w:outlineLvl w:val="2"/>
              <w:rPr>
                <w:rFonts w:ascii="Times New Roman" w:hAnsi="Times New Roman" w:eastAsia="仿宋_GB2312"/>
                <w:kern w:val="0"/>
                <w:szCs w:val="21"/>
                <w:lang w:bidi="en-US"/>
              </w:rPr>
            </w:pPr>
          </w:p>
        </w:tc>
      </w:tr>
      <w:tr w14:paraId="6CF25FD0">
        <w:tblPrEx>
          <w:tblCellMar>
            <w:top w:w="0" w:type="dxa"/>
            <w:left w:w="108" w:type="dxa"/>
            <w:bottom w:w="0" w:type="dxa"/>
            <w:right w:w="108" w:type="dxa"/>
          </w:tblCellMar>
        </w:tblPrEx>
        <w:trPr>
          <w:trHeight w:val="366" w:hRule="atLeast"/>
        </w:trPr>
        <w:tc>
          <w:tcPr>
            <w:tcW w:w="14032" w:type="dxa"/>
            <w:gridSpan w:val="8"/>
            <w:tcBorders>
              <w:top w:val="single" w:color="000000" w:sz="4" w:space="0"/>
              <w:left w:val="single" w:color="000000" w:sz="4" w:space="0"/>
              <w:bottom w:val="single" w:color="000000" w:sz="4" w:space="0"/>
              <w:right w:val="single" w:color="000000" w:sz="4" w:space="0"/>
            </w:tcBorders>
          </w:tcPr>
          <w:p w14:paraId="4724B15B">
            <w:pPr>
              <w:rPr>
                <w:rFonts w:ascii="Times New Roman" w:hAnsi="Times New Roman" w:eastAsia="仿宋_GB2312"/>
                <w:kern w:val="0"/>
                <w:szCs w:val="21"/>
                <w:lang w:bidi="en-US"/>
              </w:rPr>
            </w:pPr>
            <w:r>
              <w:rPr>
                <w:rFonts w:ascii="Times New Roman" w:hAnsi="Times New Roman" w:eastAsia="仿宋_GB2312"/>
                <w:kern w:val="0"/>
                <w:szCs w:val="21"/>
                <w:lang w:bidi="en-US"/>
              </w:rPr>
              <w:t>……</w:t>
            </w:r>
          </w:p>
        </w:tc>
      </w:tr>
      <w:tr w14:paraId="7CC01A0D">
        <w:tblPrEx>
          <w:tblCellMar>
            <w:top w:w="0" w:type="dxa"/>
            <w:left w:w="108" w:type="dxa"/>
            <w:bottom w:w="0" w:type="dxa"/>
            <w:right w:w="108" w:type="dxa"/>
          </w:tblCellMar>
        </w:tblPrEx>
        <w:trPr>
          <w:trHeight w:val="581" w:hRule="atLeast"/>
        </w:trPr>
        <w:tc>
          <w:tcPr>
            <w:tcW w:w="1700" w:type="dxa"/>
            <w:vMerge w:val="restart"/>
            <w:tcBorders>
              <w:top w:val="single" w:color="000000" w:sz="4" w:space="0"/>
              <w:left w:val="single" w:color="000000" w:sz="4" w:space="0"/>
              <w:bottom w:val="single" w:color="000000" w:sz="4" w:space="0"/>
              <w:right w:val="single" w:color="000000" w:sz="4" w:space="0"/>
            </w:tcBorders>
          </w:tcPr>
          <w:p w14:paraId="1144CA1F">
            <w:pPr>
              <w:rPr>
                <w:rFonts w:ascii="Times New Roman" w:hAnsi="Times New Roman" w:eastAsia="仿宋_GB2312"/>
                <w:kern w:val="0"/>
                <w:szCs w:val="21"/>
                <w:lang w:bidi="en-US"/>
              </w:rPr>
            </w:pPr>
            <w:r>
              <w:rPr>
                <w:rFonts w:ascii="Times New Roman" w:hAnsi="Times New Roman" w:eastAsia="仿宋_GB2312"/>
                <w:kern w:val="0"/>
                <w:szCs w:val="21"/>
                <w:lang w:bidi="en-US"/>
              </w:rPr>
              <w:t>【事项n】</w:t>
            </w:r>
          </w:p>
        </w:tc>
        <w:tc>
          <w:tcPr>
            <w:tcW w:w="1985" w:type="dxa"/>
            <w:vMerge w:val="restart"/>
            <w:tcBorders>
              <w:top w:val="single" w:color="000000" w:sz="4" w:space="0"/>
              <w:left w:val="single" w:color="000000" w:sz="4" w:space="0"/>
              <w:bottom w:val="single" w:color="000000" w:sz="4" w:space="0"/>
              <w:right w:val="single" w:color="000000" w:sz="4" w:space="0"/>
            </w:tcBorders>
          </w:tcPr>
          <w:p w14:paraId="2D1C771F">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844" w:type="dxa"/>
            <w:tcBorders>
              <w:top w:val="single" w:color="000000" w:sz="4" w:space="0"/>
              <w:left w:val="single" w:color="000000" w:sz="4" w:space="0"/>
              <w:bottom w:val="single" w:color="000000" w:sz="4" w:space="0"/>
              <w:right w:val="single" w:color="000000" w:sz="4" w:space="0"/>
            </w:tcBorders>
          </w:tcPr>
          <w:p w14:paraId="4292874B">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2268" w:type="dxa"/>
            <w:tcBorders>
              <w:top w:val="single" w:color="000000" w:sz="4" w:space="0"/>
              <w:left w:val="single" w:color="000000" w:sz="4" w:space="0"/>
              <w:bottom w:val="single" w:color="000000" w:sz="4" w:space="0"/>
              <w:right w:val="single" w:color="000000" w:sz="4" w:space="0"/>
            </w:tcBorders>
          </w:tcPr>
          <w:p w14:paraId="42870684">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2408" w:type="dxa"/>
            <w:tcBorders>
              <w:top w:val="single" w:color="000000" w:sz="4" w:space="0"/>
              <w:left w:val="single" w:color="000000" w:sz="4" w:space="0"/>
              <w:bottom w:val="single" w:color="000000" w:sz="4" w:space="0"/>
              <w:right w:val="single" w:color="000000" w:sz="4" w:space="0"/>
            </w:tcBorders>
          </w:tcPr>
          <w:p w14:paraId="1F7F7148">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561" w:type="dxa"/>
            <w:tcBorders>
              <w:top w:val="single" w:color="000000" w:sz="4" w:space="0"/>
              <w:left w:val="single" w:color="000000" w:sz="4" w:space="0"/>
              <w:bottom w:val="single" w:color="000000" w:sz="4" w:space="0"/>
              <w:right w:val="single" w:color="000000" w:sz="4" w:space="0"/>
            </w:tcBorders>
          </w:tcPr>
          <w:p w14:paraId="71BEE7D2">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559" w:type="dxa"/>
            <w:tcBorders>
              <w:top w:val="single" w:color="000000" w:sz="4" w:space="0"/>
              <w:left w:val="single" w:color="000000" w:sz="4" w:space="0"/>
              <w:bottom w:val="single" w:color="000000" w:sz="4" w:space="0"/>
              <w:right w:val="single" w:color="000000" w:sz="4" w:space="0"/>
            </w:tcBorders>
          </w:tcPr>
          <w:p w14:paraId="417D5E42">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707" w:type="dxa"/>
            <w:vMerge w:val="restart"/>
            <w:tcBorders>
              <w:top w:val="single" w:color="000000" w:sz="4" w:space="0"/>
              <w:left w:val="single" w:color="000000" w:sz="4" w:space="0"/>
              <w:bottom w:val="single" w:color="000000" w:sz="4" w:space="0"/>
              <w:right w:val="single" w:color="000000" w:sz="4" w:space="0"/>
            </w:tcBorders>
          </w:tcPr>
          <w:p w14:paraId="6DAD6E9C">
            <w:pPr>
              <w:keepNext/>
              <w:keepLines/>
              <w:numPr>
                <w:ilvl w:val="0"/>
                <w:numId w:val="0"/>
              </w:numPr>
              <w:spacing w:before="260" w:after="260" w:line="418" w:lineRule="auto"/>
              <w:outlineLvl w:val="2"/>
              <w:rPr>
                <w:rFonts w:ascii="Times New Roman" w:hAnsi="Times New Roman" w:eastAsia="仿宋_GB2312"/>
                <w:kern w:val="0"/>
                <w:szCs w:val="21"/>
                <w:lang w:bidi="en-US"/>
              </w:rPr>
            </w:pPr>
          </w:p>
        </w:tc>
      </w:tr>
      <w:tr w14:paraId="7C1EE322">
        <w:tblPrEx>
          <w:tblCellMar>
            <w:top w:w="0" w:type="dxa"/>
            <w:left w:w="108" w:type="dxa"/>
            <w:bottom w:w="0" w:type="dxa"/>
            <w:right w:w="108" w:type="dxa"/>
          </w:tblCellMar>
        </w:tblPrEx>
        <w:trPr>
          <w:trHeight w:val="501" w:hRule="atLeast"/>
        </w:trPr>
        <w:tc>
          <w:tcPr>
            <w:tcW w:w="1700" w:type="dxa"/>
            <w:vMerge w:val="continue"/>
            <w:tcBorders>
              <w:top w:val="single" w:color="000000" w:sz="4" w:space="0"/>
              <w:left w:val="single" w:color="000000" w:sz="4" w:space="0"/>
              <w:bottom w:val="single" w:color="000000" w:sz="4" w:space="0"/>
              <w:right w:val="single" w:color="000000" w:sz="4" w:space="0"/>
            </w:tcBorders>
          </w:tcPr>
          <w:p w14:paraId="5183DD1C">
            <w:pPr>
              <w:keepNext/>
              <w:keepLines/>
              <w:widowControl/>
              <w:numPr>
                <w:ilvl w:val="0"/>
                <w:numId w:val="0"/>
              </w:numPr>
              <w:spacing w:before="260" w:after="260" w:line="418" w:lineRule="auto"/>
              <w:ind w:left="805" w:firstLine="0"/>
              <w:outlineLvl w:val="2"/>
              <w:rPr>
                <w:rFonts w:ascii="Times New Roman" w:hAnsi="Times New Roman" w:eastAsia="仿宋_GB2312"/>
                <w:kern w:val="0"/>
                <w:szCs w:val="21"/>
                <w:lang w:bidi="en-US"/>
              </w:rPr>
            </w:pPr>
          </w:p>
        </w:tc>
        <w:tc>
          <w:tcPr>
            <w:tcW w:w="1985" w:type="dxa"/>
            <w:vMerge w:val="continue"/>
            <w:tcBorders>
              <w:top w:val="single" w:color="000000" w:sz="4" w:space="0"/>
              <w:left w:val="single" w:color="000000" w:sz="4" w:space="0"/>
              <w:bottom w:val="single" w:color="000000" w:sz="4" w:space="0"/>
              <w:right w:val="single" w:color="000000" w:sz="4" w:space="0"/>
            </w:tcBorders>
          </w:tcPr>
          <w:p w14:paraId="2C8820B8">
            <w:pPr>
              <w:keepNext/>
              <w:keepLines/>
              <w:widowControl/>
              <w:numPr>
                <w:ilvl w:val="0"/>
                <w:numId w:val="0"/>
              </w:numPr>
              <w:spacing w:before="260" w:after="260" w:line="418" w:lineRule="auto"/>
              <w:ind w:left="805" w:firstLine="0"/>
              <w:outlineLvl w:val="2"/>
              <w:rPr>
                <w:rFonts w:ascii="Times New Roman" w:hAnsi="Times New Roman" w:eastAsia="仿宋_GB2312"/>
                <w:kern w:val="0"/>
                <w:szCs w:val="21"/>
                <w:lang w:bidi="en-US"/>
              </w:rPr>
            </w:pPr>
          </w:p>
        </w:tc>
        <w:tc>
          <w:tcPr>
            <w:tcW w:w="1844" w:type="dxa"/>
            <w:tcBorders>
              <w:top w:val="single" w:color="000000" w:sz="4" w:space="0"/>
              <w:left w:val="single" w:color="000000" w:sz="4" w:space="0"/>
              <w:bottom w:val="single" w:color="000000" w:sz="4" w:space="0"/>
              <w:right w:val="single" w:color="000000" w:sz="4" w:space="0"/>
            </w:tcBorders>
          </w:tcPr>
          <w:p w14:paraId="12C1ADFF">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2268" w:type="dxa"/>
            <w:tcBorders>
              <w:top w:val="single" w:color="000000" w:sz="4" w:space="0"/>
              <w:left w:val="single" w:color="000000" w:sz="4" w:space="0"/>
              <w:bottom w:val="single" w:color="000000" w:sz="4" w:space="0"/>
              <w:right w:val="single" w:color="000000" w:sz="4" w:space="0"/>
            </w:tcBorders>
          </w:tcPr>
          <w:p w14:paraId="39875918">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2408" w:type="dxa"/>
            <w:tcBorders>
              <w:top w:val="single" w:color="000000" w:sz="4" w:space="0"/>
              <w:left w:val="single" w:color="000000" w:sz="4" w:space="0"/>
              <w:bottom w:val="single" w:color="000000" w:sz="4" w:space="0"/>
              <w:right w:val="single" w:color="000000" w:sz="4" w:space="0"/>
            </w:tcBorders>
          </w:tcPr>
          <w:p w14:paraId="301EDB02">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561" w:type="dxa"/>
            <w:tcBorders>
              <w:top w:val="single" w:color="000000" w:sz="4" w:space="0"/>
              <w:left w:val="single" w:color="000000" w:sz="4" w:space="0"/>
              <w:bottom w:val="single" w:color="000000" w:sz="4" w:space="0"/>
              <w:right w:val="single" w:color="000000" w:sz="4" w:space="0"/>
            </w:tcBorders>
          </w:tcPr>
          <w:p w14:paraId="3E943820">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1559" w:type="dxa"/>
            <w:tcBorders>
              <w:top w:val="single" w:color="000000" w:sz="4" w:space="0"/>
              <w:left w:val="single" w:color="000000" w:sz="4" w:space="0"/>
              <w:bottom w:val="single" w:color="000000" w:sz="4" w:space="0"/>
              <w:right w:val="single" w:color="000000" w:sz="4" w:space="0"/>
            </w:tcBorders>
          </w:tcPr>
          <w:p w14:paraId="2E40EFE6">
            <w:pPr>
              <w:keepNext/>
              <w:keepLines/>
              <w:numPr>
                <w:ilvl w:val="0"/>
                <w:numId w:val="0"/>
              </w:numPr>
              <w:spacing w:before="260" w:after="260" w:line="418" w:lineRule="auto"/>
              <w:outlineLvl w:val="2"/>
              <w:rPr>
                <w:rFonts w:ascii="Times New Roman" w:hAnsi="Times New Roman" w:eastAsia="仿宋_GB2312"/>
                <w:kern w:val="0"/>
                <w:szCs w:val="21"/>
                <w:lang w:bidi="en-US"/>
              </w:rPr>
            </w:pPr>
          </w:p>
        </w:tc>
        <w:tc>
          <w:tcPr>
            <w:tcW w:w="707" w:type="dxa"/>
            <w:vMerge w:val="continue"/>
            <w:tcBorders>
              <w:top w:val="single" w:color="000000" w:sz="4" w:space="0"/>
              <w:left w:val="single" w:color="000000" w:sz="4" w:space="0"/>
              <w:bottom w:val="single" w:color="000000" w:sz="4" w:space="0"/>
              <w:right w:val="single" w:color="000000" w:sz="4" w:space="0"/>
            </w:tcBorders>
          </w:tcPr>
          <w:p w14:paraId="1877E170">
            <w:pPr>
              <w:keepNext/>
              <w:keepLines/>
              <w:widowControl/>
              <w:numPr>
                <w:ilvl w:val="0"/>
                <w:numId w:val="0"/>
              </w:numPr>
              <w:spacing w:before="260" w:after="260" w:line="418" w:lineRule="auto"/>
              <w:ind w:left="805" w:firstLine="0"/>
              <w:outlineLvl w:val="2"/>
              <w:rPr>
                <w:rFonts w:ascii="Times New Roman" w:hAnsi="Times New Roman" w:eastAsia="仿宋_GB2312"/>
                <w:kern w:val="0"/>
                <w:szCs w:val="21"/>
                <w:lang w:bidi="en-US"/>
              </w:rPr>
            </w:pPr>
          </w:p>
        </w:tc>
      </w:tr>
    </w:tbl>
    <w:p w14:paraId="77AA9A3D">
      <w:pPr>
        <w:spacing w:before="120" w:after="120" w:line="600" w:lineRule="exact"/>
        <w:jc w:val="right"/>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承诺人：</w:t>
      </w:r>
      <w:r>
        <w:rPr>
          <w:rFonts w:ascii="Times New Roman" w:hAnsi="Times New Roman" w:eastAsia="仿宋_GB2312"/>
          <w:kern w:val="0"/>
          <w:sz w:val="30"/>
          <w:szCs w:val="30"/>
          <w:lang w:bidi="en-US"/>
        </w:rPr>
        <w:tab/>
      </w:r>
      <w:r>
        <w:rPr>
          <w:rFonts w:ascii="Times New Roman" w:hAnsi="Times New Roman" w:eastAsia="仿宋_GB2312"/>
          <w:kern w:val="0"/>
          <w:sz w:val="30"/>
          <w:szCs w:val="30"/>
          <w:lang w:bidi="en-US"/>
        </w:rPr>
        <w:tab/>
      </w:r>
      <w:r>
        <w:rPr>
          <w:rFonts w:ascii="Times New Roman" w:hAnsi="Times New Roman" w:eastAsia="仿宋_GB2312"/>
          <w:kern w:val="0"/>
          <w:sz w:val="30"/>
          <w:szCs w:val="30"/>
          <w:lang w:bidi="en-US"/>
        </w:rPr>
        <w:tab/>
      </w:r>
    </w:p>
    <w:p w14:paraId="328F7D1A">
      <w:pPr>
        <w:spacing w:before="120" w:after="120" w:line="600" w:lineRule="exact"/>
        <w:rPr>
          <w:rFonts w:ascii="Times New Roman" w:hAnsi="Times New Roman"/>
        </w:rPr>
        <w:sectPr>
          <w:footerReference r:id="rId14" w:type="first"/>
          <w:footerReference r:id="rId13" w:type="default"/>
          <w:footnotePr>
            <w:numFmt w:val="decimal"/>
            <w:numRestart w:val="eachPage"/>
          </w:footnotePr>
          <w:pgSz w:w="16838" w:h="11906" w:orient="landscape"/>
          <w:pgMar w:top="1800" w:right="1440" w:bottom="1800" w:left="1440" w:header="0" w:footer="992" w:gutter="0"/>
          <w:pgNumType w:fmt="decimal"/>
          <w:cols w:space="720" w:num="1"/>
          <w:formProt w:val="0"/>
          <w:docGrid w:type="lines" w:linePitch="312" w:charSpace="0"/>
        </w:sectPr>
      </w:pPr>
      <w:r>
        <w:rPr>
          <w:rFonts w:ascii="Times New Roman" w:hAnsi="Times New Roman" w:eastAsia="仿宋_GB2312"/>
          <w:kern w:val="0"/>
          <w:sz w:val="30"/>
          <w:szCs w:val="30"/>
          <w:lang w:bidi="en-US"/>
        </w:rPr>
        <w:t xml:space="preserve">                                                                        xx年xx月xx日</w:t>
      </w:r>
    </w:p>
    <w:p w14:paraId="46C47C03">
      <w:pPr>
        <w:pStyle w:val="4"/>
        <w:jc w:val="left"/>
        <w:rPr>
          <w:rStyle w:val="38"/>
          <w:rFonts w:ascii="Times New Roman" w:hAnsi="Times New Roman"/>
          <w:bCs w:val="0"/>
          <w:i w:val="0"/>
          <w:sz w:val="32"/>
          <w:szCs w:val="32"/>
          <w:shd w:val="clear" w:fill="auto"/>
          <w:lang w:bidi="en-US"/>
        </w:rPr>
      </w:pPr>
      <w:bookmarkStart w:id="60" w:name="_Toc118891191"/>
      <w:r>
        <w:rPr>
          <w:rStyle w:val="38"/>
          <w:rFonts w:ascii="Times New Roman" w:hAnsi="Times New Roman"/>
          <w:bCs w:val="0"/>
          <w:i w:val="0"/>
          <w:sz w:val="32"/>
          <w:szCs w:val="32"/>
          <w:shd w:val="clear" w:fill="auto"/>
          <w:lang w:bidi="en-US"/>
        </w:rPr>
        <w:t>附件5：</w:t>
      </w:r>
      <w:r>
        <w:rPr>
          <w:rFonts w:ascii="Times New Roman" w:hAnsi="Times New Roman"/>
          <w:szCs w:val="30"/>
          <w:shd w:val="clear" w:fill="auto"/>
        </w:rPr>
        <w:t>多期申报差异说明</w:t>
      </w:r>
      <w:bookmarkEnd w:id="60"/>
    </w:p>
    <w:tbl>
      <w:tblPr>
        <w:tblStyle w:val="32"/>
        <w:tblW w:w="8097" w:type="dxa"/>
        <w:tblInd w:w="204" w:type="dxa"/>
        <w:tblLayout w:type="fixed"/>
        <w:tblCellMar>
          <w:top w:w="0" w:type="dxa"/>
          <w:left w:w="108" w:type="dxa"/>
          <w:bottom w:w="0" w:type="dxa"/>
          <w:right w:w="108" w:type="dxa"/>
        </w:tblCellMar>
      </w:tblPr>
      <w:tblGrid>
        <w:gridCol w:w="1718"/>
        <w:gridCol w:w="992"/>
        <w:gridCol w:w="2268"/>
        <w:gridCol w:w="2127"/>
        <w:gridCol w:w="992"/>
      </w:tblGrid>
      <w:tr w14:paraId="17DC0BD9">
        <w:tblPrEx>
          <w:tblCellMar>
            <w:top w:w="0" w:type="dxa"/>
            <w:left w:w="108" w:type="dxa"/>
            <w:bottom w:w="0" w:type="dxa"/>
            <w:right w:w="108" w:type="dxa"/>
          </w:tblCellMar>
        </w:tblPrEx>
        <w:trPr>
          <w:trHeight w:val="1128" w:hRule="atLeast"/>
        </w:trPr>
        <w:tc>
          <w:tcPr>
            <w:tcW w:w="1718" w:type="dxa"/>
            <w:tcBorders>
              <w:top w:val="single" w:color="000000" w:sz="4" w:space="0"/>
              <w:left w:val="single" w:color="000000" w:sz="4" w:space="0"/>
              <w:bottom w:val="single" w:color="000000" w:sz="4" w:space="0"/>
              <w:right w:val="single" w:color="000000" w:sz="4" w:space="0"/>
            </w:tcBorders>
            <w:vAlign w:val="center"/>
          </w:tcPr>
          <w:p w14:paraId="332487C9">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修订文件名称</w:t>
            </w:r>
          </w:p>
        </w:tc>
        <w:tc>
          <w:tcPr>
            <w:tcW w:w="992" w:type="dxa"/>
            <w:tcBorders>
              <w:top w:val="single" w:color="000000" w:sz="4" w:space="0"/>
              <w:bottom w:val="single" w:color="000000" w:sz="4" w:space="0"/>
              <w:right w:val="single" w:color="000000" w:sz="4" w:space="0"/>
            </w:tcBorders>
            <w:vAlign w:val="center"/>
          </w:tcPr>
          <w:p w14:paraId="12A9B17E">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页码</w:t>
            </w:r>
          </w:p>
        </w:tc>
        <w:tc>
          <w:tcPr>
            <w:tcW w:w="2268" w:type="dxa"/>
            <w:tcBorders>
              <w:top w:val="single" w:color="000000" w:sz="4" w:space="0"/>
              <w:bottom w:val="single" w:color="000000" w:sz="4" w:space="0"/>
              <w:right w:val="single" w:color="000000" w:sz="4" w:space="0"/>
            </w:tcBorders>
            <w:vAlign w:val="center"/>
          </w:tcPr>
          <w:p w14:paraId="75846011">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【本次申报项目简称】（例：XX二期）</w:t>
            </w:r>
          </w:p>
        </w:tc>
        <w:tc>
          <w:tcPr>
            <w:tcW w:w="2127" w:type="dxa"/>
            <w:tcBorders>
              <w:top w:val="single" w:color="000000" w:sz="4" w:space="0"/>
              <w:bottom w:val="single" w:color="000000" w:sz="4" w:space="0"/>
              <w:right w:val="single" w:color="000000" w:sz="4" w:space="0"/>
            </w:tcBorders>
            <w:vAlign w:val="center"/>
          </w:tcPr>
          <w:p w14:paraId="699F15DD">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【往期项目简称】（例：XX一期）</w:t>
            </w:r>
          </w:p>
        </w:tc>
        <w:tc>
          <w:tcPr>
            <w:tcW w:w="992" w:type="dxa"/>
            <w:tcBorders>
              <w:top w:val="single" w:color="000000" w:sz="4" w:space="0"/>
              <w:bottom w:val="single" w:color="000000" w:sz="4" w:space="0"/>
              <w:right w:val="single" w:color="000000" w:sz="4" w:space="0"/>
            </w:tcBorders>
            <w:vAlign w:val="center"/>
          </w:tcPr>
          <w:p w14:paraId="153D38FB">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备注</w:t>
            </w:r>
          </w:p>
        </w:tc>
      </w:tr>
      <w:tr w14:paraId="595D08C9">
        <w:tblPrEx>
          <w:tblCellMar>
            <w:top w:w="0" w:type="dxa"/>
            <w:left w:w="108" w:type="dxa"/>
            <w:bottom w:w="0" w:type="dxa"/>
            <w:right w:w="108" w:type="dxa"/>
          </w:tblCellMar>
        </w:tblPrEx>
        <w:trPr>
          <w:trHeight w:val="2122" w:hRule="atLeast"/>
        </w:trPr>
        <w:tc>
          <w:tcPr>
            <w:tcW w:w="1718" w:type="dxa"/>
            <w:tcBorders>
              <w:left w:val="single" w:color="000000" w:sz="4" w:space="0"/>
              <w:bottom w:val="single" w:color="000000" w:sz="4" w:space="0"/>
              <w:right w:val="single" w:color="000000" w:sz="4" w:space="0"/>
            </w:tcBorders>
            <w:vAlign w:val="center"/>
          </w:tcPr>
          <w:p w14:paraId="757218CF">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【文件一】</w:t>
            </w:r>
          </w:p>
        </w:tc>
        <w:tc>
          <w:tcPr>
            <w:tcW w:w="992" w:type="dxa"/>
            <w:tcBorders>
              <w:bottom w:val="single" w:color="000000" w:sz="4" w:space="0"/>
              <w:right w:val="single" w:color="000000" w:sz="4" w:space="0"/>
            </w:tcBorders>
            <w:vAlign w:val="center"/>
          </w:tcPr>
          <w:p w14:paraId="72588CC9">
            <w:pPr>
              <w:keepNext/>
              <w:keepLines/>
              <w:numPr>
                <w:ilvl w:val="0"/>
                <w:numId w:val="0"/>
              </w:numPr>
              <w:spacing w:before="120" w:after="120" w:line="418" w:lineRule="auto"/>
              <w:outlineLvl w:val="2"/>
              <w:rPr>
                <w:rFonts w:ascii="Times New Roman" w:hAnsi="Times New Roman" w:eastAsia="仿宋_GB2312"/>
                <w:b/>
                <w:bCs/>
                <w:kern w:val="0"/>
                <w:sz w:val="32"/>
                <w:szCs w:val="21"/>
                <w:lang w:bidi="en-US"/>
              </w:rPr>
            </w:pPr>
          </w:p>
        </w:tc>
        <w:tc>
          <w:tcPr>
            <w:tcW w:w="2268" w:type="dxa"/>
            <w:tcBorders>
              <w:bottom w:val="single" w:color="000000" w:sz="4" w:space="0"/>
              <w:right w:val="single" w:color="000000" w:sz="4" w:space="0"/>
            </w:tcBorders>
            <w:vAlign w:val="center"/>
          </w:tcPr>
          <w:p w14:paraId="77F4F708">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【修改后内容】</w:t>
            </w:r>
          </w:p>
          <w:p w14:paraId="0958440F">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变更内容请以加粗格式显示。</w:t>
            </w:r>
          </w:p>
          <w:p w14:paraId="4D7177AD">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若为本期新增内容或往期内容在本期中删除，请加粗注明。</w:t>
            </w:r>
          </w:p>
        </w:tc>
        <w:tc>
          <w:tcPr>
            <w:tcW w:w="2127" w:type="dxa"/>
            <w:tcBorders>
              <w:bottom w:val="single" w:color="000000" w:sz="4" w:space="0"/>
              <w:right w:val="single" w:color="000000" w:sz="4" w:space="0"/>
            </w:tcBorders>
            <w:vAlign w:val="center"/>
          </w:tcPr>
          <w:p w14:paraId="05FE4582">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（往期内容）</w:t>
            </w:r>
          </w:p>
        </w:tc>
        <w:tc>
          <w:tcPr>
            <w:tcW w:w="992" w:type="dxa"/>
            <w:tcBorders>
              <w:bottom w:val="single" w:color="000000" w:sz="4" w:space="0"/>
              <w:right w:val="single" w:color="000000" w:sz="4" w:space="0"/>
            </w:tcBorders>
            <w:vAlign w:val="center"/>
          </w:tcPr>
          <w:p w14:paraId="64E681CB">
            <w:pPr>
              <w:spacing w:before="120" w:after="120"/>
              <w:rPr>
                <w:rFonts w:ascii="Times New Roman" w:hAnsi="Times New Roman" w:eastAsia="仿宋_GB2312"/>
                <w:b/>
                <w:bCs/>
                <w:kern w:val="0"/>
                <w:szCs w:val="21"/>
                <w:lang w:bidi="en-US"/>
              </w:rPr>
            </w:pPr>
            <w:r>
              <w:rPr>
                <w:rFonts w:ascii="Times New Roman" w:hAnsi="Times New Roman" w:eastAsia="仿宋_GB2312"/>
                <w:kern w:val="0"/>
                <w:szCs w:val="21"/>
                <w:lang w:bidi="en-US"/>
              </w:rPr>
              <w:t>　</w:t>
            </w:r>
          </w:p>
        </w:tc>
      </w:tr>
      <w:tr w14:paraId="24821C59">
        <w:tblPrEx>
          <w:tblCellMar>
            <w:top w:w="0" w:type="dxa"/>
            <w:left w:w="108" w:type="dxa"/>
            <w:bottom w:w="0" w:type="dxa"/>
            <w:right w:w="108" w:type="dxa"/>
          </w:tblCellMar>
        </w:tblPrEx>
        <w:trPr>
          <w:trHeight w:val="270" w:hRule="atLeast"/>
        </w:trPr>
        <w:tc>
          <w:tcPr>
            <w:tcW w:w="1718" w:type="dxa"/>
            <w:tcBorders>
              <w:left w:val="single" w:color="000000" w:sz="4" w:space="0"/>
              <w:bottom w:val="single" w:color="000000" w:sz="4" w:space="0"/>
              <w:right w:val="single" w:color="000000" w:sz="4" w:space="0"/>
            </w:tcBorders>
            <w:vAlign w:val="center"/>
          </w:tcPr>
          <w:p w14:paraId="7C9B930F">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【文件二】</w:t>
            </w:r>
          </w:p>
        </w:tc>
        <w:tc>
          <w:tcPr>
            <w:tcW w:w="992" w:type="dxa"/>
            <w:tcBorders>
              <w:bottom w:val="single" w:color="000000" w:sz="4" w:space="0"/>
              <w:right w:val="single" w:color="000000" w:sz="4" w:space="0"/>
            </w:tcBorders>
            <w:vAlign w:val="center"/>
          </w:tcPr>
          <w:p w14:paraId="3783CE3B">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c>
          <w:tcPr>
            <w:tcW w:w="2268" w:type="dxa"/>
            <w:tcBorders>
              <w:bottom w:val="single" w:color="000000" w:sz="4" w:space="0"/>
              <w:right w:val="single" w:color="000000" w:sz="4" w:space="0"/>
            </w:tcBorders>
            <w:vAlign w:val="center"/>
          </w:tcPr>
          <w:p w14:paraId="5FCD6D7B">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c>
          <w:tcPr>
            <w:tcW w:w="2127" w:type="dxa"/>
            <w:tcBorders>
              <w:bottom w:val="single" w:color="000000" w:sz="4" w:space="0"/>
              <w:right w:val="single" w:color="000000" w:sz="4" w:space="0"/>
            </w:tcBorders>
            <w:vAlign w:val="center"/>
          </w:tcPr>
          <w:p w14:paraId="0B7D4A24">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c>
          <w:tcPr>
            <w:tcW w:w="992" w:type="dxa"/>
            <w:tcBorders>
              <w:bottom w:val="single" w:color="000000" w:sz="4" w:space="0"/>
              <w:right w:val="single" w:color="000000" w:sz="4" w:space="0"/>
            </w:tcBorders>
            <w:vAlign w:val="center"/>
          </w:tcPr>
          <w:p w14:paraId="19554ED0">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r>
      <w:tr w14:paraId="78F15D5E">
        <w:tblPrEx>
          <w:tblCellMar>
            <w:top w:w="0" w:type="dxa"/>
            <w:left w:w="108" w:type="dxa"/>
            <w:bottom w:w="0" w:type="dxa"/>
            <w:right w:w="108" w:type="dxa"/>
          </w:tblCellMar>
        </w:tblPrEx>
        <w:trPr>
          <w:trHeight w:val="270" w:hRule="atLeast"/>
        </w:trPr>
        <w:tc>
          <w:tcPr>
            <w:tcW w:w="1718" w:type="dxa"/>
            <w:tcBorders>
              <w:left w:val="single" w:color="000000" w:sz="4" w:space="0"/>
              <w:bottom w:val="single" w:color="000000" w:sz="4" w:space="0"/>
              <w:right w:val="single" w:color="000000" w:sz="4" w:space="0"/>
            </w:tcBorders>
            <w:vAlign w:val="center"/>
          </w:tcPr>
          <w:p w14:paraId="592E2F31">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【文件n】</w:t>
            </w:r>
          </w:p>
        </w:tc>
        <w:tc>
          <w:tcPr>
            <w:tcW w:w="992" w:type="dxa"/>
            <w:tcBorders>
              <w:bottom w:val="single" w:color="000000" w:sz="4" w:space="0"/>
              <w:right w:val="single" w:color="000000" w:sz="4" w:space="0"/>
            </w:tcBorders>
            <w:vAlign w:val="center"/>
          </w:tcPr>
          <w:p w14:paraId="1672FAB5">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c>
          <w:tcPr>
            <w:tcW w:w="2268" w:type="dxa"/>
            <w:tcBorders>
              <w:bottom w:val="single" w:color="000000" w:sz="4" w:space="0"/>
              <w:right w:val="single" w:color="000000" w:sz="4" w:space="0"/>
            </w:tcBorders>
            <w:vAlign w:val="center"/>
          </w:tcPr>
          <w:p w14:paraId="16F1452B">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c>
          <w:tcPr>
            <w:tcW w:w="2127" w:type="dxa"/>
            <w:tcBorders>
              <w:bottom w:val="single" w:color="000000" w:sz="4" w:space="0"/>
              <w:right w:val="single" w:color="000000" w:sz="4" w:space="0"/>
            </w:tcBorders>
            <w:vAlign w:val="center"/>
          </w:tcPr>
          <w:p w14:paraId="4B60C635">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c>
          <w:tcPr>
            <w:tcW w:w="992" w:type="dxa"/>
            <w:tcBorders>
              <w:bottom w:val="single" w:color="000000" w:sz="4" w:space="0"/>
              <w:right w:val="single" w:color="000000" w:sz="4" w:space="0"/>
            </w:tcBorders>
            <w:vAlign w:val="center"/>
          </w:tcPr>
          <w:p w14:paraId="2CACB69F">
            <w:pPr>
              <w:spacing w:before="120" w:after="120"/>
              <w:rPr>
                <w:rFonts w:ascii="Times New Roman" w:hAnsi="Times New Roman" w:eastAsia="仿宋_GB2312"/>
                <w:kern w:val="0"/>
                <w:szCs w:val="21"/>
                <w:lang w:bidi="en-US"/>
              </w:rPr>
            </w:pPr>
            <w:r>
              <w:rPr>
                <w:rFonts w:ascii="Times New Roman" w:hAnsi="Times New Roman" w:eastAsia="仿宋_GB2312"/>
                <w:kern w:val="0"/>
                <w:szCs w:val="21"/>
                <w:lang w:bidi="en-US"/>
              </w:rPr>
              <w:t>　</w:t>
            </w:r>
          </w:p>
        </w:tc>
      </w:tr>
    </w:tbl>
    <w:p w14:paraId="4C5B46E4">
      <w:pPr>
        <w:spacing w:before="120" w:after="120" w:line="600" w:lineRule="exact"/>
        <w:ind w:left="720"/>
        <w:jc w:val="center"/>
        <w:rPr>
          <w:rFonts w:ascii="Times New Roman" w:hAnsi="Times New Roman" w:eastAsia="仿宋_GB2312"/>
          <w:kern w:val="0"/>
          <w:szCs w:val="21"/>
          <w:lang w:bidi="en-US"/>
        </w:rPr>
      </w:pPr>
      <w:r>
        <w:rPr>
          <w:rFonts w:ascii="Times New Roman" w:hAnsi="Times New Roman" w:eastAsia="仿宋_GB2312"/>
          <w:kern w:val="0"/>
          <w:szCs w:val="21"/>
          <w:lang w:bidi="en-US"/>
        </w:rPr>
        <w:t>（表格内容至此）</w:t>
      </w:r>
    </w:p>
    <w:p w14:paraId="27C06804">
      <w:pPr>
        <w:spacing w:before="120" w:after="120" w:line="600" w:lineRule="exact"/>
        <w:ind w:firstLine="600"/>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管理人名称】承诺，除本表格登记、说明的内容外，本次资产支持证券挂牌申请材料中不存在其他与前次申请材料不一致的内容。本方亦承诺，本表格填写的内容真实、准确、完整，不存在重大遗漏及误导性陈述。</w:t>
      </w:r>
    </w:p>
    <w:p w14:paraId="7E5F98C2">
      <w:pPr>
        <w:spacing w:before="120" w:after="120" w:line="600" w:lineRule="exact"/>
        <w:jc w:val="right"/>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　　　　　　　</w:t>
      </w:r>
      <w:r>
        <w:rPr>
          <w:rFonts w:ascii="Times New Roman" w:hAnsi="Times New Roman" w:eastAsia="仿宋_GB2312"/>
          <w:kern w:val="0"/>
          <w:sz w:val="30"/>
          <w:szCs w:val="30"/>
          <w:lang w:bidi="en-US"/>
        </w:rPr>
        <w:tab/>
      </w:r>
      <w:r>
        <w:rPr>
          <w:rFonts w:ascii="Times New Roman" w:hAnsi="Times New Roman" w:eastAsia="仿宋_GB2312"/>
          <w:kern w:val="0"/>
          <w:sz w:val="30"/>
          <w:szCs w:val="30"/>
          <w:lang w:bidi="en-US"/>
        </w:rPr>
        <w:t>承诺人：</w:t>
      </w:r>
      <w:r>
        <w:rPr>
          <w:rFonts w:ascii="Times New Roman" w:hAnsi="Times New Roman" w:eastAsia="仿宋_GB2312"/>
          <w:kern w:val="0"/>
          <w:sz w:val="30"/>
          <w:szCs w:val="30"/>
          <w:lang w:bidi="en-US"/>
        </w:rPr>
        <w:tab/>
      </w:r>
      <w:r>
        <w:rPr>
          <w:rFonts w:ascii="Times New Roman" w:hAnsi="Times New Roman" w:eastAsia="仿宋_GB2312"/>
          <w:kern w:val="0"/>
          <w:sz w:val="30"/>
          <w:szCs w:val="30"/>
          <w:lang w:bidi="en-US"/>
        </w:rPr>
        <w:tab/>
      </w:r>
      <w:r>
        <w:rPr>
          <w:rFonts w:ascii="Times New Roman" w:hAnsi="Times New Roman" w:eastAsia="仿宋_GB2312"/>
          <w:kern w:val="0"/>
          <w:sz w:val="30"/>
          <w:szCs w:val="30"/>
          <w:lang w:bidi="en-US"/>
        </w:rPr>
        <w:tab/>
      </w:r>
    </w:p>
    <w:p w14:paraId="23CC3DCC">
      <w:pPr>
        <w:spacing w:before="120" w:after="120" w:line="600" w:lineRule="exact"/>
        <w:jc w:val="right"/>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xx年xx月xx日</w:t>
      </w:r>
    </w:p>
    <w:p w14:paraId="229E5F88">
      <w:pPr>
        <w:widowControl/>
        <w:jc w:val="left"/>
        <w:rPr>
          <w:rStyle w:val="38"/>
          <w:rFonts w:ascii="Times New Roman" w:hAnsi="Times New Roman" w:eastAsia="仿宋_GB2312"/>
          <w:b/>
          <w:bCs/>
          <w:i w:val="0"/>
          <w:kern w:val="2"/>
          <w:sz w:val="32"/>
          <w:szCs w:val="32"/>
        </w:rPr>
      </w:pPr>
      <w:r>
        <w:br w:type="page"/>
      </w:r>
    </w:p>
    <w:p w14:paraId="636C7820">
      <w:pPr>
        <w:pStyle w:val="4"/>
        <w:spacing w:before="0" w:after="330"/>
        <w:jc w:val="left"/>
        <w:rPr>
          <w:rStyle w:val="38"/>
          <w:rFonts w:ascii="Times New Roman" w:hAnsi="Times New Roman"/>
          <w:i w:val="0"/>
          <w:sz w:val="32"/>
          <w:szCs w:val="32"/>
          <w:shd w:val="clear" w:fill="auto"/>
        </w:rPr>
      </w:pPr>
      <w:bookmarkStart w:id="61" w:name="_Toc118891192"/>
      <w:r>
        <w:rPr>
          <w:rStyle w:val="38"/>
          <w:rFonts w:ascii="Times New Roman" w:hAnsi="Times New Roman"/>
          <w:i w:val="0"/>
          <w:sz w:val="32"/>
          <w:szCs w:val="32"/>
          <w:shd w:val="clear" w:fill="auto"/>
        </w:rPr>
        <w:t>附件6：</w:t>
      </w:r>
      <w:r>
        <w:rPr>
          <w:rFonts w:ascii="Times New Roman" w:hAnsi="Times New Roman"/>
          <w:szCs w:val="30"/>
          <w:shd w:val="clear" w:fill="auto"/>
        </w:rPr>
        <w:t>信息披露豁免申请</w:t>
      </w:r>
      <w:bookmarkEnd w:id="61"/>
    </w:p>
    <w:p w14:paraId="2E6BCEE8">
      <w:pPr>
        <w:tabs>
          <w:tab w:val="left" w:pos="3686"/>
        </w:tabs>
        <w:spacing w:before="217" w:after="217" w:line="600" w:lineRule="exact"/>
        <w:jc w:val="center"/>
        <w:rPr>
          <w:rFonts w:ascii="Times New Roman" w:hAnsi="Times New Roman" w:eastAsia="仿宋_GB2312"/>
          <w:b/>
          <w:bCs/>
          <w:sz w:val="36"/>
          <w:szCs w:val="36"/>
        </w:rPr>
      </w:pPr>
      <w:r>
        <w:rPr>
          <w:rFonts w:ascii="Times New Roman" w:hAnsi="Times New Roman" w:eastAsia="仿宋_GB2312"/>
          <w:b/>
          <w:bCs/>
          <w:sz w:val="36"/>
          <w:szCs w:val="36"/>
        </w:rPr>
        <w:t>关于豁免披露信息的说明</w:t>
      </w:r>
    </w:p>
    <w:p w14:paraId="7298AD38">
      <w:pPr>
        <w:tabs>
          <w:tab w:val="left" w:pos="3686"/>
        </w:tabs>
        <w:spacing w:before="217" w:after="217" w:line="600" w:lineRule="exact"/>
        <w:ind w:firstLine="723"/>
        <w:jc w:val="center"/>
        <w:rPr>
          <w:rFonts w:ascii="Times New Roman" w:hAnsi="Times New Roman" w:eastAsia="仿宋_GB2312"/>
          <w:b/>
          <w:sz w:val="36"/>
          <w:szCs w:val="36"/>
        </w:rPr>
      </w:pPr>
    </w:p>
    <w:p w14:paraId="1767CF71">
      <w:pPr>
        <w:widowControl/>
        <w:snapToGrid w:val="0"/>
        <w:spacing w:line="600" w:lineRule="exact"/>
        <w:rPr>
          <w:rFonts w:ascii="Times New Roman" w:hAnsi="Times New Roman" w:eastAsia="仿宋_GB2312"/>
          <w:color w:val="000000"/>
          <w:kern w:val="0"/>
          <w:sz w:val="30"/>
          <w:szCs w:val="30"/>
          <w:lang w:bidi="en-US"/>
        </w:rPr>
      </w:pPr>
      <w:r>
        <w:rPr>
          <w:rFonts w:ascii="Times New Roman" w:hAnsi="Times New Roman" w:eastAsia="仿宋_GB2312"/>
          <w:color w:val="000000"/>
          <w:kern w:val="0"/>
          <w:sz w:val="30"/>
          <w:szCs w:val="30"/>
          <w:lang w:bidi="en-US"/>
        </w:rPr>
        <w:t>XX证券交易所：</w:t>
      </w:r>
    </w:p>
    <w:p w14:paraId="6EE85FF1">
      <w:pPr>
        <w:widowControl/>
        <w:snapToGrid w:val="0"/>
        <w:spacing w:line="600" w:lineRule="exact"/>
        <w:ind w:firstLine="600"/>
        <w:rPr>
          <w:rFonts w:ascii="Times New Roman" w:hAnsi="Times New Roman" w:eastAsia="仿宋_GB2312"/>
          <w:color w:val="000000"/>
          <w:kern w:val="0"/>
          <w:sz w:val="30"/>
          <w:szCs w:val="30"/>
          <w:lang w:bidi="en-US"/>
        </w:rPr>
      </w:pPr>
      <w:r>
        <w:rPr>
          <w:rFonts w:ascii="Times New Roman" w:hAnsi="Times New Roman" w:eastAsia="仿宋_GB2312"/>
          <w:color w:val="000000"/>
          <w:kern w:val="0"/>
          <w:sz w:val="30"/>
          <w:szCs w:val="30"/>
          <w:lang w:bidi="en-US"/>
        </w:rPr>
        <w:t>XXX公司于XX年XX月XX日申报了资产支持证券的申请文件，因拟披露的信息涉及[国家秘密/</w:t>
      </w:r>
      <w:r>
        <w:rPr>
          <w:rFonts w:ascii="Times New Roman" w:hAnsi="Times New Roman" w:eastAsia="仿宋_GB2312"/>
          <w:sz w:val="30"/>
          <w:szCs w:val="30"/>
          <w:lang w:bidi="en-US"/>
        </w:rPr>
        <w:t>永久性</w:t>
      </w:r>
      <w:r>
        <w:rPr>
          <w:rFonts w:ascii="Times New Roman" w:hAnsi="Times New Roman" w:eastAsia="仿宋_GB2312"/>
          <w:color w:val="000000"/>
          <w:kern w:val="0"/>
          <w:sz w:val="30"/>
          <w:szCs w:val="30"/>
          <w:lang w:bidi="en-US"/>
        </w:rPr>
        <w:t>商业秘密/</w:t>
      </w:r>
      <w:r>
        <w:rPr>
          <w:rFonts w:ascii="Times New Roman" w:hAnsi="Times New Roman" w:eastAsia="仿宋_GB2312"/>
          <w:sz w:val="30"/>
          <w:szCs w:val="30"/>
          <w:lang w:bidi="en-US"/>
        </w:rPr>
        <w:t>商业敏感信息</w:t>
      </w:r>
      <w:r>
        <w:rPr>
          <w:rFonts w:ascii="Times New Roman" w:hAnsi="Times New Roman" w:eastAsia="仿宋_GB2312"/>
          <w:color w:val="000000"/>
          <w:kern w:val="0"/>
          <w:sz w:val="30"/>
          <w:szCs w:val="30"/>
          <w:lang w:bidi="en-US"/>
        </w:rPr>
        <w:t>/其他情形]，特进行说明，具体情况如下：</w:t>
      </w:r>
    </w:p>
    <w:p w14:paraId="5F47B9DD">
      <w:pPr>
        <w:widowControl/>
        <w:snapToGrid w:val="0"/>
        <w:spacing w:line="600" w:lineRule="exact"/>
        <w:ind w:firstLine="600"/>
        <w:rPr>
          <w:rFonts w:ascii="Times New Roman" w:hAnsi="Times New Roman" w:eastAsia="仿宋_GB2312"/>
          <w:color w:val="000000"/>
          <w:kern w:val="0"/>
          <w:sz w:val="30"/>
          <w:szCs w:val="30"/>
          <w:lang w:bidi="en-US"/>
        </w:rPr>
      </w:pPr>
      <w:r>
        <w:rPr>
          <w:rFonts w:ascii="Times New Roman" w:hAnsi="Times New Roman" w:eastAsia="仿宋_GB2312"/>
          <w:color w:val="000000"/>
          <w:kern w:val="0"/>
          <w:sz w:val="30"/>
          <w:szCs w:val="30"/>
          <w:lang w:bidi="en-US"/>
        </w:rPr>
        <w:t>[申请豁免披露信息的原因]</w:t>
      </w:r>
    </w:p>
    <w:p w14:paraId="4BE040E9">
      <w:pPr>
        <w:widowControl/>
        <w:snapToGrid w:val="0"/>
        <w:spacing w:line="600" w:lineRule="exact"/>
        <w:ind w:firstLine="600"/>
        <w:rPr>
          <w:rFonts w:ascii="Times New Roman" w:hAnsi="Times New Roman" w:eastAsia="仿宋_GB2312"/>
          <w:color w:val="000000"/>
          <w:kern w:val="0"/>
          <w:sz w:val="30"/>
          <w:szCs w:val="30"/>
          <w:lang w:bidi="en-US"/>
        </w:rPr>
      </w:pPr>
      <w:r>
        <w:rPr>
          <w:rFonts w:ascii="Times New Roman" w:hAnsi="Times New Roman" w:eastAsia="仿宋_GB2312"/>
          <w:color w:val="000000"/>
          <w:kern w:val="0"/>
          <w:sz w:val="30"/>
          <w:szCs w:val="30"/>
          <w:lang w:bidi="en-US"/>
        </w:rPr>
        <w:t>本公司承诺已披露信息符合[《保守国家秘密法》/其他法律法规]等保密法律法规的规定，现对涉及[国家秘密/</w:t>
      </w:r>
      <w:r>
        <w:rPr>
          <w:rFonts w:ascii="Times New Roman" w:hAnsi="Times New Roman" w:eastAsia="仿宋_GB2312"/>
          <w:sz w:val="30"/>
          <w:szCs w:val="30"/>
          <w:lang w:bidi="en-US"/>
        </w:rPr>
        <w:t>永久性</w:t>
      </w:r>
      <w:r>
        <w:rPr>
          <w:rFonts w:ascii="Times New Roman" w:hAnsi="Times New Roman" w:eastAsia="仿宋_GB2312"/>
          <w:color w:val="000000"/>
          <w:kern w:val="0"/>
          <w:sz w:val="30"/>
          <w:szCs w:val="30"/>
          <w:lang w:bidi="en-US"/>
        </w:rPr>
        <w:t>商业秘密/</w:t>
      </w:r>
      <w:r>
        <w:rPr>
          <w:rFonts w:ascii="Times New Roman" w:hAnsi="Times New Roman" w:eastAsia="仿宋_GB2312"/>
          <w:sz w:val="30"/>
          <w:szCs w:val="30"/>
          <w:lang w:bidi="en-US"/>
        </w:rPr>
        <w:t>商业敏感信息</w:t>
      </w:r>
      <w:r>
        <w:rPr>
          <w:rFonts w:ascii="Times New Roman" w:hAnsi="Times New Roman" w:eastAsia="仿宋_GB2312"/>
          <w:color w:val="000000"/>
          <w:kern w:val="0"/>
          <w:sz w:val="30"/>
          <w:szCs w:val="30"/>
          <w:lang w:bidi="en-US"/>
        </w:rPr>
        <w:t>]的信息申请豁免披露。</w:t>
      </w:r>
    </w:p>
    <w:p w14:paraId="4B783D57">
      <w:pPr>
        <w:widowControl/>
        <w:snapToGrid w:val="0"/>
        <w:spacing w:line="600" w:lineRule="exact"/>
        <w:ind w:firstLine="600"/>
        <w:rPr>
          <w:rFonts w:ascii="Times New Roman" w:hAnsi="Times New Roman" w:eastAsia="仿宋_GB2312"/>
          <w:color w:val="000000"/>
          <w:kern w:val="0"/>
          <w:sz w:val="30"/>
          <w:szCs w:val="30"/>
          <w:lang w:bidi="en-US"/>
        </w:rPr>
      </w:pPr>
    </w:p>
    <w:p w14:paraId="12F49D1E">
      <w:pPr>
        <w:widowControl/>
        <w:snapToGrid w:val="0"/>
        <w:spacing w:line="600" w:lineRule="exact"/>
        <w:ind w:firstLine="600"/>
        <w:rPr>
          <w:rFonts w:ascii="Times New Roman" w:hAnsi="Times New Roman" w:eastAsia="仿宋_GB2312"/>
          <w:color w:val="000000"/>
          <w:kern w:val="0"/>
          <w:sz w:val="30"/>
          <w:szCs w:val="30"/>
          <w:lang w:bidi="en-US"/>
        </w:rPr>
      </w:pPr>
      <w:r>
        <w:rPr>
          <w:rFonts w:ascii="Times New Roman" w:hAnsi="Times New Roman" w:eastAsia="仿宋_GB2312"/>
          <w:color w:val="000000"/>
          <w:kern w:val="0"/>
          <w:sz w:val="30"/>
          <w:szCs w:val="30"/>
          <w:lang w:bidi="en-US"/>
        </w:rPr>
        <w:t>法定代表人（签名）：</w:t>
      </w:r>
    </w:p>
    <w:p w14:paraId="442E309D">
      <w:pPr>
        <w:widowControl/>
        <w:snapToGrid w:val="0"/>
        <w:spacing w:before="120" w:after="120" w:line="600" w:lineRule="exact"/>
        <w:ind w:firstLine="600"/>
        <w:rPr>
          <w:rFonts w:ascii="Times New Roman" w:hAnsi="Times New Roman" w:eastAsia="仿宋_GB2312"/>
          <w:color w:val="000000"/>
          <w:kern w:val="0"/>
          <w:sz w:val="30"/>
          <w:szCs w:val="30"/>
          <w:lang w:bidi="en-US"/>
        </w:rPr>
      </w:pPr>
    </w:p>
    <w:p w14:paraId="2D7DC2DE">
      <w:pPr>
        <w:widowControl/>
        <w:snapToGrid w:val="0"/>
        <w:spacing w:before="120" w:after="120" w:line="600" w:lineRule="exact"/>
        <w:ind w:firstLine="600"/>
        <w:jc w:val="right"/>
        <w:rPr>
          <w:rFonts w:ascii="Times New Roman" w:hAnsi="Times New Roman" w:eastAsia="仿宋_GB2312"/>
          <w:color w:val="000000"/>
          <w:kern w:val="0"/>
          <w:sz w:val="30"/>
          <w:szCs w:val="30"/>
          <w:lang w:bidi="en-US"/>
        </w:rPr>
      </w:pPr>
      <w:r>
        <w:rPr>
          <w:rFonts w:ascii="Times New Roman" w:hAnsi="Times New Roman" w:eastAsia="仿宋_GB2312"/>
          <w:color w:val="000000"/>
          <w:kern w:val="0"/>
          <w:sz w:val="30"/>
          <w:szCs w:val="30"/>
          <w:lang w:bidi="en-US"/>
        </w:rPr>
        <w:t>管理人（公章）</w:t>
      </w:r>
    </w:p>
    <w:p w14:paraId="4404F25C">
      <w:pPr>
        <w:spacing w:before="120" w:after="120" w:line="600" w:lineRule="exact"/>
        <w:jc w:val="right"/>
        <w:rPr>
          <w:rFonts w:ascii="Times New Roman" w:hAnsi="Times New Roman" w:eastAsia="仿宋_GB2312"/>
          <w:kern w:val="0"/>
          <w:sz w:val="30"/>
          <w:szCs w:val="30"/>
          <w:lang w:bidi="en-US"/>
        </w:rPr>
      </w:pPr>
      <w:r>
        <w:rPr>
          <w:rFonts w:ascii="Times New Roman" w:hAnsi="Times New Roman" w:eastAsia="仿宋_GB2312"/>
          <w:kern w:val="0"/>
          <w:sz w:val="30"/>
          <w:szCs w:val="30"/>
          <w:lang w:bidi="en-US"/>
        </w:rPr>
        <w:t>xx年xx月xx日</w:t>
      </w:r>
    </w:p>
    <w:p w14:paraId="501E804A">
      <w:pPr>
        <w:pStyle w:val="2"/>
        <w:spacing w:line="600" w:lineRule="exact"/>
        <w:rPr>
          <w:rFonts w:ascii="Times New Roman" w:hAnsi="Times New Roman"/>
          <w:lang w:bidi="en-US"/>
        </w:rPr>
      </w:pPr>
    </w:p>
    <w:p w14:paraId="1CE4C1EA">
      <w:pPr>
        <w:pStyle w:val="2"/>
        <w:spacing w:line="600" w:lineRule="exact"/>
        <w:rPr>
          <w:rFonts w:ascii="Times New Roman" w:hAnsi="Times New Roman"/>
          <w:lang w:bidi="en-US"/>
        </w:rPr>
      </w:pPr>
    </w:p>
    <w:p w14:paraId="66D903D7">
      <w:pPr>
        <w:pStyle w:val="4"/>
        <w:jc w:val="left"/>
        <w:rPr>
          <w:rStyle w:val="38"/>
          <w:rFonts w:ascii="Times New Roman" w:hAnsi="Times New Roman"/>
          <w:i w:val="0"/>
          <w:sz w:val="32"/>
          <w:szCs w:val="32"/>
          <w:shd w:val="clear" w:fill="auto"/>
        </w:rPr>
      </w:pPr>
      <w:bookmarkStart w:id="62" w:name="_Toc118891193"/>
      <w:r>
        <w:rPr>
          <w:rStyle w:val="38"/>
          <w:rFonts w:ascii="Times New Roman" w:hAnsi="Times New Roman"/>
          <w:i w:val="0"/>
          <w:sz w:val="32"/>
          <w:szCs w:val="32"/>
          <w:shd w:val="clear" w:fill="auto"/>
        </w:rPr>
        <w:t>附件7：报告期各期末全口径有息债务情况披露格式</w:t>
      </w:r>
      <w:bookmarkEnd w:id="62"/>
      <w:r>
        <w:rPr>
          <w:rStyle w:val="38"/>
          <w:rFonts w:ascii="Times New Roman" w:hAnsi="Times New Roman"/>
          <w:i w:val="0"/>
          <w:sz w:val="32"/>
          <w:szCs w:val="32"/>
          <w:shd w:val="clear" w:fill="auto"/>
        </w:rPr>
        <w:tab/>
      </w:r>
    </w:p>
    <w:p w14:paraId="534853F9">
      <w:pPr>
        <w:snapToGrid w:val="0"/>
        <w:spacing w:line="600" w:lineRule="exact"/>
        <w:ind w:firstLine="601"/>
        <w:jc w:val="left"/>
        <w:rPr>
          <w:rFonts w:ascii="Times New Roman" w:hAnsi="Times New Roman" w:eastAsia="黑体"/>
          <w:b/>
          <w:color w:val="000000"/>
          <w:kern w:val="0"/>
          <w:sz w:val="30"/>
          <w:szCs w:val="30"/>
        </w:rPr>
      </w:pPr>
      <w:bookmarkStart w:id="63" w:name="_Toc117686686"/>
      <w:bookmarkStart w:id="64" w:name="_Toc118876485"/>
      <w:r>
        <w:rPr>
          <w:rFonts w:ascii="Times New Roman" w:hAnsi="Times New Roman" w:eastAsia="黑体"/>
          <w:b/>
          <w:color w:val="000000"/>
          <w:kern w:val="0"/>
          <w:sz w:val="30"/>
          <w:szCs w:val="30"/>
        </w:rPr>
        <w:t>一、报告期各期末有息债务余额和类型</w:t>
      </w:r>
      <w:bookmarkEnd w:id="63"/>
      <w:bookmarkEnd w:id="64"/>
    </w:p>
    <w:p w14:paraId="6C12806C">
      <w:pPr>
        <w:snapToGrid w:val="0"/>
        <w:spacing w:before="120" w:after="120" w:line="600" w:lineRule="exact"/>
        <w:ind w:firstLine="420"/>
        <w:contextualSpacing/>
        <w:jc w:val="right"/>
        <w:rPr>
          <w:rFonts w:ascii="Times New Roman" w:hAnsi="Times New Roman" w:eastAsia="仿宋_GB2312"/>
          <w:color w:val="000000"/>
          <w:sz w:val="28"/>
          <w:szCs w:val="28"/>
        </w:rPr>
      </w:pPr>
      <w:r>
        <w:rPr>
          <w:rFonts w:ascii="Times New Roman" w:hAnsi="Times New Roman" w:eastAsia="仿宋_GB2312"/>
          <w:color w:val="000000"/>
          <w:szCs w:val="21"/>
        </w:rPr>
        <w:t>单位：亿元，%</w:t>
      </w:r>
    </w:p>
    <w:tbl>
      <w:tblPr>
        <w:tblStyle w:val="32"/>
        <w:tblW w:w="8526" w:type="dxa"/>
        <w:jc w:val="center"/>
        <w:tblLayout w:type="fixed"/>
        <w:tblCellMar>
          <w:top w:w="0" w:type="dxa"/>
          <w:left w:w="108" w:type="dxa"/>
          <w:bottom w:w="0" w:type="dxa"/>
          <w:right w:w="108" w:type="dxa"/>
        </w:tblCellMar>
      </w:tblPr>
      <w:tblGrid>
        <w:gridCol w:w="1475"/>
        <w:gridCol w:w="867"/>
        <w:gridCol w:w="10"/>
        <w:gridCol w:w="883"/>
        <w:gridCol w:w="884"/>
        <w:gridCol w:w="868"/>
        <w:gridCol w:w="14"/>
        <w:gridCol w:w="880"/>
        <w:gridCol w:w="6"/>
        <w:gridCol w:w="868"/>
        <w:gridCol w:w="6"/>
        <w:gridCol w:w="880"/>
        <w:gridCol w:w="884"/>
      </w:tblGrid>
      <w:tr w14:paraId="19E55901">
        <w:tblPrEx>
          <w:tblCellMar>
            <w:top w:w="0" w:type="dxa"/>
            <w:left w:w="108" w:type="dxa"/>
            <w:bottom w:w="0" w:type="dxa"/>
            <w:right w:w="108" w:type="dxa"/>
          </w:tblCellMar>
        </w:tblPrEx>
        <w:trPr>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16678">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项目</w:t>
            </w:r>
          </w:p>
        </w:tc>
        <w:tc>
          <w:tcPr>
            <w:tcW w:w="1760" w:type="dxa"/>
            <w:gridSpan w:val="3"/>
            <w:tcBorders>
              <w:top w:val="single" w:color="000000" w:sz="4" w:space="0"/>
              <w:left w:val="single" w:color="000000" w:sz="4" w:space="0"/>
              <w:bottom w:val="single" w:color="000000" w:sz="4" w:space="0"/>
              <w:right w:val="single" w:color="000000" w:sz="4" w:space="0"/>
            </w:tcBorders>
            <w:vAlign w:val="center"/>
          </w:tcPr>
          <w:p w14:paraId="383843C0">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20XX年X月末</w:t>
            </w:r>
          </w:p>
        </w:tc>
        <w:tc>
          <w:tcPr>
            <w:tcW w:w="17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CBB7">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20XX年末</w:t>
            </w:r>
          </w:p>
        </w:tc>
        <w:tc>
          <w:tcPr>
            <w:tcW w:w="1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11904">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20XX年末</w:t>
            </w:r>
          </w:p>
        </w:tc>
        <w:tc>
          <w:tcPr>
            <w:tcW w:w="1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441D6">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20XX年末</w:t>
            </w:r>
          </w:p>
        </w:tc>
      </w:tr>
      <w:tr w14:paraId="677A9A70">
        <w:tblPrEx>
          <w:tblCellMar>
            <w:top w:w="0" w:type="dxa"/>
            <w:left w:w="108" w:type="dxa"/>
            <w:bottom w:w="0" w:type="dxa"/>
            <w:right w:w="108" w:type="dxa"/>
          </w:tblCellMar>
        </w:tblPrEx>
        <w:trPr>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14:paraId="26179C09">
            <w:pPr>
              <w:keepNext/>
              <w:keepLines/>
              <w:widowControl/>
              <w:numPr>
                <w:ilvl w:val="0"/>
                <w:numId w:val="0"/>
              </w:numPr>
              <w:snapToGrid w:val="0"/>
              <w:spacing w:before="340" w:after="330"/>
              <w:jc w:val="left"/>
              <w:outlineLvl w:val="0"/>
              <w:rPr>
                <w:rFonts w:ascii="Times New Roman" w:hAnsi="Times New Roman" w:eastAsia="仿宋_GB2312"/>
                <w:b/>
                <w:color w:val="000000"/>
                <w:kern w:val="0"/>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14:paraId="0F4E24EC">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893" w:type="dxa"/>
            <w:gridSpan w:val="2"/>
            <w:tcBorders>
              <w:top w:val="single" w:color="000000" w:sz="4" w:space="0"/>
              <w:left w:val="single" w:color="000000" w:sz="4" w:space="0"/>
              <w:bottom w:val="single" w:color="000000" w:sz="4" w:space="0"/>
              <w:right w:val="single" w:color="000000" w:sz="4" w:space="0"/>
            </w:tcBorders>
            <w:vAlign w:val="center"/>
          </w:tcPr>
          <w:p w14:paraId="783F7572">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A247">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C6D9">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CB289">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422B">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E6B7D">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E637">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r>
      <w:tr w14:paraId="2AC6DF3D">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1F9">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短期借款</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45AEE674">
            <w:pPr>
              <w:widowControl/>
              <w:snapToGrid w:val="0"/>
              <w:jc w:val="right"/>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3445A1AB">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6130">
            <w:pPr>
              <w:widowControl/>
              <w:snapToGrid w:val="0"/>
              <w:jc w:val="right"/>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7F354">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1158">
            <w:pPr>
              <w:widowControl/>
              <w:snapToGrid w:val="0"/>
              <w:jc w:val="right"/>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E4851">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C82D">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4F3E">
            <w:pPr>
              <w:widowControl/>
              <w:snapToGrid w:val="0"/>
              <w:jc w:val="right"/>
              <w:rPr>
                <w:rFonts w:ascii="Times New Roman" w:hAnsi="Times New Roman" w:eastAsia="仿宋_GB2312"/>
                <w:color w:val="000000"/>
                <w:kern w:val="0"/>
                <w:szCs w:val="21"/>
              </w:rPr>
            </w:pPr>
          </w:p>
        </w:tc>
      </w:tr>
      <w:tr w14:paraId="33B56F7A">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12A">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一年内到期的非流动负债</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24FA6CDC">
            <w:pPr>
              <w:widowControl/>
              <w:snapToGrid w:val="0"/>
              <w:jc w:val="right"/>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32566D31">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80D5">
            <w:pPr>
              <w:widowControl/>
              <w:snapToGrid w:val="0"/>
              <w:jc w:val="right"/>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77902">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3C70">
            <w:pPr>
              <w:widowControl/>
              <w:snapToGrid w:val="0"/>
              <w:jc w:val="right"/>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B2FC0">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F249">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770F">
            <w:pPr>
              <w:widowControl/>
              <w:snapToGrid w:val="0"/>
              <w:jc w:val="right"/>
              <w:rPr>
                <w:rFonts w:ascii="Times New Roman" w:hAnsi="Times New Roman" w:eastAsia="仿宋_GB2312"/>
                <w:color w:val="000000"/>
                <w:kern w:val="0"/>
                <w:szCs w:val="21"/>
              </w:rPr>
            </w:pPr>
          </w:p>
        </w:tc>
      </w:tr>
      <w:tr w14:paraId="63B71ED2">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781C">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长期借款</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7DBD048C">
            <w:pPr>
              <w:widowControl/>
              <w:snapToGrid w:val="0"/>
              <w:jc w:val="right"/>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70666BE9">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DF24">
            <w:pPr>
              <w:widowControl/>
              <w:snapToGrid w:val="0"/>
              <w:jc w:val="right"/>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F8A60">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021">
            <w:pPr>
              <w:widowControl/>
              <w:snapToGrid w:val="0"/>
              <w:jc w:val="right"/>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090C2">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5FA3">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B031">
            <w:pPr>
              <w:widowControl/>
              <w:snapToGrid w:val="0"/>
              <w:jc w:val="right"/>
              <w:rPr>
                <w:rFonts w:ascii="Times New Roman" w:hAnsi="Times New Roman" w:eastAsia="仿宋_GB2312"/>
                <w:color w:val="000000"/>
                <w:kern w:val="0"/>
                <w:szCs w:val="21"/>
              </w:rPr>
            </w:pPr>
          </w:p>
        </w:tc>
      </w:tr>
      <w:tr w14:paraId="5DF62051">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22D1">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应付债券</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12A0DE0B">
            <w:pPr>
              <w:widowControl/>
              <w:snapToGrid w:val="0"/>
              <w:jc w:val="right"/>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370E67FA">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809B">
            <w:pPr>
              <w:widowControl/>
              <w:snapToGrid w:val="0"/>
              <w:jc w:val="right"/>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021DD">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ECD5">
            <w:pPr>
              <w:widowControl/>
              <w:snapToGrid w:val="0"/>
              <w:jc w:val="right"/>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D6B14">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38E5">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C67">
            <w:pPr>
              <w:widowControl/>
              <w:snapToGrid w:val="0"/>
              <w:jc w:val="right"/>
              <w:rPr>
                <w:rFonts w:ascii="Times New Roman" w:hAnsi="Times New Roman" w:eastAsia="仿宋_GB2312"/>
                <w:color w:val="000000"/>
                <w:kern w:val="0"/>
                <w:szCs w:val="21"/>
              </w:rPr>
            </w:pPr>
          </w:p>
        </w:tc>
      </w:tr>
      <w:tr w14:paraId="696BA8D0">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DDD">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XXX</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2426D352">
            <w:pPr>
              <w:widowControl/>
              <w:snapToGrid w:val="0"/>
              <w:jc w:val="right"/>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7A1B8545">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F95D">
            <w:pPr>
              <w:widowControl/>
              <w:snapToGrid w:val="0"/>
              <w:jc w:val="right"/>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98A2C">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9CDE">
            <w:pPr>
              <w:widowControl/>
              <w:snapToGrid w:val="0"/>
              <w:jc w:val="right"/>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9A9B3">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2648">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DC3">
            <w:pPr>
              <w:widowControl/>
              <w:snapToGrid w:val="0"/>
              <w:jc w:val="right"/>
              <w:rPr>
                <w:rFonts w:ascii="Times New Roman" w:hAnsi="Times New Roman" w:eastAsia="仿宋_GB2312"/>
                <w:color w:val="000000"/>
                <w:kern w:val="0"/>
                <w:szCs w:val="21"/>
              </w:rPr>
            </w:pPr>
          </w:p>
        </w:tc>
      </w:tr>
      <w:tr w14:paraId="1962C78F">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8B2C">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XXX</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4430F411">
            <w:pPr>
              <w:widowControl/>
              <w:snapToGrid w:val="0"/>
              <w:jc w:val="right"/>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0D996498">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4CEA">
            <w:pPr>
              <w:widowControl/>
              <w:snapToGrid w:val="0"/>
              <w:jc w:val="right"/>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D0654">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B8A1">
            <w:pPr>
              <w:widowControl/>
              <w:snapToGrid w:val="0"/>
              <w:jc w:val="right"/>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26436">
            <w:pPr>
              <w:widowControl/>
              <w:snapToGrid w:val="0"/>
              <w:jc w:val="right"/>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06DC">
            <w:pPr>
              <w:widowControl/>
              <w:snapToGrid w:val="0"/>
              <w:jc w:val="right"/>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BFF">
            <w:pPr>
              <w:widowControl/>
              <w:snapToGrid w:val="0"/>
              <w:jc w:val="right"/>
              <w:rPr>
                <w:rFonts w:ascii="Times New Roman" w:hAnsi="Times New Roman" w:eastAsia="仿宋_GB2312"/>
                <w:color w:val="000000"/>
                <w:kern w:val="0"/>
                <w:szCs w:val="21"/>
              </w:rPr>
            </w:pPr>
          </w:p>
        </w:tc>
      </w:tr>
      <w:tr w14:paraId="7240F909">
        <w:tblPrEx>
          <w:tblCellMar>
            <w:top w:w="0" w:type="dxa"/>
            <w:left w:w="108" w:type="dxa"/>
            <w:bottom w:w="0" w:type="dxa"/>
            <w:right w:w="108" w:type="dxa"/>
          </w:tblCellMar>
        </w:tblPrEx>
        <w:trPr>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16EE">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合计</w:t>
            </w:r>
          </w:p>
        </w:tc>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1D9D0078">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3" w:type="dxa"/>
            <w:tcBorders>
              <w:top w:val="single" w:color="000000" w:sz="4" w:space="0"/>
              <w:left w:val="single" w:color="000000" w:sz="4" w:space="0"/>
              <w:bottom w:val="single" w:color="000000" w:sz="4" w:space="0"/>
              <w:right w:val="single" w:color="000000" w:sz="4" w:space="0"/>
            </w:tcBorders>
            <w:vAlign w:val="center"/>
          </w:tcPr>
          <w:p w14:paraId="649D32F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869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0DB3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1E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EDF2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932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8270">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bl>
    <w:p w14:paraId="609A7C3D">
      <w:pPr>
        <w:snapToGrid w:val="0"/>
        <w:spacing w:line="600" w:lineRule="exact"/>
        <w:ind w:firstLine="601"/>
        <w:jc w:val="left"/>
        <w:rPr>
          <w:rFonts w:ascii="Times New Roman" w:hAnsi="Times New Roman" w:eastAsia="黑体"/>
          <w:b/>
          <w:color w:val="000000"/>
          <w:kern w:val="0"/>
          <w:sz w:val="30"/>
          <w:szCs w:val="30"/>
        </w:rPr>
      </w:pPr>
      <w:bookmarkStart w:id="65" w:name="_Toc117686687"/>
      <w:bookmarkStart w:id="66" w:name="_Toc118876486"/>
      <w:r>
        <w:rPr>
          <w:rFonts w:ascii="Times New Roman" w:hAnsi="Times New Roman" w:eastAsia="黑体"/>
          <w:b/>
          <w:color w:val="000000"/>
          <w:kern w:val="0"/>
          <w:sz w:val="30"/>
          <w:szCs w:val="30"/>
        </w:rPr>
        <w:t>二、最近一期末有息债务到期分布情况</w:t>
      </w:r>
      <w:bookmarkEnd w:id="65"/>
      <w:bookmarkEnd w:id="66"/>
    </w:p>
    <w:p w14:paraId="5FE33786">
      <w:pPr>
        <w:snapToGrid w:val="0"/>
        <w:spacing w:before="120" w:after="120" w:line="600" w:lineRule="exact"/>
        <w:ind w:firstLine="420"/>
        <w:contextualSpacing/>
        <w:jc w:val="right"/>
        <w:rPr>
          <w:rFonts w:ascii="Times New Roman" w:hAnsi="Times New Roman" w:eastAsia="仿宋_GB2312"/>
          <w:color w:val="000000"/>
          <w:sz w:val="28"/>
          <w:szCs w:val="28"/>
        </w:rPr>
      </w:pPr>
      <w:r>
        <w:rPr>
          <w:rFonts w:ascii="Times New Roman" w:hAnsi="Times New Roman" w:eastAsia="仿宋_GB2312"/>
          <w:color w:val="000000"/>
          <w:szCs w:val="21"/>
        </w:rPr>
        <w:t>单位：亿元，%</w:t>
      </w:r>
    </w:p>
    <w:tbl>
      <w:tblPr>
        <w:tblStyle w:val="32"/>
        <w:tblW w:w="5000" w:type="pct"/>
        <w:jc w:val="center"/>
        <w:tblLayout w:type="fixed"/>
        <w:tblCellMar>
          <w:top w:w="0" w:type="dxa"/>
          <w:left w:w="108" w:type="dxa"/>
          <w:bottom w:w="0" w:type="dxa"/>
          <w:right w:w="108" w:type="dxa"/>
        </w:tblCellMar>
      </w:tblPr>
      <w:tblGrid>
        <w:gridCol w:w="1782"/>
        <w:gridCol w:w="673"/>
        <w:gridCol w:w="675"/>
        <w:gridCol w:w="673"/>
        <w:gridCol w:w="675"/>
        <w:gridCol w:w="673"/>
        <w:gridCol w:w="674"/>
        <w:gridCol w:w="674"/>
        <w:gridCol w:w="674"/>
        <w:gridCol w:w="674"/>
        <w:gridCol w:w="673"/>
      </w:tblGrid>
      <w:tr w14:paraId="21012DC4">
        <w:tblPrEx>
          <w:tblCellMar>
            <w:top w:w="0" w:type="dxa"/>
            <w:left w:w="108" w:type="dxa"/>
            <w:bottom w:w="0" w:type="dxa"/>
            <w:right w:w="108" w:type="dxa"/>
          </w:tblCellMar>
        </w:tblPrEx>
        <w:trPr>
          <w:trHeight w:val="340" w:hRule="atLeast"/>
          <w:jc w:val="center"/>
        </w:trPr>
        <w:tc>
          <w:tcPr>
            <w:tcW w:w="1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56BE">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项目</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0A40B">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1年以内</w:t>
            </w:r>
          </w:p>
          <w:p w14:paraId="36FDBA82">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（含1年）</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9298C">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1-2年</w:t>
            </w:r>
          </w:p>
          <w:p w14:paraId="62468CE5">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（含2年）</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F94F9">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2-3年</w:t>
            </w:r>
          </w:p>
          <w:p w14:paraId="6DFDF383">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（含3年）</w:t>
            </w:r>
          </w:p>
        </w:tc>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E239D">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3年以上</w:t>
            </w:r>
          </w:p>
        </w:tc>
        <w:tc>
          <w:tcPr>
            <w:tcW w:w="1313" w:type="dxa"/>
            <w:gridSpan w:val="2"/>
            <w:tcBorders>
              <w:top w:val="single" w:color="000000" w:sz="4" w:space="0"/>
              <w:left w:val="single" w:color="000000" w:sz="4" w:space="0"/>
              <w:bottom w:val="single" w:color="000000" w:sz="4" w:space="0"/>
              <w:right w:val="single" w:color="000000" w:sz="4" w:space="0"/>
            </w:tcBorders>
          </w:tcPr>
          <w:p w14:paraId="1E03204D">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合计</w:t>
            </w:r>
          </w:p>
        </w:tc>
      </w:tr>
      <w:tr w14:paraId="2813413C">
        <w:tblPrEx>
          <w:tblCellMar>
            <w:top w:w="0" w:type="dxa"/>
            <w:left w:w="108" w:type="dxa"/>
            <w:bottom w:w="0" w:type="dxa"/>
            <w:right w:w="108" w:type="dxa"/>
          </w:tblCellMar>
        </w:tblPrEx>
        <w:trPr>
          <w:trHeight w:val="340" w:hRule="atLeast"/>
          <w:jc w:val="center"/>
        </w:trPr>
        <w:tc>
          <w:tcPr>
            <w:tcW w:w="1736" w:type="dxa"/>
            <w:vMerge w:val="continue"/>
            <w:tcBorders>
              <w:top w:val="single" w:color="000000" w:sz="4" w:space="0"/>
              <w:left w:val="single" w:color="000000" w:sz="4" w:space="0"/>
              <w:bottom w:val="single" w:color="000000" w:sz="4" w:space="0"/>
              <w:right w:val="single" w:color="000000" w:sz="4" w:space="0"/>
            </w:tcBorders>
            <w:vAlign w:val="center"/>
          </w:tcPr>
          <w:p w14:paraId="34DC4823">
            <w:pPr>
              <w:keepNext/>
              <w:keepLines/>
              <w:widowControl/>
              <w:numPr>
                <w:ilvl w:val="0"/>
                <w:numId w:val="0"/>
              </w:numPr>
              <w:snapToGrid w:val="0"/>
              <w:spacing w:before="340" w:after="330"/>
              <w:jc w:val="center"/>
              <w:outlineLvl w:val="0"/>
              <w:rPr>
                <w:rFonts w:ascii="Times New Roman" w:hAnsi="Times New Roman" w:eastAsia="仿宋_GB2312"/>
                <w:b/>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6E1F">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1428">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765A">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377">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24C7">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7A5A">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72E6">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B5F6">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c>
          <w:tcPr>
            <w:tcW w:w="657" w:type="dxa"/>
            <w:tcBorders>
              <w:top w:val="single" w:color="000000" w:sz="4" w:space="0"/>
              <w:left w:val="single" w:color="000000" w:sz="4" w:space="0"/>
              <w:bottom w:val="single" w:color="000000" w:sz="4" w:space="0"/>
              <w:right w:val="single" w:color="000000" w:sz="4" w:space="0"/>
            </w:tcBorders>
            <w:vAlign w:val="center"/>
          </w:tcPr>
          <w:p w14:paraId="32733CF5">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金额</w:t>
            </w:r>
          </w:p>
        </w:tc>
        <w:tc>
          <w:tcPr>
            <w:tcW w:w="656" w:type="dxa"/>
            <w:tcBorders>
              <w:top w:val="single" w:color="000000" w:sz="4" w:space="0"/>
              <w:left w:val="single" w:color="000000" w:sz="4" w:space="0"/>
              <w:bottom w:val="single" w:color="000000" w:sz="4" w:space="0"/>
              <w:right w:val="single" w:color="000000" w:sz="4" w:space="0"/>
            </w:tcBorders>
            <w:vAlign w:val="center"/>
          </w:tcPr>
          <w:p w14:paraId="14A22291">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占比</w:t>
            </w:r>
          </w:p>
        </w:tc>
      </w:tr>
      <w:tr w14:paraId="2F1B3FC7">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A8F">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银行贷款</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495F">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9DC">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1B29">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91AC">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DC7">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2E4">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5AC0">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C9D5">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15E970AE">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5147A378">
            <w:pPr>
              <w:widowControl/>
              <w:snapToGrid w:val="0"/>
              <w:jc w:val="right"/>
              <w:rPr>
                <w:rFonts w:ascii="Times New Roman" w:hAnsi="Times New Roman" w:eastAsia="仿宋_GB2312"/>
                <w:color w:val="000000"/>
                <w:kern w:val="0"/>
                <w:szCs w:val="21"/>
              </w:rPr>
            </w:pPr>
          </w:p>
        </w:tc>
      </w:tr>
      <w:tr w14:paraId="0D83A5F5">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432">
            <w:pPr>
              <w:widowControl/>
              <w:snapToGrid w:val="0"/>
              <w:ind w:right="21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其中担保贷款</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8CE">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5374">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ACE4">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424">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610F">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D00B">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1685">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159">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06F8EF8F">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5094D3BD">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r>
      <w:tr w14:paraId="68FB6335">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E576">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债券融资</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8F3">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0347">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5A97">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8BA8">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891">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D3A4">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F479">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8EF">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4D752BE6">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05B3F090">
            <w:pPr>
              <w:widowControl/>
              <w:snapToGrid w:val="0"/>
              <w:jc w:val="right"/>
              <w:rPr>
                <w:rFonts w:ascii="Times New Roman" w:hAnsi="Times New Roman" w:eastAsia="仿宋_GB2312"/>
                <w:color w:val="000000"/>
                <w:kern w:val="0"/>
                <w:szCs w:val="21"/>
              </w:rPr>
            </w:pPr>
          </w:p>
        </w:tc>
      </w:tr>
      <w:tr w14:paraId="1091652B">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673">
            <w:pPr>
              <w:widowControl/>
              <w:snapToGrid w:val="0"/>
              <w:ind w:right="21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其中担保债券</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20A1">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930">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614D">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49A">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BC7">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48DC">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E73">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F264">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5AEA7F02">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32BD39DC">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r>
      <w:tr w14:paraId="2E864842">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818">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信托融资</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08D0">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E43">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17B4">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66B0">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B12E">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41C">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EFE0">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1924">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51DABB3C">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5640A774">
            <w:pPr>
              <w:widowControl/>
              <w:snapToGrid w:val="0"/>
              <w:jc w:val="right"/>
              <w:rPr>
                <w:rFonts w:ascii="Times New Roman" w:hAnsi="Times New Roman" w:eastAsia="仿宋_GB2312"/>
                <w:color w:val="000000"/>
                <w:kern w:val="0"/>
                <w:szCs w:val="21"/>
              </w:rPr>
            </w:pPr>
          </w:p>
        </w:tc>
      </w:tr>
      <w:tr w14:paraId="3E19A928">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33B2">
            <w:pPr>
              <w:widowControl/>
              <w:snapToGrid w:val="0"/>
              <w:ind w:right="21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其中担保信托</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804F">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7EA8">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A751">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CF5D">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BDA">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111">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4E76">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A89A">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65C3F601">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276A8BCE">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r>
      <w:tr w14:paraId="6AD10B80">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C58E">
            <w:pPr>
              <w:widowControl/>
              <w:snapToGrid w:val="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其他融资</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8AEA">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C0EE">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0FB8">
            <w:pPr>
              <w:widowControl/>
              <w:snapToGrid w:val="0"/>
              <w:jc w:val="right"/>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2EE">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DE5">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FB13">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9D8">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0330">
            <w:pPr>
              <w:widowControl/>
              <w:snapToGrid w:val="0"/>
              <w:jc w:val="right"/>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460E4530">
            <w:pPr>
              <w:widowControl/>
              <w:snapToGrid w:val="0"/>
              <w:jc w:val="right"/>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39C71E3A">
            <w:pPr>
              <w:widowControl/>
              <w:snapToGrid w:val="0"/>
              <w:jc w:val="right"/>
              <w:rPr>
                <w:rFonts w:ascii="Times New Roman" w:hAnsi="Times New Roman" w:eastAsia="仿宋_GB2312"/>
                <w:color w:val="000000"/>
                <w:kern w:val="0"/>
                <w:szCs w:val="21"/>
              </w:rPr>
            </w:pPr>
          </w:p>
        </w:tc>
      </w:tr>
      <w:tr w14:paraId="56B69E96">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A5A3">
            <w:pPr>
              <w:widowControl/>
              <w:snapToGrid w:val="0"/>
              <w:ind w:right="210"/>
              <w:jc w:val="right"/>
              <w:rPr>
                <w:rFonts w:ascii="Times New Roman" w:hAnsi="Times New Roman" w:eastAsia="仿宋_GB2312"/>
                <w:color w:val="000000"/>
                <w:kern w:val="0"/>
                <w:szCs w:val="21"/>
              </w:rPr>
            </w:pPr>
            <w:r>
              <w:rPr>
                <w:rFonts w:ascii="Times New Roman" w:hAnsi="Times New Roman" w:eastAsia="仿宋_GB2312"/>
                <w:color w:val="000000"/>
                <w:kern w:val="0"/>
                <w:szCs w:val="21"/>
              </w:rPr>
              <w:t>其中担保融资</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3DFB">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FC75">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A41">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96C5">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5801">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D07">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98D">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1669">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7F83B15E">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5C5E8AC6">
            <w:pPr>
              <w:keepNext/>
              <w:keepLines/>
              <w:widowControl/>
              <w:numPr>
                <w:ilvl w:val="0"/>
                <w:numId w:val="0"/>
              </w:numPr>
              <w:snapToGrid w:val="0"/>
              <w:spacing w:before="340" w:after="330"/>
              <w:jc w:val="right"/>
              <w:outlineLvl w:val="1"/>
              <w:rPr>
                <w:rFonts w:ascii="Times New Roman" w:hAnsi="Times New Roman" w:eastAsia="仿宋_GB2312"/>
                <w:color w:val="000000"/>
                <w:kern w:val="0"/>
                <w:szCs w:val="21"/>
              </w:rPr>
            </w:pPr>
          </w:p>
        </w:tc>
      </w:tr>
      <w:tr w14:paraId="5579A31F">
        <w:tblPrEx>
          <w:tblCellMar>
            <w:top w:w="0" w:type="dxa"/>
            <w:left w:w="108" w:type="dxa"/>
            <w:bottom w:w="0" w:type="dxa"/>
            <w:right w:w="108" w:type="dxa"/>
          </w:tblCellMar>
        </w:tblPrEx>
        <w:trPr>
          <w:trHeight w:val="340" w:hRule="atLeast"/>
          <w:jc w:val="center"/>
        </w:trPr>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7C2D">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合计</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FF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16E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2CD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51B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0610">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3B40">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956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7DE">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7" w:type="dxa"/>
            <w:tcBorders>
              <w:top w:val="single" w:color="000000" w:sz="4" w:space="0"/>
              <w:left w:val="single" w:color="000000" w:sz="4" w:space="0"/>
              <w:bottom w:val="single" w:color="000000" w:sz="4" w:space="0"/>
              <w:right w:val="single" w:color="000000" w:sz="4" w:space="0"/>
            </w:tcBorders>
          </w:tcPr>
          <w:p w14:paraId="7A712822">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656" w:type="dxa"/>
            <w:tcBorders>
              <w:top w:val="single" w:color="000000" w:sz="4" w:space="0"/>
              <w:left w:val="single" w:color="000000" w:sz="4" w:space="0"/>
              <w:bottom w:val="single" w:color="000000" w:sz="4" w:space="0"/>
              <w:right w:val="single" w:color="000000" w:sz="4" w:space="0"/>
            </w:tcBorders>
          </w:tcPr>
          <w:p w14:paraId="693E191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bl>
    <w:p w14:paraId="30664946">
      <w:pPr>
        <w:snapToGrid w:val="0"/>
        <w:spacing w:line="600" w:lineRule="exact"/>
        <w:ind w:firstLine="601"/>
        <w:jc w:val="left"/>
        <w:rPr>
          <w:rFonts w:ascii="Times New Roman" w:hAnsi="Times New Roman" w:eastAsia="黑体"/>
          <w:b/>
          <w:color w:val="000000"/>
          <w:kern w:val="0"/>
          <w:sz w:val="30"/>
          <w:szCs w:val="30"/>
        </w:rPr>
      </w:pPr>
      <w:bookmarkStart w:id="67" w:name="_Toc118876487"/>
      <w:bookmarkStart w:id="68" w:name="_Toc117686688"/>
      <w:r>
        <w:rPr>
          <w:rFonts w:ascii="Times New Roman" w:hAnsi="Times New Roman" w:eastAsia="黑体"/>
          <w:b/>
          <w:color w:val="000000"/>
          <w:kern w:val="0"/>
          <w:sz w:val="30"/>
          <w:szCs w:val="30"/>
        </w:rPr>
        <w:t>三、最近一期末存续的债券情况</w:t>
      </w:r>
      <w:bookmarkEnd w:id="67"/>
      <w:bookmarkEnd w:id="68"/>
    </w:p>
    <w:p w14:paraId="4E8A58F0">
      <w:pPr>
        <w:snapToGrid w:val="0"/>
        <w:spacing w:line="600" w:lineRule="exact"/>
        <w:jc w:val="right"/>
        <w:rPr>
          <w:rFonts w:ascii="Times New Roman" w:hAnsi="Times New Roman" w:eastAsia="仿宋_GB2312"/>
          <w:color w:val="000000"/>
        </w:rPr>
      </w:pPr>
      <w:r>
        <w:rPr>
          <w:rFonts w:ascii="Times New Roman" w:hAnsi="Times New Roman" w:eastAsia="仿宋_GB2312"/>
          <w:color w:val="000000"/>
        </w:rPr>
        <w:t>单位：亿元，%，年</w:t>
      </w:r>
    </w:p>
    <w:tbl>
      <w:tblPr>
        <w:tblStyle w:val="32"/>
        <w:tblW w:w="5000" w:type="pct"/>
        <w:jc w:val="center"/>
        <w:tblLayout w:type="fixed"/>
        <w:tblCellMar>
          <w:top w:w="0" w:type="dxa"/>
          <w:left w:w="108" w:type="dxa"/>
          <w:bottom w:w="0" w:type="dxa"/>
          <w:right w:w="108" w:type="dxa"/>
        </w:tblCellMar>
      </w:tblPr>
      <w:tblGrid>
        <w:gridCol w:w="636"/>
        <w:gridCol w:w="1858"/>
        <w:gridCol w:w="861"/>
        <w:gridCol w:w="861"/>
        <w:gridCol w:w="862"/>
        <w:gridCol w:w="861"/>
        <w:gridCol w:w="861"/>
        <w:gridCol w:w="861"/>
        <w:gridCol w:w="861"/>
      </w:tblGrid>
      <w:tr w14:paraId="37CD3981">
        <w:tblPrEx>
          <w:tblCellMar>
            <w:top w:w="0" w:type="dxa"/>
            <w:left w:w="108" w:type="dxa"/>
            <w:bottom w:w="0" w:type="dxa"/>
            <w:right w:w="108" w:type="dxa"/>
          </w:tblCellMar>
        </w:tblPrEx>
        <w:trPr>
          <w:trHeight w:val="340" w:hRule="atLeast"/>
          <w:tblHeader/>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3294B31">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序号</w:t>
            </w:r>
          </w:p>
        </w:tc>
        <w:tc>
          <w:tcPr>
            <w:tcW w:w="1811" w:type="dxa"/>
            <w:tcBorders>
              <w:top w:val="single" w:color="000000" w:sz="4" w:space="0"/>
              <w:left w:val="single" w:color="000000" w:sz="4" w:space="0"/>
              <w:bottom w:val="single" w:color="000000" w:sz="4" w:space="0"/>
              <w:right w:val="single" w:color="000000" w:sz="4" w:space="0"/>
            </w:tcBorders>
            <w:vAlign w:val="center"/>
          </w:tcPr>
          <w:p w14:paraId="3C4C8BC7">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债券简称</w:t>
            </w:r>
          </w:p>
        </w:tc>
        <w:tc>
          <w:tcPr>
            <w:tcW w:w="839" w:type="dxa"/>
            <w:tcBorders>
              <w:top w:val="single" w:color="000000" w:sz="4" w:space="0"/>
              <w:left w:val="single" w:color="000000" w:sz="4" w:space="0"/>
              <w:bottom w:val="single" w:color="000000" w:sz="4" w:space="0"/>
              <w:right w:val="single" w:color="000000" w:sz="4" w:space="0"/>
            </w:tcBorders>
            <w:vAlign w:val="center"/>
          </w:tcPr>
          <w:p w14:paraId="453844C8">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发行</w:t>
            </w:r>
          </w:p>
          <w:p w14:paraId="55C3FAD1">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日期</w:t>
            </w:r>
          </w:p>
        </w:tc>
        <w:tc>
          <w:tcPr>
            <w:tcW w:w="839" w:type="dxa"/>
            <w:tcBorders>
              <w:top w:val="single" w:color="000000" w:sz="4" w:space="0"/>
              <w:left w:val="single" w:color="000000" w:sz="4" w:space="0"/>
              <w:bottom w:val="single" w:color="000000" w:sz="4" w:space="0"/>
              <w:right w:val="single" w:color="000000" w:sz="4" w:space="0"/>
            </w:tcBorders>
          </w:tcPr>
          <w:p w14:paraId="12BEE427">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回售</w:t>
            </w:r>
          </w:p>
          <w:p w14:paraId="21BBE16A">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日期</w:t>
            </w:r>
          </w:p>
        </w:tc>
        <w:tc>
          <w:tcPr>
            <w:tcW w:w="840" w:type="dxa"/>
            <w:tcBorders>
              <w:top w:val="single" w:color="000000" w:sz="4" w:space="0"/>
              <w:left w:val="single" w:color="000000" w:sz="4" w:space="0"/>
              <w:bottom w:val="single" w:color="000000" w:sz="4" w:space="0"/>
              <w:right w:val="single" w:color="000000" w:sz="4" w:space="0"/>
            </w:tcBorders>
            <w:vAlign w:val="center"/>
          </w:tcPr>
          <w:p w14:paraId="1A37E0D7">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到期</w:t>
            </w:r>
          </w:p>
          <w:p w14:paraId="3EC0011B">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日期</w:t>
            </w:r>
          </w:p>
        </w:tc>
        <w:tc>
          <w:tcPr>
            <w:tcW w:w="839" w:type="dxa"/>
            <w:tcBorders>
              <w:top w:val="single" w:color="000000" w:sz="4" w:space="0"/>
              <w:left w:val="single" w:color="000000" w:sz="4" w:space="0"/>
              <w:bottom w:val="single" w:color="000000" w:sz="4" w:space="0"/>
              <w:right w:val="single" w:color="000000" w:sz="4" w:space="0"/>
            </w:tcBorders>
            <w:vAlign w:val="center"/>
          </w:tcPr>
          <w:p w14:paraId="3779AF15">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债券</w:t>
            </w:r>
          </w:p>
          <w:p w14:paraId="05A5C49B">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期限</w:t>
            </w:r>
          </w:p>
        </w:tc>
        <w:tc>
          <w:tcPr>
            <w:tcW w:w="839" w:type="dxa"/>
            <w:tcBorders>
              <w:top w:val="single" w:color="000000" w:sz="4" w:space="0"/>
              <w:left w:val="single" w:color="000000" w:sz="4" w:space="0"/>
              <w:bottom w:val="single" w:color="000000" w:sz="4" w:space="0"/>
              <w:right w:val="single" w:color="000000" w:sz="4" w:space="0"/>
            </w:tcBorders>
          </w:tcPr>
          <w:p w14:paraId="1065A322">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发行</w:t>
            </w:r>
          </w:p>
          <w:p w14:paraId="46DC585A">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规模</w:t>
            </w:r>
          </w:p>
        </w:tc>
        <w:tc>
          <w:tcPr>
            <w:tcW w:w="839" w:type="dxa"/>
            <w:tcBorders>
              <w:top w:val="single" w:color="000000" w:sz="4" w:space="0"/>
              <w:left w:val="single" w:color="000000" w:sz="4" w:space="0"/>
              <w:bottom w:val="single" w:color="000000" w:sz="4" w:space="0"/>
              <w:right w:val="single" w:color="000000" w:sz="4" w:space="0"/>
            </w:tcBorders>
          </w:tcPr>
          <w:p w14:paraId="45F23135">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发行</w:t>
            </w:r>
          </w:p>
          <w:p w14:paraId="49F93DDB">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利率</w:t>
            </w:r>
          </w:p>
        </w:tc>
        <w:tc>
          <w:tcPr>
            <w:tcW w:w="839" w:type="dxa"/>
            <w:tcBorders>
              <w:top w:val="single" w:color="000000" w:sz="4" w:space="0"/>
              <w:left w:val="single" w:color="000000" w:sz="4" w:space="0"/>
              <w:bottom w:val="single" w:color="000000" w:sz="4" w:space="0"/>
              <w:right w:val="single" w:color="000000" w:sz="4" w:space="0"/>
            </w:tcBorders>
            <w:vAlign w:val="center"/>
          </w:tcPr>
          <w:p w14:paraId="2733D18C">
            <w:pPr>
              <w:widowControl/>
              <w:snapToGrid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余额</w:t>
            </w:r>
          </w:p>
        </w:tc>
      </w:tr>
      <w:tr w14:paraId="3CC28071">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871BA47">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w:t>
            </w:r>
          </w:p>
        </w:tc>
        <w:tc>
          <w:tcPr>
            <w:tcW w:w="1811" w:type="dxa"/>
            <w:tcBorders>
              <w:top w:val="single" w:color="000000" w:sz="4" w:space="0"/>
              <w:left w:val="single" w:color="000000" w:sz="4" w:space="0"/>
              <w:bottom w:val="single" w:color="000000" w:sz="4" w:space="0"/>
              <w:right w:val="single" w:color="000000" w:sz="4" w:space="0"/>
            </w:tcBorders>
            <w:vAlign w:val="center"/>
          </w:tcPr>
          <w:p w14:paraId="06113C9B">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E76ACC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727FD15">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D7F095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AE2AFB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21FDB8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A8E8312">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6C63B6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28EF68B5">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08634AD">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2</w:t>
            </w:r>
          </w:p>
        </w:tc>
        <w:tc>
          <w:tcPr>
            <w:tcW w:w="1811" w:type="dxa"/>
            <w:tcBorders>
              <w:top w:val="single" w:color="000000" w:sz="4" w:space="0"/>
              <w:left w:val="single" w:color="000000" w:sz="4" w:space="0"/>
              <w:bottom w:val="single" w:color="000000" w:sz="4" w:space="0"/>
              <w:right w:val="single" w:color="000000" w:sz="4" w:space="0"/>
            </w:tcBorders>
            <w:vAlign w:val="center"/>
          </w:tcPr>
          <w:p w14:paraId="08D7D30A">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08999F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24A244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4CDA0E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9E7142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D9C3ED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CAC4911">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FCB2ED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42EA589A">
        <w:tblPrEx>
          <w:tblCellMar>
            <w:top w:w="0" w:type="dxa"/>
            <w:left w:w="108" w:type="dxa"/>
            <w:bottom w:w="0" w:type="dxa"/>
            <w:right w:w="108" w:type="dxa"/>
          </w:tblCellMar>
        </w:tblPrEx>
        <w:trPr>
          <w:trHeight w:val="340" w:hRule="atLeast"/>
          <w:jc w:val="center"/>
        </w:trPr>
        <w:tc>
          <w:tcPr>
            <w:tcW w:w="2431" w:type="dxa"/>
            <w:gridSpan w:val="2"/>
            <w:tcBorders>
              <w:top w:val="single" w:color="000000" w:sz="4" w:space="0"/>
              <w:left w:val="single" w:color="000000" w:sz="4" w:space="0"/>
              <w:bottom w:val="single" w:color="000000" w:sz="4" w:space="0"/>
              <w:right w:val="single" w:color="000000" w:sz="4" w:space="0"/>
            </w:tcBorders>
            <w:vAlign w:val="center"/>
          </w:tcPr>
          <w:p w14:paraId="7F5984F2">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公司债券小计</w:t>
            </w:r>
          </w:p>
        </w:tc>
        <w:tc>
          <w:tcPr>
            <w:tcW w:w="839" w:type="dxa"/>
            <w:tcBorders>
              <w:top w:val="single" w:color="000000" w:sz="4" w:space="0"/>
              <w:left w:val="single" w:color="000000" w:sz="4" w:space="0"/>
              <w:bottom w:val="single" w:color="000000" w:sz="4" w:space="0"/>
              <w:right w:val="single" w:color="000000" w:sz="4" w:space="0"/>
            </w:tcBorders>
            <w:vAlign w:val="center"/>
          </w:tcPr>
          <w:p w14:paraId="69522A1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812556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D8D611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EA28B3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94BA41E">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C560A0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22AD31E">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781EBBAE">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01BA4A82">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3</w:t>
            </w:r>
          </w:p>
        </w:tc>
        <w:tc>
          <w:tcPr>
            <w:tcW w:w="1811" w:type="dxa"/>
            <w:tcBorders>
              <w:top w:val="single" w:color="000000" w:sz="4" w:space="0"/>
              <w:left w:val="single" w:color="000000" w:sz="4" w:space="0"/>
              <w:bottom w:val="single" w:color="000000" w:sz="4" w:space="0"/>
              <w:right w:val="single" w:color="000000" w:sz="4" w:space="0"/>
            </w:tcBorders>
            <w:vAlign w:val="center"/>
          </w:tcPr>
          <w:p w14:paraId="55BDDFF2">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737C800">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6CFD17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664A8DC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3A4094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3AA506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7E22E8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08931D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43E8FA4A">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76CD712">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4</w:t>
            </w:r>
          </w:p>
        </w:tc>
        <w:tc>
          <w:tcPr>
            <w:tcW w:w="1811" w:type="dxa"/>
            <w:tcBorders>
              <w:top w:val="single" w:color="000000" w:sz="4" w:space="0"/>
              <w:left w:val="single" w:color="000000" w:sz="4" w:space="0"/>
              <w:bottom w:val="single" w:color="000000" w:sz="4" w:space="0"/>
              <w:right w:val="single" w:color="000000" w:sz="4" w:space="0"/>
            </w:tcBorders>
            <w:vAlign w:val="center"/>
          </w:tcPr>
          <w:p w14:paraId="0B624CEC">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449FB2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DEA2B38">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6D6C5EF">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45F0052">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84D6035">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B237CBD">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F05ED6A">
            <w:pPr>
              <w:widowControl/>
              <w:snapToGrid w:val="0"/>
              <w:jc w:val="right"/>
              <w:rPr>
                <w:rFonts w:ascii="Times New Roman" w:hAnsi="Times New Roman" w:eastAsia="仿宋_GB2312"/>
                <w:color w:val="000000"/>
                <w:kern w:val="0"/>
                <w:szCs w:val="21"/>
              </w:rPr>
            </w:pPr>
          </w:p>
        </w:tc>
      </w:tr>
      <w:tr w14:paraId="51B934B6">
        <w:tblPrEx>
          <w:tblCellMar>
            <w:top w:w="0" w:type="dxa"/>
            <w:left w:w="108" w:type="dxa"/>
            <w:bottom w:w="0" w:type="dxa"/>
            <w:right w:w="108" w:type="dxa"/>
          </w:tblCellMar>
        </w:tblPrEx>
        <w:trPr>
          <w:trHeight w:val="340" w:hRule="atLeast"/>
          <w:jc w:val="center"/>
        </w:trPr>
        <w:tc>
          <w:tcPr>
            <w:tcW w:w="2431" w:type="dxa"/>
            <w:gridSpan w:val="2"/>
            <w:tcBorders>
              <w:top w:val="single" w:color="000000" w:sz="4" w:space="0"/>
              <w:left w:val="single" w:color="000000" w:sz="4" w:space="0"/>
              <w:bottom w:val="single" w:color="000000" w:sz="4" w:space="0"/>
              <w:right w:val="single" w:color="000000" w:sz="4" w:space="0"/>
            </w:tcBorders>
            <w:vAlign w:val="center"/>
          </w:tcPr>
          <w:p w14:paraId="68981CC2">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债务融资工具小计</w:t>
            </w:r>
          </w:p>
        </w:tc>
        <w:tc>
          <w:tcPr>
            <w:tcW w:w="839" w:type="dxa"/>
            <w:tcBorders>
              <w:top w:val="single" w:color="000000" w:sz="4" w:space="0"/>
              <w:left w:val="single" w:color="000000" w:sz="4" w:space="0"/>
              <w:bottom w:val="single" w:color="000000" w:sz="4" w:space="0"/>
              <w:right w:val="single" w:color="000000" w:sz="4" w:space="0"/>
            </w:tcBorders>
            <w:vAlign w:val="center"/>
          </w:tcPr>
          <w:p w14:paraId="69E41D5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EC0C16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5EBE0E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36461F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CFF462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23B393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0E36900">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045E9826">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D488FE0">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w:t>
            </w:r>
          </w:p>
        </w:tc>
        <w:tc>
          <w:tcPr>
            <w:tcW w:w="1811" w:type="dxa"/>
            <w:tcBorders>
              <w:top w:val="single" w:color="000000" w:sz="4" w:space="0"/>
              <w:left w:val="single" w:color="000000" w:sz="4" w:space="0"/>
              <w:bottom w:val="single" w:color="000000" w:sz="4" w:space="0"/>
              <w:right w:val="single" w:color="000000" w:sz="4" w:space="0"/>
            </w:tcBorders>
            <w:vAlign w:val="center"/>
          </w:tcPr>
          <w:p w14:paraId="6CEC09C9">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E64031E">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72DC54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9E5F51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6D1751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D1A045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7906C75">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AC79741">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3A87964A">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DBA6ACB">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6</w:t>
            </w:r>
          </w:p>
        </w:tc>
        <w:tc>
          <w:tcPr>
            <w:tcW w:w="1811" w:type="dxa"/>
            <w:tcBorders>
              <w:top w:val="single" w:color="000000" w:sz="4" w:space="0"/>
              <w:left w:val="single" w:color="000000" w:sz="4" w:space="0"/>
              <w:bottom w:val="single" w:color="000000" w:sz="4" w:space="0"/>
              <w:right w:val="single" w:color="000000" w:sz="4" w:space="0"/>
            </w:tcBorders>
            <w:vAlign w:val="center"/>
          </w:tcPr>
          <w:p w14:paraId="17D727B4">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42474B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A47545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48669B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7CB10A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83A97A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EEB3598">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2B337E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2D3C3C84">
        <w:tblPrEx>
          <w:tblCellMar>
            <w:top w:w="0" w:type="dxa"/>
            <w:left w:w="108" w:type="dxa"/>
            <w:bottom w:w="0" w:type="dxa"/>
            <w:right w:w="108" w:type="dxa"/>
          </w:tblCellMar>
        </w:tblPrEx>
        <w:trPr>
          <w:trHeight w:val="340" w:hRule="atLeast"/>
          <w:jc w:val="center"/>
        </w:trPr>
        <w:tc>
          <w:tcPr>
            <w:tcW w:w="2431" w:type="dxa"/>
            <w:gridSpan w:val="2"/>
            <w:tcBorders>
              <w:top w:val="single" w:color="000000" w:sz="4" w:space="0"/>
              <w:left w:val="single" w:color="000000" w:sz="4" w:space="0"/>
              <w:bottom w:val="single" w:color="000000" w:sz="4" w:space="0"/>
              <w:right w:val="single" w:color="000000" w:sz="4" w:space="0"/>
            </w:tcBorders>
            <w:vAlign w:val="center"/>
          </w:tcPr>
          <w:p w14:paraId="76A1402A">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企业债券小计</w:t>
            </w:r>
          </w:p>
        </w:tc>
        <w:tc>
          <w:tcPr>
            <w:tcW w:w="839" w:type="dxa"/>
            <w:tcBorders>
              <w:top w:val="single" w:color="000000" w:sz="4" w:space="0"/>
              <w:left w:val="single" w:color="000000" w:sz="4" w:space="0"/>
              <w:bottom w:val="single" w:color="000000" w:sz="4" w:space="0"/>
              <w:right w:val="single" w:color="000000" w:sz="4" w:space="0"/>
            </w:tcBorders>
            <w:vAlign w:val="center"/>
          </w:tcPr>
          <w:p w14:paraId="5C3F27D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3D35165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4CA5271">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E47ED7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157512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B0726B5">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7123D46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76CB28B6">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2E4C0738">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7</w:t>
            </w:r>
          </w:p>
        </w:tc>
        <w:tc>
          <w:tcPr>
            <w:tcW w:w="1811" w:type="dxa"/>
            <w:tcBorders>
              <w:top w:val="single" w:color="000000" w:sz="4" w:space="0"/>
              <w:left w:val="single" w:color="000000" w:sz="4" w:space="0"/>
              <w:bottom w:val="single" w:color="000000" w:sz="4" w:space="0"/>
              <w:right w:val="single" w:color="000000" w:sz="4" w:space="0"/>
            </w:tcBorders>
            <w:vAlign w:val="center"/>
          </w:tcPr>
          <w:p w14:paraId="0A69C073">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0D98448">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012F2ED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C30841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1F88FF7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6EB0495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0024BDE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4AFDB7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51FF5FAA">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685B1B8D">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8</w:t>
            </w:r>
          </w:p>
        </w:tc>
        <w:tc>
          <w:tcPr>
            <w:tcW w:w="1811" w:type="dxa"/>
            <w:tcBorders>
              <w:top w:val="single" w:color="000000" w:sz="4" w:space="0"/>
              <w:left w:val="single" w:color="000000" w:sz="4" w:space="0"/>
              <w:bottom w:val="single" w:color="000000" w:sz="4" w:space="0"/>
              <w:right w:val="single" w:color="000000" w:sz="4" w:space="0"/>
            </w:tcBorders>
          </w:tcPr>
          <w:p w14:paraId="662203FF">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2DCE08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50148E27">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69D466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4364F6A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056C8F9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4814BBE">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22A6F461">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49667D50">
        <w:tblPrEx>
          <w:tblCellMar>
            <w:top w:w="0" w:type="dxa"/>
            <w:left w:w="108" w:type="dxa"/>
            <w:bottom w:w="0" w:type="dxa"/>
            <w:right w:w="108" w:type="dxa"/>
          </w:tblCellMar>
        </w:tblPrEx>
        <w:trPr>
          <w:trHeight w:val="340" w:hRule="atLeast"/>
          <w:jc w:val="center"/>
        </w:trPr>
        <w:tc>
          <w:tcPr>
            <w:tcW w:w="2431" w:type="dxa"/>
            <w:gridSpan w:val="2"/>
            <w:tcBorders>
              <w:top w:val="single" w:color="000000" w:sz="4" w:space="0"/>
              <w:left w:val="single" w:color="000000" w:sz="4" w:space="0"/>
              <w:bottom w:val="single" w:color="000000" w:sz="4" w:space="0"/>
              <w:right w:val="single" w:color="000000" w:sz="4" w:space="0"/>
            </w:tcBorders>
            <w:vAlign w:val="center"/>
          </w:tcPr>
          <w:p w14:paraId="6CAD81E8">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资产支持证券小计</w:t>
            </w:r>
          </w:p>
        </w:tc>
        <w:tc>
          <w:tcPr>
            <w:tcW w:w="839" w:type="dxa"/>
            <w:tcBorders>
              <w:top w:val="single" w:color="000000" w:sz="4" w:space="0"/>
              <w:left w:val="single" w:color="000000" w:sz="4" w:space="0"/>
              <w:bottom w:val="single" w:color="000000" w:sz="4" w:space="0"/>
              <w:right w:val="single" w:color="000000" w:sz="4" w:space="0"/>
            </w:tcBorders>
            <w:vAlign w:val="center"/>
          </w:tcPr>
          <w:p w14:paraId="6E6FFA4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300862F">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3C7D516A">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67D63F0">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D62A85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2FC5BE1E">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53A982FD">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424A04D5">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1EFAA242">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9</w:t>
            </w:r>
          </w:p>
        </w:tc>
        <w:tc>
          <w:tcPr>
            <w:tcW w:w="1811" w:type="dxa"/>
            <w:tcBorders>
              <w:top w:val="single" w:color="000000" w:sz="4" w:space="0"/>
              <w:left w:val="single" w:color="000000" w:sz="4" w:space="0"/>
              <w:bottom w:val="single" w:color="000000" w:sz="4" w:space="0"/>
              <w:right w:val="single" w:color="000000" w:sz="4" w:space="0"/>
            </w:tcBorders>
            <w:vAlign w:val="center"/>
          </w:tcPr>
          <w:p w14:paraId="76CDE78E">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017DC56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2506CBB2">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CEB211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2BA6A648">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13FAE9B9">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5F84776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106773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6830ED96">
        <w:tblPrEx>
          <w:tblCellMar>
            <w:top w:w="0" w:type="dxa"/>
            <w:left w:w="108" w:type="dxa"/>
            <w:bottom w:w="0" w:type="dxa"/>
            <w:right w:w="108" w:type="dxa"/>
          </w:tblCellMar>
        </w:tblPrEx>
        <w:trPr>
          <w:trHeight w:val="340" w:hRule="atLeast"/>
          <w:jc w:val="center"/>
        </w:trPr>
        <w:tc>
          <w:tcPr>
            <w:tcW w:w="620" w:type="dxa"/>
            <w:tcBorders>
              <w:top w:val="single" w:color="000000" w:sz="4" w:space="0"/>
              <w:left w:val="single" w:color="000000" w:sz="4" w:space="0"/>
              <w:bottom w:val="single" w:color="000000" w:sz="4" w:space="0"/>
              <w:right w:val="single" w:color="000000" w:sz="4" w:space="0"/>
            </w:tcBorders>
            <w:vAlign w:val="center"/>
          </w:tcPr>
          <w:p w14:paraId="4E35EFC7">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1811" w:type="dxa"/>
            <w:tcBorders>
              <w:top w:val="single" w:color="000000" w:sz="4" w:space="0"/>
              <w:left w:val="single" w:color="000000" w:sz="4" w:space="0"/>
              <w:bottom w:val="single" w:color="000000" w:sz="4" w:space="0"/>
              <w:right w:val="single" w:color="000000" w:sz="4" w:space="0"/>
            </w:tcBorders>
          </w:tcPr>
          <w:p w14:paraId="5F89DA16">
            <w:pPr>
              <w:keepNext/>
              <w:keepLines/>
              <w:widowControl/>
              <w:numPr>
                <w:ilvl w:val="0"/>
                <w:numId w:val="0"/>
              </w:numPr>
              <w:snapToGrid w:val="0"/>
              <w:spacing w:before="340" w:after="330"/>
              <w:jc w:val="center"/>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465AC74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DA9E4D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7D5574B">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68190B9C">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24C49DC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5EF46778">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A9EDA4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7E89E632">
        <w:tblPrEx>
          <w:tblCellMar>
            <w:top w:w="0" w:type="dxa"/>
            <w:left w:w="108" w:type="dxa"/>
            <w:bottom w:w="0" w:type="dxa"/>
            <w:right w:w="108" w:type="dxa"/>
          </w:tblCellMar>
        </w:tblPrEx>
        <w:trPr>
          <w:trHeight w:val="340" w:hRule="atLeast"/>
          <w:jc w:val="center"/>
        </w:trPr>
        <w:tc>
          <w:tcPr>
            <w:tcW w:w="2431" w:type="dxa"/>
            <w:gridSpan w:val="2"/>
            <w:tcBorders>
              <w:top w:val="single" w:color="000000" w:sz="4" w:space="0"/>
              <w:left w:val="single" w:color="000000" w:sz="4" w:space="0"/>
              <w:bottom w:val="single" w:color="000000" w:sz="4" w:space="0"/>
              <w:right w:val="single" w:color="000000" w:sz="4" w:space="0"/>
            </w:tcBorders>
            <w:vAlign w:val="center"/>
          </w:tcPr>
          <w:p w14:paraId="19E8B50F">
            <w:pPr>
              <w:widowControl/>
              <w:snapToGrid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其他小计</w:t>
            </w:r>
          </w:p>
        </w:tc>
        <w:tc>
          <w:tcPr>
            <w:tcW w:w="839" w:type="dxa"/>
            <w:tcBorders>
              <w:top w:val="single" w:color="000000" w:sz="4" w:space="0"/>
              <w:left w:val="single" w:color="000000" w:sz="4" w:space="0"/>
              <w:bottom w:val="single" w:color="000000" w:sz="4" w:space="0"/>
              <w:right w:val="single" w:color="000000" w:sz="4" w:space="0"/>
            </w:tcBorders>
            <w:vAlign w:val="center"/>
          </w:tcPr>
          <w:p w14:paraId="623BDED3">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AB08A2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70CD338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3D115074">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62C6EEB1">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0CD5DEC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169000F6">
            <w:pPr>
              <w:keepNext/>
              <w:keepLines/>
              <w:widowControl/>
              <w:numPr>
                <w:ilvl w:val="0"/>
                <w:numId w:val="0"/>
              </w:numPr>
              <w:snapToGrid w:val="0"/>
              <w:spacing w:before="340" w:after="330"/>
              <w:jc w:val="right"/>
              <w:outlineLvl w:val="0"/>
              <w:rPr>
                <w:rFonts w:ascii="Times New Roman" w:hAnsi="Times New Roman" w:eastAsia="仿宋_GB2312"/>
                <w:color w:val="000000"/>
                <w:kern w:val="0"/>
                <w:szCs w:val="21"/>
              </w:rPr>
            </w:pPr>
          </w:p>
        </w:tc>
      </w:tr>
      <w:tr w14:paraId="345000F2">
        <w:tblPrEx>
          <w:tblCellMar>
            <w:top w:w="0" w:type="dxa"/>
            <w:left w:w="108" w:type="dxa"/>
            <w:bottom w:w="0" w:type="dxa"/>
            <w:right w:w="108" w:type="dxa"/>
          </w:tblCellMar>
        </w:tblPrEx>
        <w:trPr>
          <w:trHeight w:val="340" w:hRule="atLeast"/>
          <w:jc w:val="center"/>
        </w:trPr>
        <w:tc>
          <w:tcPr>
            <w:tcW w:w="2431" w:type="dxa"/>
            <w:gridSpan w:val="2"/>
            <w:tcBorders>
              <w:top w:val="single" w:color="000000" w:sz="4" w:space="0"/>
              <w:left w:val="single" w:color="000000" w:sz="4" w:space="0"/>
              <w:bottom w:val="single" w:color="000000" w:sz="4" w:space="0"/>
              <w:right w:val="single" w:color="000000" w:sz="4" w:space="0"/>
            </w:tcBorders>
            <w:vAlign w:val="center"/>
          </w:tcPr>
          <w:p w14:paraId="172114DA">
            <w:pPr>
              <w:widowControl/>
              <w:snapToGrid w:val="0"/>
              <w:jc w:val="center"/>
              <w:rPr>
                <w:rFonts w:ascii="Times New Roman" w:hAnsi="Times New Roman" w:eastAsia="仿宋_GB2312"/>
                <w:b/>
                <w:color w:val="000000"/>
                <w:kern w:val="0"/>
                <w:szCs w:val="21"/>
              </w:rPr>
            </w:pPr>
            <w:r>
              <w:rPr>
                <w:rFonts w:ascii="Times New Roman" w:hAnsi="Times New Roman" w:eastAsia="仿宋_GB2312"/>
                <w:b/>
                <w:color w:val="000000"/>
                <w:kern w:val="0"/>
                <w:szCs w:val="21"/>
              </w:rPr>
              <w:t>合计</w:t>
            </w:r>
          </w:p>
        </w:tc>
        <w:tc>
          <w:tcPr>
            <w:tcW w:w="839" w:type="dxa"/>
            <w:tcBorders>
              <w:top w:val="single" w:color="000000" w:sz="4" w:space="0"/>
              <w:left w:val="single" w:color="000000" w:sz="4" w:space="0"/>
              <w:bottom w:val="single" w:color="000000" w:sz="4" w:space="0"/>
              <w:right w:val="single" w:color="000000" w:sz="4" w:space="0"/>
            </w:tcBorders>
            <w:vAlign w:val="center"/>
          </w:tcPr>
          <w:p w14:paraId="3E892265">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6135B22C">
            <w:pPr>
              <w:widowControl/>
              <w:snapToGrid w:val="0"/>
              <w:jc w:val="right"/>
              <w:rPr>
                <w:rFonts w:ascii="Times New Roman" w:hAnsi="Times New Roman" w:eastAsia="仿宋_GB2312"/>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562B3752">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782FE6D8">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03DE2108">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tcPr>
          <w:p w14:paraId="12AFCFF5">
            <w:pPr>
              <w:widowControl/>
              <w:snapToGrid w:val="0"/>
              <w:jc w:val="right"/>
              <w:rPr>
                <w:rFonts w:ascii="Times New Roman" w:hAnsi="Times New Roman" w:eastAsia="仿宋_GB2312"/>
                <w:color w:val="000000"/>
                <w:kern w:val="0"/>
                <w:szCs w:val="21"/>
              </w:rPr>
            </w:pPr>
          </w:p>
        </w:tc>
        <w:tc>
          <w:tcPr>
            <w:tcW w:w="839" w:type="dxa"/>
            <w:tcBorders>
              <w:top w:val="single" w:color="000000" w:sz="4" w:space="0"/>
              <w:left w:val="single" w:color="000000" w:sz="4" w:space="0"/>
              <w:bottom w:val="single" w:color="000000" w:sz="4" w:space="0"/>
              <w:right w:val="single" w:color="000000" w:sz="4" w:space="0"/>
            </w:tcBorders>
            <w:vAlign w:val="center"/>
          </w:tcPr>
          <w:p w14:paraId="6A07D311">
            <w:pPr>
              <w:widowControl/>
              <w:snapToGrid w:val="0"/>
              <w:jc w:val="right"/>
              <w:rPr>
                <w:rFonts w:ascii="Times New Roman" w:hAnsi="Times New Roman" w:eastAsia="仿宋_GB2312"/>
                <w:color w:val="000000"/>
                <w:kern w:val="0"/>
                <w:szCs w:val="21"/>
              </w:rPr>
            </w:pPr>
            <w:bookmarkStart w:id="69" w:name="_Toc478717287"/>
            <w:bookmarkEnd w:id="69"/>
          </w:p>
        </w:tc>
      </w:tr>
    </w:tbl>
    <w:p w14:paraId="7A656504">
      <w:pPr>
        <w:pStyle w:val="4"/>
        <w:spacing w:before="340" w:after="330"/>
        <w:jc w:val="left"/>
        <w:rPr>
          <w:rFonts w:ascii="Times New Roman" w:hAnsi="Times New Roman"/>
          <w:shd w:val="clear" w:fill="auto"/>
          <w:lang w:bidi="en-US"/>
        </w:rPr>
      </w:pPr>
      <w:bookmarkStart w:id="70" w:name="_GoBack"/>
      <w:bookmarkEnd w:id="70"/>
    </w:p>
    <w:sectPr>
      <w:footerReference r:id="rId17" w:type="first"/>
      <w:footerReference r:id="rId15" w:type="default"/>
      <w:footerReference r:id="rId16" w:type="even"/>
      <w:footnotePr>
        <w:numFmt w:val="decimal"/>
        <w:numRestart w:val="eachPage"/>
      </w:footnotePr>
      <w:pgSz w:w="11906" w:h="16838"/>
      <w:pgMar w:top="1440" w:right="1800" w:bottom="1440" w:left="180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01"/>
    <w:family w:val="roman"/>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Calibri Light">
    <w:panose1 w:val="020F0302020204030204"/>
    <w:charset w:val="01"/>
    <w:family w:val="swiss"/>
    <w:pitch w:val="default"/>
    <w:sig w:usb0="A00002EF" w:usb1="4000207B" w:usb2="00000000" w:usb3="00000000" w:csb0="2000019F" w:csb1="00000000"/>
  </w:font>
  <w:font w:name="Cambria">
    <w:panose1 w:val="02040503050406030204"/>
    <w:charset w:val="01"/>
    <w:family w:val="roman"/>
    <w:pitch w:val="default"/>
    <w:sig w:usb0="E00002FF" w:usb1="400004FF" w:usb2="00000000" w:usb3="00000000" w:csb0="2000019F" w:csb1="00000000"/>
  </w:font>
  <w:font w:name="Liberation Sans">
    <w:altName w:val="Arial"/>
    <w:panose1 w:val="00000000000000000000"/>
    <w:charset w:val="01"/>
    <w:family w:val="swiss"/>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等线 Light">
    <w:altName w:val="Sazanami Mincho"/>
    <w:panose1 w:val="00000000000000000000"/>
    <w:charset w:val="01"/>
    <w:family w:val="swiss"/>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1FFC9">
    <w:pPr>
      <w:pStyle w:val="21"/>
      <w:jc w:val="center"/>
    </w:pPr>
    <w:r>
      <w:t>-</w:t>
    </w:r>
    <w:r>
      <w:rPr>
        <w:lang w:val="zh-CN"/>
      </w:rPr>
      <w:fldChar w:fldCharType="begin"/>
    </w:r>
    <w:r>
      <w:rPr>
        <w:lang w:val="zh-CN"/>
      </w:rPr>
      <w:instrText xml:space="preserve"> PAGE </w:instrText>
    </w:r>
    <w:r>
      <w:rPr>
        <w:lang w:val="zh-CN"/>
      </w:rPr>
      <w:fldChar w:fldCharType="separate"/>
    </w:r>
    <w:r>
      <w:rPr>
        <w:lang w:val="zh-CN"/>
      </w:rPr>
      <w:t>64</w:t>
    </w:r>
    <w:r>
      <w:rPr>
        <w:lang w:val="zh-CN"/>
      </w:rPr>
      <w:fldChar w:fldCharType="end"/>
    </w:r>
    <w:r>
      <w:t>-</w:t>
    </w:r>
  </w:p>
  <w:p w14:paraId="54834D89">
    <w:pPr>
      <w:pStyle w:val="2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875"/>
    </w:sdtPr>
    <w:sdtContent>
      <w:p w14:paraId="2677D68A">
        <w:pPr>
          <w:pStyle w:val="21"/>
          <w:jc w:val="center"/>
        </w:pPr>
        <w:r>
          <w:rPr>
            <w:b/>
            <w:sz w:val="24"/>
            <w:szCs w:val="24"/>
          </w:rPr>
          <w:fldChar w:fldCharType="begin"/>
        </w:r>
        <w:r>
          <w:rPr>
            <w:b/>
            <w:sz w:val="24"/>
            <w:szCs w:val="24"/>
          </w:rPr>
          <w:instrText xml:space="preserve"> PAGE </w:instrText>
        </w:r>
        <w:r>
          <w:rPr>
            <w:b/>
            <w:sz w:val="24"/>
            <w:szCs w:val="24"/>
          </w:rPr>
          <w:fldChar w:fldCharType="separate"/>
        </w:r>
        <w:r>
          <w:rPr>
            <w:b/>
            <w:sz w:val="24"/>
            <w:szCs w:val="24"/>
          </w:rPr>
          <w:t>88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93</w:t>
        </w:r>
        <w:r>
          <w:rPr>
            <w:b/>
            <w:sz w:val="24"/>
            <w:szCs w:val="24"/>
          </w:rPr>
          <w:fldChar w:fldCharType="end"/>
        </w:r>
      </w:p>
    </w:sdtContent>
  </w:sdt>
  <w:p w14:paraId="01128B4C">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D97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7CD2">
    <w:pPr>
      <w:pStyle w:val="21"/>
      <w:jc w:val="center"/>
    </w:pPr>
    <w:r>
      <w:fldChar w:fldCharType="begin"/>
    </w:r>
    <w:r>
      <w:instrText xml:space="preserve"> PAGE </w:instrText>
    </w:r>
    <w:r>
      <w:fldChar w:fldCharType="separate"/>
    </w:r>
    <w:r>
      <w:t>93</w:t>
    </w:r>
    <w:r>
      <w:fldChar w:fldCharType="end"/>
    </w:r>
  </w:p>
  <w:p w14:paraId="33818BF3">
    <w:pPr>
      <w:pStyle w:val="21"/>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EA0F">
    <w:pPr>
      <w:pStyle w:val="21"/>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2E2F">
    <w:pPr>
      <w:pStyle w:val="21"/>
      <w:jc w:val="center"/>
    </w:pPr>
    <w:r>
      <w:fldChar w:fldCharType="begin"/>
    </w:r>
    <w:r>
      <w:instrText xml:space="preserve"> PAGE </w:instrText>
    </w:r>
    <w:r>
      <w:fldChar w:fldCharType="separate"/>
    </w:r>
    <w:r>
      <w:t>93</w:t>
    </w:r>
    <w:r>
      <w:fldChar w:fldCharType="end"/>
    </w:r>
  </w:p>
  <w:p w14:paraId="34973F4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E5C2">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63321">
    <w:pPr>
      <w:pStyle w:val="21"/>
      <w:jc w:val="center"/>
    </w:pPr>
    <w:r>
      <w:t>-</w:t>
    </w:r>
    <w:r>
      <w:rPr>
        <w:lang w:val="zh-CN"/>
      </w:rPr>
      <w:fldChar w:fldCharType="begin"/>
    </w:r>
    <w:r>
      <w:rPr>
        <w:lang w:val="zh-CN"/>
      </w:rPr>
      <w:instrText xml:space="preserve"> PAGE </w:instrText>
    </w:r>
    <w:r>
      <w:rPr>
        <w:lang w:val="zh-CN"/>
      </w:rPr>
      <w:fldChar w:fldCharType="separate"/>
    </w:r>
    <w:r>
      <w:rPr>
        <w:lang w:val="zh-CN"/>
      </w:rPr>
      <w:t>64</w:t>
    </w:r>
    <w:r>
      <w:rPr>
        <w:lang w:val="zh-CN"/>
      </w:rPr>
      <w:fldChar w:fldCharType="end"/>
    </w:r>
    <w:r>
      <w:t>-</w:t>
    </w:r>
  </w:p>
  <w:p w14:paraId="63AE8A0E">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71B0">
    <w:pPr>
      <w:pStyle w:val="21"/>
      <w:jc w:val="center"/>
    </w:pPr>
    <w:r>
      <w:t>-</w:t>
    </w:r>
    <w:r>
      <w:rPr>
        <w:lang w:val="zh-CN"/>
      </w:rPr>
      <w:fldChar w:fldCharType="begin"/>
    </w:r>
    <w:r>
      <w:rPr>
        <w:lang w:val="zh-CN"/>
      </w:rPr>
      <w:instrText xml:space="preserve"> PAGE </w:instrText>
    </w:r>
    <w:r>
      <w:rPr>
        <w:lang w:val="zh-CN"/>
      </w:rPr>
      <w:fldChar w:fldCharType="separate"/>
    </w:r>
    <w:r>
      <w:rPr>
        <w:lang w:val="zh-CN"/>
      </w:rPr>
      <w:t>81</w:t>
    </w:r>
    <w:r>
      <w:rPr>
        <w:lang w:val="zh-CN"/>
      </w:rPr>
      <w:fldChar w:fldCharType="end"/>
    </w:r>
    <w:r>
      <w:t>-</w:t>
    </w:r>
  </w:p>
  <w:p w14:paraId="2A975DA1">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6F34">
    <w:pPr>
      <w:pStyle w:val="21"/>
      <w:jc w:val="center"/>
    </w:pPr>
    <w:r>
      <w:t>-</w:t>
    </w:r>
    <w:r>
      <w:rPr>
        <w:lang w:val="zh-CN"/>
      </w:rPr>
      <w:fldChar w:fldCharType="begin"/>
    </w:r>
    <w:r>
      <w:rPr>
        <w:lang w:val="zh-CN"/>
      </w:rPr>
      <w:instrText xml:space="preserve"> PAGE </w:instrText>
    </w:r>
    <w:r>
      <w:rPr>
        <w:lang w:val="zh-CN"/>
      </w:rPr>
      <w:fldChar w:fldCharType="separate"/>
    </w:r>
    <w:r>
      <w:rPr>
        <w:lang w:val="zh-CN"/>
      </w:rPr>
      <w:t>82</w:t>
    </w:r>
    <w:r>
      <w:rPr>
        <w:lang w:val="zh-CN"/>
      </w:rPr>
      <w:fldChar w:fldCharType="end"/>
    </w:r>
    <w:r>
      <w:t>-</w:t>
    </w:r>
  </w:p>
  <w:p w14:paraId="20F7E1E0">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CBB6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0352328"/>
    </w:sdtPr>
    <w:sdtContent>
      <w:p w14:paraId="4679A44C">
        <w:pPr>
          <w:pStyle w:val="21"/>
          <w:jc w:val="center"/>
        </w:pPr>
        <w:r>
          <w:rPr>
            <w:b/>
            <w:sz w:val="24"/>
            <w:szCs w:val="24"/>
          </w:rPr>
          <w:fldChar w:fldCharType="begin"/>
        </w:r>
        <w:r>
          <w:rPr>
            <w:b/>
            <w:sz w:val="24"/>
            <w:szCs w:val="24"/>
          </w:rPr>
          <w:instrText xml:space="preserve"> PAGE </w:instrText>
        </w:r>
        <w:r>
          <w:rPr>
            <w:b/>
            <w:sz w:val="24"/>
            <w:szCs w:val="24"/>
          </w:rPr>
          <w:fldChar w:fldCharType="separate"/>
        </w:r>
        <w:r>
          <w:rPr>
            <w:b/>
            <w:sz w:val="24"/>
            <w:szCs w:val="24"/>
          </w:rPr>
          <w:t>87</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93</w:t>
        </w:r>
        <w:r>
          <w:rPr>
            <w:b/>
            <w:sz w:val="24"/>
            <w:szCs w:val="24"/>
          </w:rPr>
          <w:fldChar w:fldCharType="end"/>
        </w:r>
      </w:p>
    </w:sdtContent>
  </w:sdt>
  <w:p w14:paraId="7185714D">
    <w:pPr>
      <w:pStyle w:val="2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A859">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119"/>
    </w:sdtPr>
    <w:sdtContent>
      <w:p w14:paraId="0D695283">
        <w:pPr>
          <w:pStyle w:val="21"/>
          <w:jc w:val="center"/>
        </w:pPr>
        <w:r>
          <w:rPr>
            <w:b/>
            <w:sz w:val="24"/>
            <w:szCs w:val="24"/>
          </w:rPr>
          <w:fldChar w:fldCharType="begin"/>
        </w:r>
        <w:r>
          <w:rPr>
            <w:b/>
            <w:sz w:val="24"/>
            <w:szCs w:val="24"/>
          </w:rPr>
          <w:instrText xml:space="preserve"> PAGE </w:instrText>
        </w:r>
        <w:r>
          <w:rPr>
            <w:b/>
            <w:sz w:val="24"/>
            <w:szCs w:val="24"/>
          </w:rPr>
          <w:fldChar w:fldCharType="separate"/>
        </w:r>
        <w:r>
          <w:rPr>
            <w:b/>
            <w:sz w:val="24"/>
            <w:szCs w:val="24"/>
          </w:rPr>
          <w:t>87</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93</w:t>
        </w:r>
        <w:r>
          <w:rPr>
            <w:b/>
            <w:sz w:val="24"/>
            <w:szCs w:val="24"/>
          </w:rPr>
          <w:fldChar w:fldCharType="end"/>
        </w:r>
      </w:p>
    </w:sdtContent>
  </w:sdt>
  <w:p w14:paraId="6FA1FD42">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pPr>
      <w:r>
        <w:separator/>
      </w:r>
    </w:p>
  </w:footnote>
  <w:footnote w:type="continuationSeparator" w:id="7">
    <w:p>
      <w:pPr>
        <w:spacing w:before="0" w:after="0"/>
      </w:pPr>
      <w:r>
        <w:continuationSeparator/>
      </w:r>
    </w:p>
  </w:footnote>
  <w:footnote w:id="0">
    <w:p w14:paraId="575EFB31">
      <w:pPr>
        <w:pStyle w:val="26"/>
      </w:pPr>
      <w:r>
        <w:rPr>
          <w:rStyle w:val="43"/>
        </w:rPr>
        <w:footnoteRef/>
      </w:r>
      <w:r>
        <w:rPr>
          <w:rFonts w:ascii="仿宋_GB2312" w:hAnsi="仿宋_GB2312" w:eastAsia="仿宋_GB2312"/>
          <w:sz w:val="22"/>
          <w:szCs w:val="22"/>
        </w:rPr>
        <w:t>商业物业抵押贷</w:t>
      </w:r>
      <w:r>
        <w:rPr>
          <w:rFonts w:eastAsia="仿宋_GB2312"/>
          <w:sz w:val="22"/>
          <w:szCs w:val="22"/>
        </w:rPr>
        <w:t>款（</w:t>
      </w:r>
      <w:r>
        <w:rPr>
          <w:rFonts w:ascii="Times New Roman" w:hAnsi="Times New Roman" w:eastAsia="仿宋_GB2312"/>
          <w:sz w:val="22"/>
          <w:szCs w:val="22"/>
        </w:rPr>
        <w:t>CMBS</w:t>
      </w:r>
      <w:r>
        <w:rPr>
          <w:rFonts w:eastAsia="仿宋_GB2312"/>
          <w:sz w:val="22"/>
          <w:szCs w:val="22"/>
        </w:rPr>
        <w:t>）、不动产持有型ABS等产品参照（三）不动产类要求填写；</w:t>
      </w:r>
    </w:p>
  </w:footnote>
  <w:footnote w:id="1">
    <w:p w14:paraId="52FD066B">
      <w:pPr>
        <w:pStyle w:val="26"/>
        <w:rPr>
          <w:sz w:val="22"/>
          <w:szCs w:val="22"/>
        </w:rPr>
      </w:pPr>
      <w:r>
        <w:rPr>
          <w:rStyle w:val="43"/>
        </w:rPr>
        <w:footnoteRef/>
      </w:r>
      <w:r>
        <w:rPr>
          <w:rFonts w:ascii="仿宋_GB2312" w:hAnsi="仿宋_GB2312" w:eastAsia="仿宋_GB2312"/>
          <w:sz w:val="22"/>
          <w:szCs w:val="22"/>
        </w:rPr>
        <w:t xml:space="preserve"> 对于租赁债权等生息资产，覆盖倍数是指基础资产合同本金对于优先级资产支持证券本金的覆盖倍数；对于应收账款等没有利息的资产，覆盖倍数是指基础资产的现金流对优先级资产支持证券本息的覆盖倍数。</w:t>
      </w:r>
    </w:p>
  </w:footnote>
  <w:footnote w:id="2">
    <w:p w14:paraId="7E79DF27">
      <w:pPr>
        <w:pStyle w:val="26"/>
      </w:pPr>
      <w:r>
        <w:rPr>
          <w:rStyle w:val="43"/>
        </w:rPr>
        <w:footnoteRef/>
      </w:r>
      <w:r>
        <w:rPr>
          <w:rFonts w:ascii="仿宋_GB2312" w:hAnsi="仿宋_GB2312" w:eastAsia="仿宋_GB2312"/>
          <w:sz w:val="22"/>
          <w:szCs w:val="22"/>
        </w:rPr>
        <w:t>若存在多个增信方，请分别填写。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pStyle w:val="89"/>
      <w:lvlText w:val="第%1条"/>
      <w:lvlJc w:val="left"/>
      <w:pPr>
        <w:tabs>
          <w:tab w:val="left" w:pos="0"/>
        </w:tabs>
        <w:ind w:left="3045" w:hanging="420"/>
      </w:pPr>
      <w:rPr>
        <w:rFonts w:ascii="仿宋_GB2312" w:hAnsi="仿宋_GB2312" w:eastAsia="仿宋_GB2312" w:cs="Times New Roman"/>
        <w:b/>
        <w:sz w:val="30"/>
        <w:szCs w:val="30"/>
      </w:rPr>
    </w:lvl>
    <w:lvl w:ilvl="1" w:tentative="0">
      <w:start w:val="1"/>
      <w:numFmt w:val="chineseCountingThousand"/>
      <w:lvlText w:val="第%2条"/>
      <w:lvlJc w:val="left"/>
      <w:pPr>
        <w:tabs>
          <w:tab w:val="left" w:pos="3856"/>
        </w:tabs>
        <w:ind w:left="1928" w:firstLine="567"/>
      </w:pPr>
      <w:rPr>
        <w:rFonts w:ascii="仿宋_GB2312" w:hAnsi="仿宋_GB2312" w:eastAsia="仿宋_GB2312" w:cs="Times New Roman"/>
        <w:b w:val="0"/>
        <w:i w:val="0"/>
        <w:strike w:val="0"/>
        <w:dstrike w:val="0"/>
        <w:spacing w:val="0"/>
        <w:w w:val="100"/>
        <w:kern w:val="0"/>
        <w:sz w:val="32"/>
        <w:szCs w:val="32"/>
        <w:u w:val="none"/>
      </w:rPr>
    </w:lvl>
    <w:lvl w:ilvl="2" w:tentative="0">
      <w:start w:val="1"/>
      <w:numFmt w:val="decimal"/>
      <w:lvlText w:val="%3."/>
      <w:lvlJc w:val="left"/>
      <w:pPr>
        <w:tabs>
          <w:tab w:val="left" w:pos="3595"/>
        </w:tabs>
        <w:ind w:left="3595" w:hanging="360"/>
      </w:pPr>
      <w:rPr>
        <w:rFonts w:cs="Times New Roman"/>
      </w:rPr>
    </w:lvl>
    <w:lvl w:ilvl="3" w:tentative="0">
      <w:start w:val="1"/>
      <w:numFmt w:val="decimal"/>
      <w:lvlText w:val="%4."/>
      <w:lvlJc w:val="left"/>
      <w:pPr>
        <w:tabs>
          <w:tab w:val="left" w:pos="4315"/>
        </w:tabs>
        <w:ind w:left="4315" w:hanging="360"/>
      </w:pPr>
      <w:rPr>
        <w:rFonts w:cs="Times New Roman"/>
      </w:rPr>
    </w:lvl>
    <w:lvl w:ilvl="4" w:tentative="0">
      <w:start w:val="1"/>
      <w:numFmt w:val="decimal"/>
      <w:lvlText w:val="%5."/>
      <w:lvlJc w:val="left"/>
      <w:pPr>
        <w:tabs>
          <w:tab w:val="left" w:pos="5035"/>
        </w:tabs>
        <w:ind w:left="5035" w:hanging="360"/>
      </w:pPr>
      <w:rPr>
        <w:rFonts w:cs="Times New Roman"/>
      </w:rPr>
    </w:lvl>
    <w:lvl w:ilvl="5" w:tentative="0">
      <w:start w:val="1"/>
      <w:numFmt w:val="decimal"/>
      <w:lvlText w:val="%6."/>
      <w:lvlJc w:val="left"/>
      <w:pPr>
        <w:tabs>
          <w:tab w:val="left" w:pos="5755"/>
        </w:tabs>
        <w:ind w:left="5755" w:hanging="360"/>
      </w:pPr>
      <w:rPr>
        <w:rFonts w:cs="Times New Roman"/>
      </w:rPr>
    </w:lvl>
    <w:lvl w:ilvl="6" w:tentative="0">
      <w:start w:val="1"/>
      <w:numFmt w:val="decimal"/>
      <w:lvlText w:val="%7."/>
      <w:lvlJc w:val="left"/>
      <w:pPr>
        <w:tabs>
          <w:tab w:val="left" w:pos="6475"/>
        </w:tabs>
        <w:ind w:left="6475" w:hanging="360"/>
      </w:pPr>
      <w:rPr>
        <w:rFonts w:cs="Times New Roman"/>
      </w:rPr>
    </w:lvl>
    <w:lvl w:ilvl="7" w:tentative="0">
      <w:start w:val="1"/>
      <w:numFmt w:val="decimal"/>
      <w:lvlText w:val="%8."/>
      <w:lvlJc w:val="left"/>
      <w:pPr>
        <w:tabs>
          <w:tab w:val="left" w:pos="7195"/>
        </w:tabs>
        <w:ind w:left="7195" w:hanging="360"/>
      </w:pPr>
      <w:rPr>
        <w:rFonts w:cs="Times New Roman"/>
      </w:rPr>
    </w:lvl>
    <w:lvl w:ilvl="8" w:tentative="0">
      <w:start w:val="1"/>
      <w:numFmt w:val="decimal"/>
      <w:lvlText w:val="%9."/>
      <w:lvlJc w:val="left"/>
      <w:pPr>
        <w:tabs>
          <w:tab w:val="left" w:pos="7915"/>
        </w:tabs>
        <w:ind w:left="7915"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autoHyphenation/>
  <w:hyphenationZone w:val="0"/>
  <w:footnotePr>
    <w:footnote w:id="6"/>
    <w:footnote w:id="7"/>
  </w:footnotePr>
  <w:compat>
    <w:doNotExpandShiftReturn/>
    <w:useFELayout/>
    <w:compatSetting w:name="compatibilityMode" w:uri="http://schemas.microsoft.com/office/word" w:val="12"/>
  </w:compat>
  <w:docVars>
    <w:docVar w:name="commondata" w:val="eyJoZGlkIjoiM2Y0ZjU3OTVlMWNjZjliNzFkZTc1MWFiYzc5MjQ3OTEifQ=="/>
  </w:docVars>
  <w:rsids>
    <w:rsidRoot w:val="00000000"/>
    <w:rsid w:val="0C9E4FB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iPriority="99"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spacing w:before="0" w:after="0"/>
      <w:jc w:val="both"/>
    </w:pPr>
    <w:rPr>
      <w:rFonts w:cs="Times New Roman" w:asciiTheme="minorHAnsi" w:hAnsiTheme="minorHAnsi" w:eastAsiaTheme="minorEastAsia"/>
      <w:color w:val="auto"/>
      <w:kern w:val="2"/>
      <w:sz w:val="21"/>
      <w:szCs w:val="22"/>
      <w:lang w:val="en-US" w:eastAsia="zh-CN" w:bidi="ar-SA"/>
    </w:rPr>
  </w:style>
  <w:style w:type="paragraph" w:styleId="3">
    <w:name w:val="heading 1"/>
    <w:basedOn w:val="1"/>
    <w:next w:val="1"/>
    <w:link w:val="47"/>
    <w:qFormat/>
    <w:uiPriority w:val="9"/>
    <w:pPr>
      <w:keepNext/>
      <w:keepLines/>
      <w:spacing w:before="340" w:after="330"/>
      <w:jc w:val="center"/>
      <w:outlineLvl w:val="0"/>
    </w:pPr>
    <w:rPr>
      <w:rFonts w:eastAsia="黑体"/>
      <w:b/>
      <w:bCs/>
      <w:kern w:val="2"/>
      <w:sz w:val="30"/>
      <w:szCs w:val="44"/>
    </w:rPr>
  </w:style>
  <w:style w:type="paragraph" w:styleId="4">
    <w:name w:val="heading 2"/>
    <w:basedOn w:val="3"/>
    <w:next w:val="1"/>
    <w:link w:val="56"/>
    <w:qFormat/>
    <w:uiPriority w:val="99"/>
    <w:pPr>
      <w:outlineLvl w:val="1"/>
    </w:pPr>
    <w:rPr>
      <w:rFonts w:eastAsia="仿宋_GB2312"/>
      <w:shd w:val="clear" w:fill="D9D9D9"/>
    </w:rPr>
  </w:style>
  <w:style w:type="paragraph" w:styleId="5">
    <w:name w:val="heading 3"/>
    <w:basedOn w:val="1"/>
    <w:next w:val="1"/>
    <w:link w:val="58"/>
    <w:unhideWhenUsed/>
    <w:qFormat/>
    <w:uiPriority w:val="9"/>
    <w:pPr>
      <w:keepNext/>
      <w:keepLines/>
      <w:spacing w:before="260" w:after="260" w:line="418" w:lineRule="auto"/>
      <w:outlineLvl w:val="2"/>
    </w:pPr>
    <w:rPr>
      <w:b/>
      <w:bCs/>
      <w:sz w:val="32"/>
      <w:szCs w:val="32"/>
    </w:rPr>
  </w:style>
  <w:style w:type="paragraph" w:styleId="6">
    <w:name w:val="heading 4"/>
    <w:basedOn w:val="1"/>
    <w:next w:val="1"/>
    <w:link w:val="59"/>
    <w:unhideWhenUsed/>
    <w:qFormat/>
    <w:uiPriority w:val="0"/>
    <w:pPr>
      <w:keepNext/>
      <w:keepLines/>
      <w:spacing w:before="280" w:after="290" w:line="377" w:lineRule="auto"/>
      <w:outlineLvl w:val="3"/>
    </w:pPr>
    <w:rPr>
      <w:rFonts w:asciiTheme="majorHAnsi" w:hAnsiTheme="majorHAnsi" w:eastAsiaTheme="majorEastAsia" w:cstheme="majorBidi"/>
      <w:b/>
      <w:bCs/>
      <w:sz w:val="28"/>
      <w:szCs w:val="28"/>
    </w:rPr>
  </w:style>
  <w:style w:type="paragraph" w:styleId="7">
    <w:name w:val="heading 5"/>
    <w:basedOn w:val="1"/>
    <w:next w:val="1"/>
    <w:link w:val="60"/>
    <w:unhideWhenUsed/>
    <w:qFormat/>
    <w:uiPriority w:val="0"/>
    <w:pPr>
      <w:keepNext/>
      <w:keepLines/>
      <w:spacing w:before="280" w:after="290" w:line="377" w:lineRule="auto"/>
      <w:outlineLvl w:val="4"/>
    </w:pPr>
    <w:rPr>
      <w:b/>
      <w:bCs/>
      <w:sz w:val="28"/>
      <w:szCs w:val="28"/>
    </w:rPr>
  </w:style>
  <w:style w:type="paragraph" w:styleId="8">
    <w:name w:val="heading 6"/>
    <w:basedOn w:val="1"/>
    <w:next w:val="1"/>
    <w:link w:val="61"/>
    <w:unhideWhenUsed/>
    <w:qFormat/>
    <w:uiPriority w:val="0"/>
    <w:pPr>
      <w:keepNext/>
      <w:keepLines/>
      <w:spacing w:before="240" w:after="64" w:line="319" w:lineRule="auto"/>
      <w:outlineLvl w:val="5"/>
    </w:pPr>
    <w:rPr>
      <w:rFonts w:asciiTheme="majorHAnsi" w:hAnsiTheme="majorHAnsi" w:eastAsiaTheme="majorEastAsia" w:cstheme="majorBidi"/>
      <w:b/>
      <w:bCs/>
      <w:sz w:val="24"/>
      <w:szCs w:val="24"/>
    </w:rPr>
  </w:style>
  <w:style w:type="paragraph" w:styleId="9">
    <w:name w:val="heading 7"/>
    <w:basedOn w:val="1"/>
    <w:next w:val="1"/>
    <w:link w:val="62"/>
    <w:unhideWhenUsed/>
    <w:qFormat/>
    <w:uiPriority w:val="0"/>
    <w:pPr>
      <w:keepNext/>
      <w:keepLines/>
      <w:spacing w:before="240" w:after="64" w:line="319" w:lineRule="auto"/>
      <w:outlineLvl w:val="6"/>
    </w:pPr>
    <w:rPr>
      <w:b/>
      <w:bCs/>
      <w:sz w:val="24"/>
      <w:szCs w:val="24"/>
    </w:rPr>
  </w:style>
  <w:style w:type="paragraph" w:styleId="10">
    <w:name w:val="heading 8"/>
    <w:basedOn w:val="1"/>
    <w:next w:val="1"/>
    <w:link w:val="63"/>
    <w:unhideWhenUsed/>
    <w:qFormat/>
    <w:uiPriority w:val="0"/>
    <w:pPr>
      <w:keepNext/>
      <w:keepLines/>
      <w:spacing w:before="240" w:after="64" w:line="319" w:lineRule="auto"/>
      <w:outlineLvl w:val="7"/>
    </w:pPr>
    <w:rPr>
      <w:rFonts w:asciiTheme="majorHAnsi" w:hAnsiTheme="majorHAnsi" w:eastAsiaTheme="majorEastAsia" w:cstheme="majorBidi"/>
      <w:sz w:val="24"/>
      <w:szCs w:val="24"/>
    </w:rPr>
  </w:style>
  <w:style w:type="paragraph" w:styleId="11">
    <w:name w:val="heading 9"/>
    <w:basedOn w:val="1"/>
    <w:next w:val="1"/>
    <w:link w:val="64"/>
    <w:unhideWhenUsed/>
    <w:qFormat/>
    <w:uiPriority w:val="0"/>
    <w:pPr>
      <w:keepNext/>
      <w:keepLines/>
      <w:spacing w:before="240" w:after="64" w:line="319" w:lineRule="auto"/>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caption"/>
    <w:basedOn w:val="1"/>
    <w:qFormat/>
    <w:uiPriority w:val="0"/>
    <w:pPr>
      <w:suppressLineNumbers/>
      <w:spacing w:before="120" w:after="120"/>
    </w:pPr>
    <w:rPr>
      <w:rFonts w:cs="Arial Unicode MS"/>
      <w:i/>
      <w:iCs/>
      <w:sz w:val="24"/>
      <w:szCs w:val="24"/>
    </w:rPr>
  </w:style>
  <w:style w:type="paragraph" w:styleId="13">
    <w:name w:val="Document Map"/>
    <w:basedOn w:val="1"/>
    <w:link w:val="51"/>
    <w:unhideWhenUsed/>
    <w:qFormat/>
    <w:uiPriority w:val="99"/>
    <w:rPr>
      <w:rFonts w:ascii="宋体" w:hAnsi="宋体"/>
      <w:sz w:val="18"/>
      <w:szCs w:val="18"/>
    </w:rPr>
  </w:style>
  <w:style w:type="paragraph" w:styleId="14">
    <w:name w:val="annotation text"/>
    <w:basedOn w:val="1"/>
    <w:link w:val="48"/>
    <w:unhideWhenUsed/>
    <w:qFormat/>
    <w:uiPriority w:val="99"/>
    <w:pPr>
      <w:jc w:val="left"/>
    </w:pPr>
  </w:style>
  <w:style w:type="paragraph" w:styleId="15">
    <w:name w:val="Body Text"/>
    <w:basedOn w:val="1"/>
    <w:link w:val="66"/>
    <w:unhideWhenUsed/>
    <w:qFormat/>
    <w:uiPriority w:val="99"/>
    <w:pPr>
      <w:spacing w:before="0" w:after="120"/>
    </w:pPr>
    <w:rPr>
      <w:rFonts w:asciiTheme="minorHAnsi" w:hAnsiTheme="minorHAnsi" w:eastAsiaTheme="minorEastAsia" w:cstheme="minorBidi"/>
    </w:rPr>
  </w:style>
  <w:style w:type="paragraph" w:styleId="16">
    <w:name w:val="toc 3"/>
    <w:basedOn w:val="1"/>
    <w:next w:val="1"/>
    <w:unhideWhenUsed/>
    <w:qFormat/>
    <w:uiPriority w:val="39"/>
    <w:pPr>
      <w:ind w:left="840"/>
    </w:pPr>
  </w:style>
  <w:style w:type="paragraph" w:styleId="17">
    <w:name w:val="Plain Text"/>
    <w:basedOn w:val="1"/>
    <w:link w:val="69"/>
    <w:qFormat/>
    <w:uiPriority w:val="99"/>
    <w:pPr>
      <w:jc w:val="left"/>
    </w:pPr>
    <w:rPr>
      <w:szCs w:val="21"/>
    </w:rPr>
  </w:style>
  <w:style w:type="paragraph" w:styleId="18">
    <w:name w:val="Date"/>
    <w:basedOn w:val="1"/>
    <w:next w:val="1"/>
    <w:link w:val="53"/>
    <w:unhideWhenUsed/>
    <w:qFormat/>
    <w:uiPriority w:val="99"/>
    <w:pPr>
      <w:ind w:left="100"/>
    </w:pPr>
  </w:style>
  <w:style w:type="paragraph" w:styleId="19">
    <w:name w:val="endnote text"/>
    <w:basedOn w:val="1"/>
    <w:link w:val="70"/>
    <w:unhideWhenUsed/>
    <w:qFormat/>
    <w:uiPriority w:val="99"/>
    <w:pPr>
      <w:snapToGrid w:val="0"/>
      <w:jc w:val="left"/>
    </w:pPr>
    <w:rPr>
      <w:rFonts w:eastAsia="仿宋_GB2312"/>
      <w:sz w:val="30"/>
    </w:rPr>
  </w:style>
  <w:style w:type="paragraph" w:styleId="20">
    <w:name w:val="Balloon Text"/>
    <w:basedOn w:val="1"/>
    <w:link w:val="44"/>
    <w:qFormat/>
    <w:uiPriority w:val="99"/>
    <w:rPr>
      <w:sz w:val="18"/>
      <w:szCs w:val="18"/>
    </w:rPr>
  </w:style>
  <w:style w:type="paragraph" w:styleId="21">
    <w:name w:val="footer"/>
    <w:basedOn w:val="1"/>
    <w:link w:val="46"/>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000000"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left" w:pos="1050"/>
        <w:tab w:val="right" w:leader="dot" w:pos="8296"/>
      </w:tabs>
    </w:pPr>
    <w:rPr>
      <w:rFonts w:ascii="仿宋_GB2312" w:hAnsi="仿宋_GB2312" w:eastAsia="仿宋_GB2312"/>
      <w:b/>
      <w:sz w:val="24"/>
      <w:szCs w:val="24"/>
    </w:rPr>
  </w:style>
  <w:style w:type="paragraph" w:styleId="24">
    <w:name w:val="Subtitle"/>
    <w:basedOn w:val="1"/>
    <w:next w:val="1"/>
    <w:link w:val="57"/>
    <w:qFormat/>
    <w:uiPriority w:val="11"/>
    <w:pPr>
      <w:spacing w:before="240" w:after="60" w:line="312" w:lineRule="auto"/>
      <w:jc w:val="center"/>
      <w:outlineLvl w:val="1"/>
    </w:pPr>
    <w:rPr>
      <w:rFonts w:asciiTheme="majorHAnsi" w:hAnsiTheme="majorHAnsi" w:cstheme="majorBidi"/>
      <w:b/>
      <w:bCs/>
      <w:kern w:val="2"/>
      <w:sz w:val="32"/>
      <w:szCs w:val="32"/>
    </w:rPr>
  </w:style>
  <w:style w:type="paragraph" w:styleId="25">
    <w:name w:val="List"/>
    <w:basedOn w:val="15"/>
    <w:uiPriority w:val="0"/>
    <w:rPr>
      <w:rFonts w:cs="Arial Unicode MS"/>
    </w:rPr>
  </w:style>
  <w:style w:type="paragraph" w:styleId="26">
    <w:name w:val="footnote text"/>
    <w:basedOn w:val="1"/>
    <w:link w:val="50"/>
    <w:unhideWhenUsed/>
    <w:qFormat/>
    <w:uiPriority w:val="99"/>
    <w:pPr>
      <w:snapToGrid w:val="0"/>
      <w:jc w:val="left"/>
    </w:pPr>
    <w:rPr>
      <w:sz w:val="18"/>
      <w:szCs w:val="18"/>
    </w:rPr>
  </w:style>
  <w:style w:type="paragraph" w:styleId="27">
    <w:name w:val="toc 2"/>
    <w:basedOn w:val="1"/>
    <w:next w:val="1"/>
    <w:qFormat/>
    <w:uiPriority w:val="39"/>
    <w:pPr>
      <w:tabs>
        <w:tab w:val="left" w:pos="1680"/>
        <w:tab w:val="right" w:leader="dot" w:pos="8296"/>
      </w:tabs>
      <w:ind w:left="420"/>
    </w:pPr>
  </w:style>
  <w:style w:type="paragraph" w:styleId="28">
    <w:name w:val="Normal (Web)"/>
    <w:basedOn w:val="1"/>
    <w:qFormat/>
    <w:uiPriority w:val="99"/>
    <w:pPr>
      <w:widowControl/>
      <w:spacing w:beforeAutospacing="1" w:afterAutospacing="1" w:line="360" w:lineRule="auto"/>
      <w:jc w:val="left"/>
    </w:pPr>
    <w:rPr>
      <w:rFonts w:ascii="宋体" w:hAnsi="宋体" w:eastAsia="仿宋_GB2312"/>
      <w:color w:val="000000"/>
      <w:kern w:val="0"/>
      <w:sz w:val="24"/>
      <w:szCs w:val="24"/>
    </w:rPr>
  </w:style>
  <w:style w:type="paragraph" w:styleId="29">
    <w:name w:val="Title"/>
    <w:basedOn w:val="1"/>
    <w:next w:val="1"/>
    <w:link w:val="71"/>
    <w:qFormat/>
    <w:uiPriority w:val="99"/>
    <w:pPr>
      <w:spacing w:before="240" w:after="60"/>
      <w:jc w:val="center"/>
      <w:outlineLvl w:val="0"/>
    </w:pPr>
    <w:rPr>
      <w:rFonts w:ascii="Cambria" w:hAnsi="Cambria" w:eastAsia="仿宋_GB2312"/>
      <w:b/>
      <w:bCs/>
      <w:kern w:val="0"/>
      <w:sz w:val="30"/>
      <w:szCs w:val="32"/>
    </w:rPr>
  </w:style>
  <w:style w:type="paragraph" w:styleId="30">
    <w:name w:val="annotation subject"/>
    <w:basedOn w:val="14"/>
    <w:next w:val="14"/>
    <w:link w:val="49"/>
    <w:semiHidden/>
    <w:unhideWhenUsed/>
    <w:qFormat/>
    <w:uiPriority w:val="99"/>
    <w:rPr>
      <w:b/>
      <w:bCs/>
    </w:rPr>
  </w:style>
  <w:style w:type="paragraph" w:styleId="31">
    <w:name w:val="Body Text First Indent"/>
    <w:basedOn w:val="15"/>
    <w:link w:val="68"/>
    <w:qFormat/>
    <w:uiPriority w:val="0"/>
    <w:pPr>
      <w:ind w:firstLine="420"/>
    </w:pPr>
    <w:rPr>
      <w:rFonts w:ascii="Calibri" w:hAnsi="Calibri" w:eastAsia="宋体" w:cs="Times New Roman"/>
    </w:rPr>
  </w:style>
  <w:style w:type="table" w:styleId="33">
    <w:name w:val="Table Grid"/>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endnote reference"/>
    <w:qFormat/>
    <w:uiPriority w:val="0"/>
    <w:rPr>
      <w:vertAlign w:val="superscript"/>
    </w:rPr>
  </w:style>
  <w:style w:type="character" w:styleId="37">
    <w:name w:val="page number"/>
    <w:qFormat/>
    <w:uiPriority w:val="0"/>
    <w:rPr>
      <w:rFonts w:cs="Times New Roman"/>
    </w:rPr>
  </w:style>
  <w:style w:type="character" w:styleId="38">
    <w:name w:val="Emphasis"/>
    <w:basedOn w:val="34"/>
    <w:qFormat/>
    <w:uiPriority w:val="20"/>
    <w:rPr>
      <w:i/>
      <w:iCs/>
    </w:rPr>
  </w:style>
  <w:style w:type="character" w:styleId="39">
    <w:name w:val="Hyperlink"/>
    <w:basedOn w:val="34"/>
    <w:unhideWhenUsed/>
    <w:qFormat/>
    <w:uiPriority w:val="99"/>
    <w:rPr>
      <w:color w:val="0563C1" w:themeColor="hyperlink"/>
      <w:u w:val="single"/>
    </w:rPr>
  </w:style>
  <w:style w:type="character" w:styleId="40">
    <w:name w:val="annotation reference"/>
    <w:basedOn w:val="34"/>
    <w:unhideWhenUsed/>
    <w:qFormat/>
    <w:uiPriority w:val="99"/>
    <w:rPr>
      <w:sz w:val="21"/>
      <w:szCs w:val="21"/>
    </w:rPr>
  </w:style>
  <w:style w:type="character" w:styleId="41">
    <w:name w:val="footnote reference"/>
    <w:qFormat/>
    <w:uiPriority w:val="0"/>
    <w:rPr>
      <w:vertAlign w:val="superscript"/>
    </w:rPr>
  </w:style>
  <w:style w:type="character" w:customStyle="1" w:styleId="42">
    <w:name w:val="Endnote Characters"/>
    <w:basedOn w:val="34"/>
    <w:unhideWhenUsed/>
    <w:qFormat/>
    <w:uiPriority w:val="99"/>
    <w:rPr>
      <w:vertAlign w:val="superscript"/>
    </w:rPr>
  </w:style>
  <w:style w:type="character" w:customStyle="1" w:styleId="43">
    <w:name w:val="Footnote Characters"/>
    <w:basedOn w:val="34"/>
    <w:unhideWhenUsed/>
    <w:qFormat/>
    <w:uiPriority w:val="99"/>
    <w:rPr>
      <w:vertAlign w:val="superscript"/>
    </w:rPr>
  </w:style>
  <w:style w:type="character" w:customStyle="1" w:styleId="44">
    <w:name w:val="批注框文本 Char"/>
    <w:basedOn w:val="34"/>
    <w:link w:val="20"/>
    <w:qFormat/>
    <w:uiPriority w:val="99"/>
    <w:rPr>
      <w:rFonts w:ascii="Calibri" w:hAnsi="Calibri" w:eastAsia="宋体" w:cs="Times New Roman"/>
      <w:kern w:val="2"/>
      <w:sz w:val="18"/>
      <w:szCs w:val="18"/>
    </w:rPr>
  </w:style>
  <w:style w:type="character" w:customStyle="1" w:styleId="45">
    <w:name w:val="页眉 Char"/>
    <w:basedOn w:val="34"/>
    <w:link w:val="22"/>
    <w:qFormat/>
    <w:uiPriority w:val="99"/>
    <w:rPr>
      <w:rFonts w:ascii="Calibri" w:hAnsi="Calibri" w:eastAsia="宋体" w:cs="Times New Roman"/>
      <w:kern w:val="2"/>
      <w:sz w:val="18"/>
      <w:szCs w:val="18"/>
    </w:rPr>
  </w:style>
  <w:style w:type="character" w:customStyle="1" w:styleId="46">
    <w:name w:val="页脚 Char"/>
    <w:basedOn w:val="34"/>
    <w:link w:val="21"/>
    <w:qFormat/>
    <w:uiPriority w:val="99"/>
    <w:rPr>
      <w:rFonts w:ascii="Calibri" w:hAnsi="Calibri" w:eastAsia="宋体" w:cs="Times New Roman"/>
      <w:kern w:val="2"/>
      <w:sz w:val="18"/>
      <w:szCs w:val="18"/>
    </w:rPr>
  </w:style>
  <w:style w:type="character" w:customStyle="1" w:styleId="47">
    <w:name w:val="标题 1 Char"/>
    <w:link w:val="3"/>
    <w:qFormat/>
    <w:locked/>
    <w:uiPriority w:val="9"/>
    <w:rPr>
      <w:rFonts w:ascii="Calibri" w:hAnsi="Calibri" w:eastAsia="黑体" w:cs="Times New Roman"/>
      <w:b/>
      <w:bCs/>
      <w:kern w:val="2"/>
      <w:sz w:val="30"/>
      <w:szCs w:val="44"/>
    </w:rPr>
  </w:style>
  <w:style w:type="character" w:customStyle="1" w:styleId="48">
    <w:name w:val="批注文字 Char"/>
    <w:basedOn w:val="34"/>
    <w:link w:val="14"/>
    <w:qFormat/>
    <w:uiPriority w:val="99"/>
    <w:rPr>
      <w:rFonts w:ascii="Calibri" w:hAnsi="Calibri" w:eastAsia="宋体" w:cs="Times New Roman"/>
      <w:kern w:val="2"/>
      <w:sz w:val="21"/>
      <w:szCs w:val="22"/>
    </w:rPr>
  </w:style>
  <w:style w:type="character" w:customStyle="1" w:styleId="49">
    <w:name w:val="批注主题 Char"/>
    <w:basedOn w:val="48"/>
    <w:link w:val="30"/>
    <w:qFormat/>
    <w:uiPriority w:val="99"/>
    <w:rPr>
      <w:rFonts w:ascii="Calibri" w:hAnsi="Calibri" w:eastAsia="宋体" w:cs="Times New Roman"/>
      <w:kern w:val="2"/>
      <w:sz w:val="21"/>
      <w:szCs w:val="22"/>
    </w:rPr>
  </w:style>
  <w:style w:type="character" w:customStyle="1" w:styleId="50">
    <w:name w:val="脚注文本 Char"/>
    <w:basedOn w:val="34"/>
    <w:link w:val="26"/>
    <w:qFormat/>
    <w:uiPriority w:val="99"/>
    <w:rPr>
      <w:rFonts w:ascii="Calibri" w:hAnsi="Calibri" w:eastAsia="宋体" w:cs="Times New Roman"/>
      <w:kern w:val="2"/>
      <w:sz w:val="18"/>
      <w:szCs w:val="18"/>
    </w:rPr>
  </w:style>
  <w:style w:type="character" w:customStyle="1" w:styleId="51">
    <w:name w:val="文档结构图 Char"/>
    <w:basedOn w:val="34"/>
    <w:link w:val="13"/>
    <w:qFormat/>
    <w:uiPriority w:val="99"/>
    <w:rPr>
      <w:rFonts w:ascii="宋体" w:hAnsi="宋体" w:eastAsia="宋体" w:cs="Times New Roman"/>
      <w:kern w:val="2"/>
      <w:sz w:val="18"/>
      <w:szCs w:val="18"/>
    </w:rPr>
  </w:style>
  <w:style w:type="character" w:customStyle="1" w:styleId="52">
    <w:name w:val="tree-title"/>
    <w:basedOn w:val="34"/>
    <w:qFormat/>
    <w:uiPriority w:val="0"/>
  </w:style>
  <w:style w:type="character" w:customStyle="1" w:styleId="53">
    <w:name w:val="日期 Char"/>
    <w:basedOn w:val="34"/>
    <w:link w:val="18"/>
    <w:qFormat/>
    <w:uiPriority w:val="99"/>
    <w:rPr>
      <w:rFonts w:ascii="Calibri" w:hAnsi="Calibri" w:eastAsia="宋体" w:cs="Times New Roman"/>
      <w:kern w:val="2"/>
      <w:sz w:val="21"/>
      <w:szCs w:val="22"/>
    </w:rPr>
  </w:style>
  <w:style w:type="character" w:customStyle="1" w:styleId="54">
    <w:name w:val="列出段落 Char"/>
    <w:link w:val="55"/>
    <w:qFormat/>
    <w:uiPriority w:val="34"/>
    <w:rPr>
      <w:rFonts w:ascii="Calibri" w:hAnsi="Calibri" w:eastAsia="宋体" w:cs="Times New Roman"/>
      <w:kern w:val="2"/>
      <w:sz w:val="21"/>
      <w:szCs w:val="22"/>
    </w:rPr>
  </w:style>
  <w:style w:type="paragraph" w:styleId="55">
    <w:name w:val="List Paragraph"/>
    <w:basedOn w:val="1"/>
    <w:link w:val="54"/>
    <w:qFormat/>
    <w:uiPriority w:val="34"/>
    <w:pPr>
      <w:ind w:firstLine="420"/>
    </w:pPr>
  </w:style>
  <w:style w:type="character" w:customStyle="1" w:styleId="56">
    <w:name w:val="标题 2 Char"/>
    <w:basedOn w:val="34"/>
    <w:link w:val="4"/>
    <w:qFormat/>
    <w:uiPriority w:val="99"/>
    <w:rPr>
      <w:rFonts w:ascii="Calibri" w:hAnsi="Calibri" w:eastAsia="仿宋_GB2312" w:cs="Times New Roman"/>
      <w:b/>
      <w:bCs/>
      <w:kern w:val="2"/>
      <w:sz w:val="30"/>
      <w:szCs w:val="44"/>
    </w:rPr>
  </w:style>
  <w:style w:type="character" w:customStyle="1" w:styleId="57">
    <w:name w:val="副标题 Char"/>
    <w:basedOn w:val="34"/>
    <w:link w:val="24"/>
    <w:qFormat/>
    <w:uiPriority w:val="11"/>
    <w:rPr>
      <w:rFonts w:eastAsia="宋体" w:asciiTheme="majorHAnsi" w:hAnsiTheme="majorHAnsi" w:cstheme="majorBidi"/>
      <w:b/>
      <w:bCs/>
      <w:kern w:val="2"/>
      <w:sz w:val="32"/>
      <w:szCs w:val="32"/>
    </w:rPr>
  </w:style>
  <w:style w:type="character" w:customStyle="1" w:styleId="58">
    <w:name w:val="标题 3 Char"/>
    <w:basedOn w:val="34"/>
    <w:link w:val="5"/>
    <w:qFormat/>
    <w:uiPriority w:val="9"/>
    <w:rPr>
      <w:rFonts w:ascii="Calibri" w:hAnsi="Calibri" w:eastAsia="宋体" w:cs="Times New Roman"/>
      <w:b/>
      <w:bCs/>
      <w:kern w:val="2"/>
      <w:sz w:val="32"/>
      <w:szCs w:val="32"/>
    </w:rPr>
  </w:style>
  <w:style w:type="character" w:customStyle="1" w:styleId="59">
    <w:name w:val="标题 4 Char"/>
    <w:basedOn w:val="34"/>
    <w:link w:val="6"/>
    <w:qFormat/>
    <w:uiPriority w:val="0"/>
    <w:rPr>
      <w:rFonts w:asciiTheme="majorHAnsi" w:hAnsiTheme="majorHAnsi" w:eastAsiaTheme="majorEastAsia" w:cstheme="majorBidi"/>
      <w:b/>
      <w:bCs/>
      <w:kern w:val="2"/>
      <w:sz w:val="28"/>
      <w:szCs w:val="28"/>
    </w:rPr>
  </w:style>
  <w:style w:type="character" w:customStyle="1" w:styleId="60">
    <w:name w:val="标题 5 Char"/>
    <w:basedOn w:val="34"/>
    <w:link w:val="7"/>
    <w:qFormat/>
    <w:uiPriority w:val="0"/>
    <w:rPr>
      <w:rFonts w:ascii="Calibri" w:hAnsi="Calibri" w:eastAsia="宋体" w:cs="Times New Roman"/>
      <w:b/>
      <w:bCs/>
      <w:kern w:val="2"/>
      <w:sz w:val="28"/>
      <w:szCs w:val="28"/>
    </w:rPr>
  </w:style>
  <w:style w:type="character" w:customStyle="1" w:styleId="61">
    <w:name w:val="标题 6 Char"/>
    <w:basedOn w:val="34"/>
    <w:link w:val="8"/>
    <w:qFormat/>
    <w:uiPriority w:val="0"/>
    <w:rPr>
      <w:rFonts w:asciiTheme="majorHAnsi" w:hAnsiTheme="majorHAnsi" w:eastAsiaTheme="majorEastAsia" w:cstheme="majorBidi"/>
      <w:b/>
      <w:bCs/>
      <w:kern w:val="2"/>
      <w:sz w:val="24"/>
      <w:szCs w:val="24"/>
    </w:rPr>
  </w:style>
  <w:style w:type="character" w:customStyle="1" w:styleId="62">
    <w:name w:val="标题 7 Char"/>
    <w:basedOn w:val="34"/>
    <w:link w:val="9"/>
    <w:qFormat/>
    <w:uiPriority w:val="0"/>
    <w:rPr>
      <w:rFonts w:ascii="Calibri" w:hAnsi="Calibri" w:eastAsia="宋体" w:cs="Times New Roman"/>
      <w:b/>
      <w:bCs/>
      <w:kern w:val="2"/>
      <w:sz w:val="24"/>
      <w:szCs w:val="24"/>
    </w:rPr>
  </w:style>
  <w:style w:type="character" w:customStyle="1" w:styleId="63">
    <w:name w:val="标题 8 Char"/>
    <w:basedOn w:val="34"/>
    <w:link w:val="10"/>
    <w:qFormat/>
    <w:uiPriority w:val="0"/>
    <w:rPr>
      <w:rFonts w:asciiTheme="majorHAnsi" w:hAnsiTheme="majorHAnsi" w:eastAsiaTheme="majorEastAsia" w:cstheme="majorBidi"/>
      <w:kern w:val="2"/>
      <w:sz w:val="24"/>
      <w:szCs w:val="24"/>
    </w:rPr>
  </w:style>
  <w:style w:type="character" w:customStyle="1" w:styleId="64">
    <w:name w:val="标题 9 Char"/>
    <w:basedOn w:val="34"/>
    <w:link w:val="11"/>
    <w:qFormat/>
    <w:uiPriority w:val="0"/>
    <w:rPr>
      <w:rFonts w:asciiTheme="majorHAnsi" w:hAnsiTheme="majorHAnsi" w:eastAsiaTheme="majorEastAsia" w:cstheme="majorBidi"/>
      <w:kern w:val="2"/>
      <w:sz w:val="21"/>
      <w:szCs w:val="21"/>
    </w:rPr>
  </w:style>
  <w:style w:type="character" w:customStyle="1" w:styleId="65">
    <w:name w:val="批注文字 Char1"/>
    <w:basedOn w:val="34"/>
    <w:qFormat/>
    <w:uiPriority w:val="99"/>
    <w:rPr>
      <w:rFonts w:asciiTheme="minorHAnsi" w:hAnsiTheme="minorHAnsi" w:eastAsiaTheme="minorEastAsia" w:cstheme="minorBidi"/>
      <w:kern w:val="2"/>
      <w:sz w:val="21"/>
      <w:szCs w:val="22"/>
    </w:rPr>
  </w:style>
  <w:style w:type="character" w:customStyle="1" w:styleId="66">
    <w:name w:val="正文文本 Char"/>
    <w:basedOn w:val="34"/>
    <w:link w:val="15"/>
    <w:qFormat/>
    <w:uiPriority w:val="99"/>
    <w:rPr>
      <w:kern w:val="2"/>
      <w:sz w:val="21"/>
      <w:szCs w:val="22"/>
    </w:rPr>
  </w:style>
  <w:style w:type="character" w:customStyle="1" w:styleId="67">
    <w:name w:val="正文首行缩进 Char"/>
    <w:basedOn w:val="66"/>
    <w:qFormat/>
    <w:uiPriority w:val="0"/>
    <w:rPr>
      <w:kern w:val="2"/>
      <w:sz w:val="21"/>
      <w:szCs w:val="22"/>
    </w:rPr>
  </w:style>
  <w:style w:type="character" w:customStyle="1" w:styleId="68">
    <w:name w:val="正文首行缩进 Char1"/>
    <w:basedOn w:val="66"/>
    <w:link w:val="31"/>
    <w:qFormat/>
    <w:uiPriority w:val="0"/>
    <w:rPr>
      <w:rFonts w:ascii="Calibri" w:hAnsi="Calibri" w:eastAsia="宋体" w:cs="Times New Roman"/>
      <w:kern w:val="2"/>
      <w:sz w:val="21"/>
      <w:szCs w:val="22"/>
    </w:rPr>
  </w:style>
  <w:style w:type="character" w:customStyle="1" w:styleId="69">
    <w:name w:val="纯文本 Char"/>
    <w:basedOn w:val="34"/>
    <w:link w:val="17"/>
    <w:qFormat/>
    <w:uiPriority w:val="99"/>
    <w:rPr>
      <w:rFonts w:ascii="Calibri" w:hAnsi="Calibri" w:eastAsia="宋体" w:cs="Times New Roman"/>
      <w:kern w:val="2"/>
      <w:sz w:val="21"/>
      <w:szCs w:val="21"/>
    </w:rPr>
  </w:style>
  <w:style w:type="character" w:customStyle="1" w:styleId="70">
    <w:name w:val="尾注文本 Char"/>
    <w:basedOn w:val="34"/>
    <w:link w:val="19"/>
    <w:qFormat/>
    <w:uiPriority w:val="99"/>
    <w:rPr>
      <w:rFonts w:ascii="Calibri" w:hAnsi="Calibri" w:eastAsia="仿宋_GB2312" w:cs="Times New Roman"/>
      <w:kern w:val="2"/>
      <w:sz w:val="30"/>
      <w:szCs w:val="22"/>
    </w:rPr>
  </w:style>
  <w:style w:type="character" w:customStyle="1" w:styleId="71">
    <w:name w:val="标题 Char"/>
    <w:basedOn w:val="34"/>
    <w:link w:val="29"/>
    <w:qFormat/>
    <w:uiPriority w:val="99"/>
    <w:rPr>
      <w:rFonts w:ascii="Cambria" w:hAnsi="Cambria" w:eastAsia="仿宋_GB2312" w:cs="Times New Roman"/>
      <w:b/>
      <w:bCs/>
      <w:sz w:val="30"/>
      <w:szCs w:val="32"/>
    </w:rPr>
  </w:style>
  <w:style w:type="character" w:customStyle="1" w:styleId="72">
    <w:name w:val="style31"/>
    <w:qFormat/>
    <w:uiPriority w:val="99"/>
    <w:rPr>
      <w:sz w:val="18"/>
    </w:rPr>
  </w:style>
  <w:style w:type="character" w:customStyle="1" w:styleId="73">
    <w:name w:val="fontstyle01"/>
    <w:qFormat/>
    <w:uiPriority w:val="0"/>
    <w:rPr>
      <w:rFonts w:ascii="仿宋_GB2312" w:hAnsi="仿宋_GB2312" w:eastAsia="仿宋_GB2312"/>
      <w:color w:val="000000"/>
      <w:sz w:val="30"/>
    </w:rPr>
  </w:style>
  <w:style w:type="character" w:customStyle="1" w:styleId="74">
    <w:name w:val="sect2title"/>
    <w:basedOn w:val="34"/>
    <w:qFormat/>
    <w:uiPriority w:val="0"/>
  </w:style>
  <w:style w:type="character" w:customStyle="1" w:styleId="75">
    <w:name w:val="标题1"/>
    <w:basedOn w:val="34"/>
    <w:qFormat/>
    <w:uiPriority w:val="0"/>
  </w:style>
  <w:style w:type="character" w:customStyle="1" w:styleId="76">
    <w:name w:val="highlight"/>
    <w:basedOn w:val="34"/>
    <w:qFormat/>
    <w:uiPriority w:val="0"/>
  </w:style>
  <w:style w:type="character" w:customStyle="1" w:styleId="77">
    <w:name w:val="Index Link"/>
    <w:qFormat/>
    <w:uiPriority w:val="0"/>
  </w:style>
  <w:style w:type="paragraph" w:customStyle="1" w:styleId="78">
    <w:name w:val="Heading"/>
    <w:basedOn w:val="1"/>
    <w:next w:val="15"/>
    <w:qFormat/>
    <w:uiPriority w:val="0"/>
    <w:pPr>
      <w:keepNext/>
      <w:spacing w:before="240" w:after="120"/>
    </w:pPr>
    <w:rPr>
      <w:rFonts w:ascii="Liberation Sans" w:hAnsi="Liberation Sans" w:eastAsia="Arial Unicode MS" w:cs="Arial Unicode MS"/>
      <w:sz w:val="28"/>
      <w:szCs w:val="28"/>
    </w:rPr>
  </w:style>
  <w:style w:type="paragraph" w:customStyle="1" w:styleId="79">
    <w:name w:val="Index"/>
    <w:basedOn w:val="1"/>
    <w:qFormat/>
    <w:uiPriority w:val="0"/>
    <w:pPr>
      <w:suppressLineNumbers/>
    </w:pPr>
    <w:rPr>
      <w:rFonts w:cs="Arial Unicode MS"/>
    </w:rPr>
  </w:style>
  <w:style w:type="paragraph" w:customStyle="1" w:styleId="80">
    <w:name w:val="Header and Footer"/>
    <w:basedOn w:val="1"/>
    <w:qFormat/>
    <w:uiPriority w:val="0"/>
  </w:style>
  <w:style w:type="paragraph" w:customStyle="1" w:styleId="81">
    <w:name w:val="列出段落2"/>
    <w:basedOn w:val="1"/>
    <w:qFormat/>
    <w:uiPriority w:val="99"/>
    <w:pPr>
      <w:ind w:firstLine="420"/>
    </w:pPr>
  </w:style>
  <w:style w:type="paragraph" w:customStyle="1" w:styleId="8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83">
    <w:name w:val="列出段落1"/>
    <w:basedOn w:val="1"/>
    <w:qFormat/>
    <w:uiPriority w:val="34"/>
    <w:pPr>
      <w:ind w:firstLine="420"/>
    </w:pPr>
  </w:style>
  <w:style w:type="paragraph" w:customStyle="1" w:styleId="84">
    <w:name w:val="修订1"/>
    <w:semiHidden/>
    <w:qFormat/>
    <w:uiPriority w:val="99"/>
    <w:pPr>
      <w:widowControl/>
      <w:suppressAutoHyphens/>
      <w:bidi w:val="0"/>
      <w:spacing w:before="0" w:after="0"/>
      <w:jc w:val="left"/>
    </w:pPr>
    <w:rPr>
      <w:rFonts w:cs="Times New Roman" w:asciiTheme="minorHAnsi" w:hAnsiTheme="minorHAnsi" w:eastAsiaTheme="minorEastAsia"/>
      <w:color w:val="auto"/>
      <w:kern w:val="2"/>
      <w:sz w:val="21"/>
      <w:szCs w:val="22"/>
      <w:lang w:val="en-US" w:eastAsia="zh-CN" w:bidi="ar-SA"/>
    </w:rPr>
  </w:style>
  <w:style w:type="paragraph" w:customStyle="1" w:styleId="85">
    <w:name w:val="Default"/>
    <w:qFormat/>
    <w:uiPriority w:val="99"/>
    <w:pPr>
      <w:widowControl w:val="0"/>
      <w:suppressAutoHyphens/>
      <w:bidi w:val="0"/>
      <w:spacing w:before="0" w:after="0"/>
      <w:jc w:val="left"/>
    </w:pPr>
    <w:rPr>
      <w:rFonts w:ascii="仿宋_GB2312" w:hAnsi="仿宋_GB2312" w:eastAsia="仿宋_GB2312" w:cs="仿宋_GB2312"/>
      <w:color w:val="000000"/>
      <w:kern w:val="0"/>
      <w:sz w:val="24"/>
      <w:szCs w:val="24"/>
      <w:lang w:val="en-US" w:eastAsia="zh-CN" w:bidi="ar-SA"/>
    </w:rPr>
  </w:style>
  <w:style w:type="paragraph" w:customStyle="1" w:styleId="86">
    <w:name w:val="标题 21"/>
    <w:basedOn w:val="1"/>
    <w:next w:val="1"/>
    <w:unhideWhenUsed/>
    <w:qFormat/>
    <w:uiPriority w:val="0"/>
    <w:pPr>
      <w:keepNext/>
      <w:keepLines/>
      <w:spacing w:before="260" w:after="260" w:line="418" w:lineRule="auto"/>
      <w:ind w:firstLine="200"/>
      <w:outlineLvl w:val="1"/>
    </w:pPr>
    <w:rPr>
      <w:rFonts w:ascii="Calibri Light" w:hAnsi="Calibri Light"/>
      <w:b/>
      <w:bCs/>
      <w:sz w:val="32"/>
      <w:szCs w:val="32"/>
    </w:rPr>
  </w:style>
  <w:style w:type="paragraph" w:customStyle="1" w:styleId="87">
    <w:name w:val="List Paragraph1"/>
    <w:basedOn w:val="1"/>
    <w:qFormat/>
    <w:uiPriority w:val="99"/>
    <w:pPr>
      <w:ind w:firstLine="420"/>
    </w:pPr>
    <w:rPr>
      <w:rFonts w:cs="黑体"/>
    </w:rPr>
  </w:style>
  <w:style w:type="paragraph" w:customStyle="1" w:styleId="88">
    <w:name w:val="铁龙_DD正文"/>
    <w:qFormat/>
    <w:uiPriority w:val="0"/>
    <w:pPr>
      <w:widowControl/>
      <w:suppressAutoHyphens/>
      <w:bidi w:val="0"/>
      <w:spacing w:before="120" w:after="0" w:line="360" w:lineRule="auto"/>
      <w:ind w:firstLine="480"/>
      <w:jc w:val="left"/>
    </w:pPr>
    <w:rPr>
      <w:rFonts w:ascii="Times New Roman" w:hAnsi="Times New Roman" w:cs="Times New Roman" w:eastAsiaTheme="minorEastAsia"/>
      <w:color w:val="auto"/>
      <w:kern w:val="0"/>
      <w:sz w:val="24"/>
      <w:szCs w:val="24"/>
      <w:lang w:val="en-US" w:eastAsia="zh-CN" w:bidi="ar-SA"/>
    </w:rPr>
  </w:style>
  <w:style w:type="paragraph" w:customStyle="1" w:styleId="89">
    <w:name w:val="No Spacing1"/>
    <w:basedOn w:val="1"/>
    <w:qFormat/>
    <w:uiPriority w:val="99"/>
    <w:pPr>
      <w:numPr>
        <w:ilvl w:val="0"/>
        <w:numId w:val="1"/>
      </w:numPr>
      <w:snapToGrid w:val="0"/>
      <w:ind w:right="132"/>
      <w:jc w:val="right"/>
    </w:pPr>
    <w:rPr>
      <w:rFonts w:ascii="Times New Roman" w:hAnsi="Times New Roman" w:eastAsia="仿宋_GB2312" w:cs="宋体"/>
      <w:color w:val="000000"/>
      <w:kern w:val="0"/>
      <w:sz w:val="24"/>
      <w:szCs w:val="24"/>
    </w:rPr>
  </w:style>
  <w:style w:type="paragraph" w:customStyle="1" w:styleId="90">
    <w:name w:val="TOC 标题12"/>
    <w:basedOn w:val="3"/>
    <w:next w:val="1"/>
    <w:qFormat/>
    <w:uiPriority w:val="39"/>
    <w:pPr>
      <w:widowControl/>
      <w:spacing w:before="480" w:after="0" w:line="276" w:lineRule="auto"/>
      <w:jc w:val="left"/>
      <w:outlineLvl w:val="9"/>
    </w:pPr>
    <w:rPr>
      <w:rFonts w:ascii="Cambria" w:hAnsi="Cambria" w:eastAsia="仿宋_GB2312"/>
      <w:color w:val="365F91"/>
      <w:kern w:val="0"/>
      <w:sz w:val="28"/>
      <w:szCs w:val="28"/>
    </w:rPr>
  </w:style>
  <w:style w:type="paragraph" w:customStyle="1" w:styleId="91">
    <w:name w:val="修订12"/>
    <w:unhideWhenUsed/>
    <w:qFormat/>
    <w:uiPriority w:val="99"/>
    <w:pPr>
      <w:widowControl/>
      <w:suppressAutoHyphens/>
      <w:bidi w:val="0"/>
      <w:spacing w:before="0" w:after="0"/>
      <w:jc w:val="left"/>
    </w:pPr>
    <w:rPr>
      <w:rFonts w:cs="Times New Roman" w:asciiTheme="minorHAnsi" w:hAnsiTheme="minorHAnsi" w:eastAsiaTheme="minorEastAsia"/>
      <w:color w:val="auto"/>
      <w:kern w:val="2"/>
      <w:sz w:val="21"/>
      <w:szCs w:val="22"/>
      <w:lang w:val="en-US" w:eastAsia="zh-CN" w:bidi="ar-SA"/>
    </w:rPr>
  </w:style>
  <w:style w:type="paragraph" w:customStyle="1" w:styleId="92">
    <w:name w:val="TOC 标题2"/>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水印"/>
    <w:basedOn w:val="1"/>
    <w:qFormat/>
    <w:uiPriority w:val="0"/>
    <w:pPr>
      <w:spacing w:line="240" w:lineRule="atLeast"/>
      <w:textAlignment w:val="baseline"/>
    </w:pPr>
    <w:rPr>
      <w:rFonts w:ascii="Times New Roman" w:hAnsi="Times New Roman" w:eastAsia="仿宋_GB2312"/>
      <w:kern w:val="0"/>
      <w:sz w:val="30"/>
      <w:szCs w:val="20"/>
    </w:rPr>
  </w:style>
  <w:style w:type="paragraph" w:customStyle="1" w:styleId="94">
    <w:name w:val="无间隔1"/>
    <w:qFormat/>
    <w:uiPriority w:val="1"/>
    <w:pPr>
      <w:widowControl w:val="0"/>
      <w:suppressAutoHyphens/>
      <w:bidi w:val="0"/>
      <w:spacing w:before="0" w:after="0"/>
      <w:jc w:val="both"/>
    </w:pPr>
    <w:rPr>
      <w:rFonts w:cs="Times New Roman" w:asciiTheme="minorHAnsi" w:hAnsiTheme="minorHAnsi" w:eastAsiaTheme="minorEastAsia"/>
      <w:color w:val="auto"/>
      <w:kern w:val="2"/>
      <w:sz w:val="21"/>
      <w:szCs w:val="22"/>
      <w:lang w:val="en-US" w:eastAsia="zh-CN" w:bidi="ar-SA"/>
    </w:rPr>
  </w:style>
  <w:style w:type="paragraph" w:customStyle="1" w:styleId="95">
    <w:name w:val="修订2"/>
    <w:unhideWhenUsed/>
    <w:qFormat/>
    <w:uiPriority w:val="99"/>
    <w:pPr>
      <w:widowControl/>
      <w:suppressAutoHyphens/>
      <w:bidi w:val="0"/>
      <w:spacing w:before="0" w:after="0"/>
      <w:jc w:val="left"/>
    </w:pPr>
    <w:rPr>
      <w:rFonts w:cs="Times New Roman" w:asciiTheme="minorHAnsi" w:hAnsiTheme="minorHAnsi" w:eastAsiaTheme="minorEastAsia"/>
      <w:color w:val="auto"/>
      <w:kern w:val="2"/>
      <w:sz w:val="21"/>
      <w:szCs w:val="22"/>
      <w:lang w:val="en-US" w:eastAsia="zh-CN" w:bidi="ar-SA"/>
    </w:rPr>
  </w:style>
  <w:style w:type="paragraph" w:customStyle="1" w:styleId="96">
    <w:name w:val="TOC 标题11"/>
    <w:basedOn w:val="3"/>
    <w:next w:val="1"/>
    <w:qFormat/>
    <w:uiPriority w:val="99"/>
    <w:pPr>
      <w:widowControl/>
      <w:spacing w:before="480" w:after="0" w:line="276" w:lineRule="auto"/>
      <w:jc w:val="left"/>
      <w:outlineLvl w:val="9"/>
    </w:pPr>
    <w:rPr>
      <w:rFonts w:ascii="Cambria" w:hAnsi="Cambria" w:eastAsia="仿宋_GB2312"/>
      <w:color w:val="365F91"/>
      <w:kern w:val="0"/>
      <w:sz w:val="28"/>
      <w:szCs w:val="28"/>
    </w:rPr>
  </w:style>
  <w:style w:type="paragraph" w:customStyle="1" w:styleId="97">
    <w:name w:val="修订11"/>
    <w:unhideWhenUsed/>
    <w:qFormat/>
    <w:uiPriority w:val="99"/>
    <w:pPr>
      <w:widowControl/>
      <w:suppressAutoHyphens/>
      <w:bidi w:val="0"/>
      <w:spacing w:before="0" w:after="0"/>
      <w:jc w:val="left"/>
    </w:pPr>
    <w:rPr>
      <w:rFonts w:cs="Times New Roman" w:asciiTheme="minorHAnsi" w:hAnsiTheme="minorHAnsi" w:eastAsiaTheme="minorEastAsia"/>
      <w:color w:val="auto"/>
      <w:kern w:val="2"/>
      <w:sz w:val="21"/>
      <w:szCs w:val="22"/>
      <w:lang w:val="en-US" w:eastAsia="zh-CN" w:bidi="ar-SA"/>
    </w:rPr>
  </w:style>
  <w:style w:type="paragraph" w:customStyle="1" w:styleId="98">
    <w:name w:val="修订21"/>
    <w:unhideWhenUsed/>
    <w:qFormat/>
    <w:uiPriority w:val="99"/>
    <w:pPr>
      <w:widowControl/>
      <w:suppressAutoHyphens/>
      <w:bidi w:val="0"/>
      <w:spacing w:before="0" w:after="0"/>
      <w:jc w:val="left"/>
    </w:pPr>
    <w:rPr>
      <w:rFonts w:cs="Times New Roman" w:asciiTheme="minorHAnsi" w:hAnsiTheme="minorHAnsi" w:eastAsiaTheme="minorEastAsia"/>
      <w:color w:val="auto"/>
      <w:kern w:val="2"/>
      <w:sz w:val="21"/>
      <w:szCs w:val="22"/>
      <w:lang w:val="en-US" w:eastAsia="zh-CN" w:bidi="ar-SA"/>
    </w:rPr>
  </w:style>
  <w:style w:type="paragraph" w:customStyle="1" w:styleId="99">
    <w:name w:val="修订3"/>
    <w:semiHidden/>
    <w:qFormat/>
    <w:uiPriority w:val="99"/>
    <w:pPr>
      <w:widowControl/>
      <w:suppressAutoHyphens/>
      <w:bidi w:val="0"/>
      <w:spacing w:before="0" w:after="0"/>
      <w:jc w:val="left"/>
    </w:pPr>
    <w:rPr>
      <w:rFonts w:cs="Times New Roman" w:asciiTheme="minorHAnsi" w:hAnsiTheme="minorHAnsi" w:eastAsiaTheme="minorEastAsia"/>
      <w:color w:val="auto"/>
      <w:kern w:val="2"/>
      <w:sz w:val="21"/>
      <w:szCs w:val="22"/>
      <w:lang w:val="en-US" w:eastAsia="zh-CN" w:bidi="ar-SA"/>
    </w:rPr>
  </w:style>
  <w:style w:type="table" w:customStyle="1" w:styleId="100">
    <w:name w:val="网格型1"/>
    <w:basedOn w:val="3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B6C09-BF56-4DAD-8642-A04C262CF2D0}">
  <ds:schemaRefs/>
</ds:datastoreItem>
</file>

<file path=docProps/app.xml><?xml version="1.0" encoding="utf-8"?>
<Properties xmlns="http://schemas.openxmlformats.org/officeDocument/2006/extended-properties" xmlns:vt="http://schemas.openxmlformats.org/officeDocument/2006/docPropsVTypes">
  <Template>Normal</Template>
  <Company>上海证券交易所</Company>
  <Pages>91</Pages>
  <Words>7385</Words>
  <Characters>7571</Characters>
  <Paragraphs>91</Paragraphs>
  <TotalTime>5</TotalTime>
  <ScaleCrop>false</ScaleCrop>
  <LinksUpToDate>false</LinksUpToDate>
  <CharactersWithSpaces>7849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2025-07-09T03:53:26Z</dcterms:created>
  <dc:creator>user</dc:creator>
  <cp:lastModifiedBy>妮妮橙  จุ๊บ</cp:lastModifiedBy>
  <dcterms:modified xsi:type="dcterms:W3CDTF">2025-07-09T03:56:59Z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E03D9C8DCD0845F2AC3FDCECA70EEC26</vt:lpwstr>
  </property>
  <property fmtid="{D5CDD505-2E9C-101B-9397-08002B2CF9AE}" pid="3" name="KSOProductBuildVer">
    <vt:lpwstr>2052-12.1.0.21915</vt:lpwstr>
  </property>
  <property fmtid="{D5CDD505-2E9C-101B-9397-08002B2CF9AE}" pid="4" name="KSOTemplateDocerSaveRecord">
    <vt:lpwstr>eyJoZGlkIjoiMTU4ZWRiMTZhMjAzZTczZTMwYjAxYTVhNTEzNDEwOWMiLCJ1c2VySWQiOiIxMDQyNTAzNzc4In0=</vt:lpwstr>
  </property>
</Properties>
</file>