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C" w:rsidRDefault="006B6CDC" w:rsidP="006B6CDC">
      <w:pPr>
        <w:adjustRightInd w:val="0"/>
        <w:snapToGrid w:val="0"/>
        <w:spacing w:line="600" w:lineRule="exact"/>
        <w:rPr>
          <w:rFonts w:ascii="黑体" w:eastAsia="黑体" w:hAnsi="黑体"/>
          <w:b/>
          <w:kern w:val="0"/>
          <w:sz w:val="44"/>
          <w:szCs w:val="44"/>
        </w:rPr>
      </w:pPr>
      <w:r>
        <w:rPr>
          <w:rFonts w:ascii="仿宋_GB2312" w:eastAsia="仿宋_GB2312" w:hint="eastAsia"/>
          <w:b/>
          <w:sz w:val="30"/>
          <w:szCs w:val="30"/>
        </w:rPr>
        <w:t>附件3</w:t>
      </w:r>
    </w:p>
    <w:p w:rsidR="009A3410" w:rsidRPr="00154077" w:rsidRDefault="009A3410">
      <w:pPr>
        <w:rPr>
          <w:rFonts w:ascii="黑体" w:eastAsia="黑体" w:hAnsi="黑体" w:cs="宋体"/>
          <w:b/>
          <w:kern w:val="0"/>
          <w:sz w:val="44"/>
          <w:szCs w:val="44"/>
        </w:rPr>
      </w:pPr>
    </w:p>
    <w:p w:rsidR="009A3410" w:rsidRDefault="008660AB">
      <w:pPr>
        <w:widowControl/>
        <w:shd w:val="clear" w:color="auto" w:fill="FFFFFF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>同步废止的业务规则清单</w:t>
      </w:r>
    </w:p>
    <w:p w:rsidR="009A3410" w:rsidRDefault="009A3410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Style w:val="a8"/>
        <w:tblW w:w="0" w:type="auto"/>
        <w:jc w:val="center"/>
        <w:tblLook w:val="04A0"/>
      </w:tblPr>
      <w:tblGrid>
        <w:gridCol w:w="704"/>
        <w:gridCol w:w="1691"/>
        <w:gridCol w:w="4635"/>
        <w:gridCol w:w="1381"/>
      </w:tblGrid>
      <w:tr w:rsidR="009A3410">
        <w:trPr>
          <w:jc w:val="center"/>
        </w:trPr>
        <w:tc>
          <w:tcPr>
            <w:tcW w:w="704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169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发文文号</w:t>
            </w:r>
          </w:p>
        </w:tc>
        <w:tc>
          <w:tcPr>
            <w:tcW w:w="4635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规则标题</w:t>
            </w:r>
          </w:p>
        </w:tc>
        <w:tc>
          <w:tcPr>
            <w:tcW w:w="138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1"/>
                <w:szCs w:val="21"/>
              </w:rPr>
              <w:t>发布日期</w:t>
            </w:r>
          </w:p>
        </w:tc>
      </w:tr>
      <w:tr w:rsidR="009A3410">
        <w:trPr>
          <w:jc w:val="center"/>
        </w:trPr>
        <w:tc>
          <w:tcPr>
            <w:tcW w:w="704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69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上证交字〔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2001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4635" w:type="dxa"/>
          </w:tcPr>
          <w:p w:rsidR="009A3410" w:rsidRDefault="008660AB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关于增发股份上市首日行情显示和价格限制的通知</w:t>
            </w:r>
          </w:p>
        </w:tc>
        <w:tc>
          <w:tcPr>
            <w:tcW w:w="138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2001/3/28</w:t>
            </w:r>
          </w:p>
        </w:tc>
      </w:tr>
      <w:tr w:rsidR="009A3410">
        <w:trPr>
          <w:jc w:val="center"/>
        </w:trPr>
        <w:tc>
          <w:tcPr>
            <w:tcW w:w="704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69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上证发〔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2015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102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4635" w:type="dxa"/>
          </w:tcPr>
          <w:p w:rsidR="009A3410" w:rsidRDefault="008660AB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关于进一步明确指数熔断期间证券复牌有关事项的通知</w:t>
            </w:r>
          </w:p>
        </w:tc>
        <w:tc>
          <w:tcPr>
            <w:tcW w:w="138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2015/12/31</w:t>
            </w:r>
          </w:p>
        </w:tc>
      </w:tr>
      <w:tr w:rsidR="009A3410">
        <w:trPr>
          <w:jc w:val="center"/>
        </w:trPr>
        <w:tc>
          <w:tcPr>
            <w:tcW w:w="704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69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上证发〔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2016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〕</w:t>
            </w:r>
          </w:p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4635" w:type="dxa"/>
          </w:tcPr>
          <w:p w:rsidR="009A3410" w:rsidRDefault="008660AB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关于暂停实施指数熔断机制的通知</w:t>
            </w:r>
          </w:p>
        </w:tc>
        <w:tc>
          <w:tcPr>
            <w:tcW w:w="138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2016/1/7</w:t>
            </w:r>
          </w:p>
        </w:tc>
      </w:tr>
      <w:tr w:rsidR="009A3410">
        <w:trPr>
          <w:jc w:val="center"/>
        </w:trPr>
        <w:tc>
          <w:tcPr>
            <w:tcW w:w="704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69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上证发〔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2018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63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4635" w:type="dxa"/>
          </w:tcPr>
          <w:p w:rsidR="009A3410" w:rsidRDefault="008660AB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关于新股上市初期交易监管有关事项的通知</w:t>
            </w:r>
          </w:p>
        </w:tc>
        <w:tc>
          <w:tcPr>
            <w:tcW w:w="138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2018/8/6</w:t>
            </w:r>
          </w:p>
        </w:tc>
      </w:tr>
      <w:tr w:rsidR="009A3410">
        <w:trPr>
          <w:jc w:val="center"/>
        </w:trPr>
        <w:tc>
          <w:tcPr>
            <w:tcW w:w="704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69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上证发〔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2019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23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4635" w:type="dxa"/>
          </w:tcPr>
          <w:p w:rsidR="009A3410" w:rsidRDefault="008660AB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关于发布《上海证券交易所科创板股票交易特别规定》的通知</w:t>
            </w:r>
          </w:p>
        </w:tc>
        <w:tc>
          <w:tcPr>
            <w:tcW w:w="138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2019/3/1</w:t>
            </w:r>
          </w:p>
        </w:tc>
      </w:tr>
      <w:tr w:rsidR="009A3410">
        <w:trPr>
          <w:jc w:val="center"/>
        </w:trPr>
        <w:tc>
          <w:tcPr>
            <w:tcW w:w="704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169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上证发〔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2019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26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4635" w:type="dxa"/>
          </w:tcPr>
          <w:p w:rsidR="009A3410" w:rsidRDefault="008660AB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关于发布《上海证券交易所科创板股票盘后固定价格交易指引》的通知</w:t>
            </w:r>
            <w:bookmarkStart w:id="0" w:name="_GoBack"/>
            <w:bookmarkEnd w:id="0"/>
          </w:p>
        </w:tc>
        <w:tc>
          <w:tcPr>
            <w:tcW w:w="138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2019/3/1</w:t>
            </w:r>
          </w:p>
        </w:tc>
      </w:tr>
      <w:tr w:rsidR="009A3410">
        <w:trPr>
          <w:jc w:val="center"/>
        </w:trPr>
        <w:tc>
          <w:tcPr>
            <w:tcW w:w="704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9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上证发〔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17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4635" w:type="dxa"/>
          </w:tcPr>
          <w:p w:rsidR="009A3410" w:rsidRDefault="008660AB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关于修订《上海证券交易所交易规则》的通知</w:t>
            </w:r>
          </w:p>
        </w:tc>
        <w:tc>
          <w:tcPr>
            <w:tcW w:w="138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2020/3/13</w:t>
            </w:r>
          </w:p>
        </w:tc>
      </w:tr>
      <w:tr w:rsidR="009A3410">
        <w:trPr>
          <w:jc w:val="center"/>
        </w:trPr>
        <w:tc>
          <w:tcPr>
            <w:tcW w:w="704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9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上证发〔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47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4635" w:type="dxa"/>
          </w:tcPr>
          <w:p w:rsidR="009A3410" w:rsidRDefault="008660AB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关于明确科创板股票异常波动认定所涉基准指数有关事项的通知</w:t>
            </w:r>
          </w:p>
        </w:tc>
        <w:tc>
          <w:tcPr>
            <w:tcW w:w="138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2020/6/19</w:t>
            </w:r>
          </w:p>
        </w:tc>
      </w:tr>
      <w:tr w:rsidR="009A3410">
        <w:trPr>
          <w:jc w:val="center"/>
        </w:trPr>
        <w:tc>
          <w:tcPr>
            <w:tcW w:w="704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9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上证发〔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61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4635" w:type="dxa"/>
            <w:shd w:val="clear" w:color="auto" w:fill="auto"/>
          </w:tcPr>
          <w:p w:rsidR="009A3410" w:rsidRDefault="008660AB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关于科创板相关基金等涨跌幅比例的通知</w:t>
            </w:r>
          </w:p>
        </w:tc>
        <w:tc>
          <w:tcPr>
            <w:tcW w:w="138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2020/8/21</w:t>
            </w:r>
          </w:p>
        </w:tc>
      </w:tr>
      <w:tr w:rsidR="009A3410">
        <w:trPr>
          <w:jc w:val="center"/>
        </w:trPr>
        <w:tc>
          <w:tcPr>
            <w:tcW w:w="704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69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上证发〔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103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4635" w:type="dxa"/>
            <w:shd w:val="clear" w:color="auto" w:fill="auto"/>
          </w:tcPr>
          <w:p w:rsidR="009A3410" w:rsidRDefault="008660AB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关于发布《上海证券交易所风险警示板股票交易管理办法（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月修订）》的通知</w:t>
            </w:r>
          </w:p>
        </w:tc>
        <w:tc>
          <w:tcPr>
            <w:tcW w:w="138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2020/12/31</w:t>
            </w:r>
          </w:p>
        </w:tc>
      </w:tr>
      <w:tr w:rsidR="009A3410">
        <w:trPr>
          <w:jc w:val="center"/>
        </w:trPr>
        <w:tc>
          <w:tcPr>
            <w:tcW w:w="704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9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上证函〔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2021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1596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4635" w:type="dxa"/>
            <w:shd w:val="clear" w:color="auto" w:fill="auto"/>
          </w:tcPr>
          <w:p w:rsidR="009A3410" w:rsidRDefault="008660AB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关于优化证券交易公开信息的通知</w:t>
            </w:r>
          </w:p>
        </w:tc>
        <w:tc>
          <w:tcPr>
            <w:tcW w:w="138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2021/9/17</w:t>
            </w:r>
          </w:p>
        </w:tc>
      </w:tr>
      <w:tr w:rsidR="009A3410">
        <w:trPr>
          <w:jc w:val="center"/>
        </w:trPr>
        <w:tc>
          <w:tcPr>
            <w:tcW w:w="704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9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上证发〔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2022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129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4635" w:type="dxa"/>
            <w:shd w:val="clear" w:color="auto" w:fill="auto"/>
          </w:tcPr>
          <w:p w:rsidR="009A3410" w:rsidRDefault="008660AB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关于调整《上海证券交易所交易规则》涉及大宗交易相关规定的通知</w:t>
            </w:r>
          </w:p>
        </w:tc>
        <w:tc>
          <w:tcPr>
            <w:tcW w:w="1381" w:type="dxa"/>
          </w:tcPr>
          <w:p w:rsidR="009A3410" w:rsidRDefault="008660AB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2022/8/19</w:t>
            </w:r>
          </w:p>
        </w:tc>
      </w:tr>
    </w:tbl>
    <w:p w:rsidR="009A3410" w:rsidRDefault="009A3410">
      <w:pPr>
        <w:pStyle w:val="a7"/>
        <w:shd w:val="clear" w:color="auto" w:fill="FFFFFF"/>
        <w:spacing w:before="0" w:beforeAutospacing="0" w:after="0" w:afterAutospacing="0" w:line="600" w:lineRule="exact"/>
        <w:jc w:val="center"/>
      </w:pPr>
    </w:p>
    <w:p w:rsidR="009A3410" w:rsidRDefault="009A3410">
      <w:pPr>
        <w:jc w:val="center"/>
      </w:pPr>
    </w:p>
    <w:sectPr w:rsidR="009A3410" w:rsidSect="009A341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A9" w:rsidRDefault="005879A9" w:rsidP="009A3410">
      <w:r>
        <w:separator/>
      </w:r>
    </w:p>
  </w:endnote>
  <w:endnote w:type="continuationSeparator" w:id="0">
    <w:p w:rsidR="005879A9" w:rsidRDefault="005879A9" w:rsidP="009A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70583336"/>
    </w:sdtPr>
    <w:sdtContent>
      <w:p w:rsidR="009A3410" w:rsidRDefault="001B4E3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60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907" w:rsidRPr="0036190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A9" w:rsidRDefault="005879A9" w:rsidP="009A3410">
      <w:r>
        <w:separator/>
      </w:r>
    </w:p>
  </w:footnote>
  <w:footnote w:type="continuationSeparator" w:id="0">
    <w:p w:rsidR="005879A9" w:rsidRDefault="005879A9" w:rsidP="009A3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C66"/>
    <w:rsid w:val="00022F48"/>
    <w:rsid w:val="00053B32"/>
    <w:rsid w:val="000A7D57"/>
    <w:rsid w:val="00154077"/>
    <w:rsid w:val="001A4C99"/>
    <w:rsid w:val="001B4E33"/>
    <w:rsid w:val="001E7752"/>
    <w:rsid w:val="00353AAC"/>
    <w:rsid w:val="00361907"/>
    <w:rsid w:val="003A43A3"/>
    <w:rsid w:val="003A5D22"/>
    <w:rsid w:val="00411C66"/>
    <w:rsid w:val="004244FF"/>
    <w:rsid w:val="0045370B"/>
    <w:rsid w:val="004F1C3E"/>
    <w:rsid w:val="00500D9F"/>
    <w:rsid w:val="00532F46"/>
    <w:rsid w:val="0057122D"/>
    <w:rsid w:val="00581F22"/>
    <w:rsid w:val="005879A9"/>
    <w:rsid w:val="005A2CA5"/>
    <w:rsid w:val="006078D5"/>
    <w:rsid w:val="00672ECF"/>
    <w:rsid w:val="00694C75"/>
    <w:rsid w:val="006A4E2B"/>
    <w:rsid w:val="006B6CDC"/>
    <w:rsid w:val="006F42A7"/>
    <w:rsid w:val="00703870"/>
    <w:rsid w:val="0072464D"/>
    <w:rsid w:val="007E6D77"/>
    <w:rsid w:val="008056F4"/>
    <w:rsid w:val="00853CBA"/>
    <w:rsid w:val="008660AB"/>
    <w:rsid w:val="008C2DAA"/>
    <w:rsid w:val="008D0D6E"/>
    <w:rsid w:val="008E2E43"/>
    <w:rsid w:val="008E2E5C"/>
    <w:rsid w:val="009A3410"/>
    <w:rsid w:val="009A7894"/>
    <w:rsid w:val="009E06CC"/>
    <w:rsid w:val="00B0317C"/>
    <w:rsid w:val="00B2441C"/>
    <w:rsid w:val="00CA79E5"/>
    <w:rsid w:val="00D44A7A"/>
    <w:rsid w:val="00DA79DC"/>
    <w:rsid w:val="00E078D0"/>
    <w:rsid w:val="00E412FE"/>
    <w:rsid w:val="00E5566D"/>
    <w:rsid w:val="00EA4985"/>
    <w:rsid w:val="00F15AEE"/>
    <w:rsid w:val="00F6589A"/>
    <w:rsid w:val="00F9399C"/>
    <w:rsid w:val="00F95612"/>
    <w:rsid w:val="00FB5260"/>
    <w:rsid w:val="1A0C324E"/>
    <w:rsid w:val="2A885B12"/>
    <w:rsid w:val="5C8C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A341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A341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A3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A3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9A3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9A3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A3410"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rsid w:val="009A341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9A3410"/>
  </w:style>
  <w:style w:type="character" w:customStyle="1" w:styleId="Char2">
    <w:name w:val="页眉 Char"/>
    <w:basedOn w:val="a0"/>
    <w:link w:val="a6"/>
    <w:uiPriority w:val="99"/>
    <w:semiHidden/>
    <w:rsid w:val="009A341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A34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2022-01-26T07:58:00Z</dcterms:created>
  <dcterms:modified xsi:type="dcterms:W3CDTF">2023-02-16T09:30:00Z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C3EB33B2B50F4900BFA86AC587B8DFBA</vt:lpwstr>
  </property>
</Properties>
</file>