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2C" w:rsidRDefault="00EB722C" w:rsidP="00EB722C">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附件2</w:t>
      </w:r>
    </w:p>
    <w:p w:rsidR="00891B98" w:rsidRDefault="00891B98">
      <w:pPr>
        <w:spacing w:line="560" w:lineRule="exact"/>
        <w:jc w:val="left"/>
        <w:rPr>
          <w:rFonts w:ascii="仿宋_GB2312" w:eastAsia="仿宋_GB2312" w:hAnsi="黑体"/>
          <w:sz w:val="36"/>
          <w:szCs w:val="36"/>
        </w:rPr>
      </w:pPr>
    </w:p>
    <w:p w:rsidR="00891B98" w:rsidRDefault="009E3B3C" w:rsidP="007461CF">
      <w:pPr>
        <w:spacing w:line="560" w:lineRule="exact"/>
        <w:jc w:val="center"/>
        <w:rPr>
          <w:rFonts w:ascii="黑体" w:eastAsia="黑体" w:hAnsi="黑体"/>
          <w:b/>
          <w:sz w:val="44"/>
          <w:szCs w:val="44"/>
        </w:rPr>
      </w:pPr>
      <w:r>
        <w:rPr>
          <w:rFonts w:ascii="黑体" w:eastAsia="黑体" w:hAnsi="黑体" w:hint="eastAsia"/>
          <w:b/>
          <w:sz w:val="44"/>
          <w:szCs w:val="44"/>
        </w:rPr>
        <w:t>《上海证券交易所上市公司自律监管指引第6号——重大资产重组</w:t>
      </w:r>
      <w:r w:rsidR="00C03007" w:rsidRPr="00C03007">
        <w:rPr>
          <w:rFonts w:ascii="黑体" w:eastAsia="黑体" w:hAnsi="黑体" w:hint="eastAsia"/>
          <w:b/>
          <w:sz w:val="44"/>
          <w:szCs w:val="44"/>
        </w:rPr>
        <w:t>（</w:t>
      </w:r>
      <w:r w:rsidR="00C03007" w:rsidRPr="00C03007">
        <w:rPr>
          <w:rFonts w:ascii="黑体" w:eastAsia="黑体" w:hAnsi="黑体"/>
          <w:b/>
          <w:sz w:val="44"/>
          <w:szCs w:val="44"/>
        </w:rPr>
        <w:t>2023年修订）</w:t>
      </w:r>
      <w:r>
        <w:rPr>
          <w:rFonts w:ascii="黑体" w:eastAsia="黑体" w:hAnsi="黑体" w:hint="eastAsia"/>
          <w:b/>
          <w:sz w:val="44"/>
          <w:szCs w:val="44"/>
        </w:rPr>
        <w:t>》起草说明</w:t>
      </w:r>
    </w:p>
    <w:p w:rsidR="00891B98" w:rsidRPr="007461CF" w:rsidRDefault="00891B98">
      <w:pPr>
        <w:spacing w:line="560" w:lineRule="exact"/>
        <w:rPr>
          <w:rFonts w:ascii="仿宋_GB2312" w:eastAsia="仿宋_GB2312"/>
          <w:sz w:val="30"/>
          <w:szCs w:val="30"/>
        </w:rPr>
      </w:pPr>
    </w:p>
    <w:p w:rsidR="00891B98" w:rsidRPr="00E14077" w:rsidRDefault="009E3B3C">
      <w:pPr>
        <w:spacing w:line="560" w:lineRule="exact"/>
        <w:ind w:firstLineChars="200" w:firstLine="600"/>
        <w:rPr>
          <w:rFonts w:ascii="仿宋_GB2312" w:eastAsia="仿宋_GB2312"/>
          <w:sz w:val="30"/>
          <w:szCs w:val="30"/>
        </w:rPr>
      </w:pPr>
      <w:r w:rsidRPr="00E14077">
        <w:rPr>
          <w:rFonts w:ascii="仿宋_GB2312" w:eastAsia="仿宋_GB2312" w:hint="eastAsia"/>
          <w:sz w:val="30"/>
          <w:szCs w:val="30"/>
        </w:rPr>
        <w:t>为了落实党中央国务院关于全面实行股票发行注册制的决策部署，进一步加强对各类重组活动的监管，维护上市公司和中小投资者权益，根据《上市公司重大资产重组管理办法》（以下简称《重组办法</w:t>
      </w:r>
      <w:r w:rsidR="000A5FAB" w:rsidRPr="00E14077">
        <w:rPr>
          <w:rFonts w:ascii="仿宋_GB2312" w:eastAsia="仿宋_GB2312" w:hint="eastAsia"/>
          <w:sz w:val="30"/>
          <w:szCs w:val="30"/>
        </w:rPr>
        <w:t>》）及《</w:t>
      </w:r>
      <w:r w:rsidRPr="00E14077">
        <w:rPr>
          <w:rFonts w:ascii="仿宋_GB2312" w:eastAsia="仿宋_GB2312" w:hint="eastAsia"/>
          <w:sz w:val="30"/>
          <w:szCs w:val="30"/>
        </w:rPr>
        <w:t>公开发行证券的公司信息披露内容与格式准则第26 号——上市公司重大资产重组》（以下简称《26号准则》）、《上海证券交易所上市公司重大资产重组审核规则》（以下简称《重组审核规则》）等重组配套规定，本所对《上海证券交易所上市公司自律监管指引第6号——重大资产重组》（以下简称《自律监管指引第6号》）进行了修订。现就本次修订的相关事项说明如下。</w:t>
      </w:r>
    </w:p>
    <w:p w:rsidR="00891B98" w:rsidRDefault="009E3B3C">
      <w:pPr>
        <w:spacing w:line="560" w:lineRule="exact"/>
        <w:ind w:firstLineChars="200" w:firstLine="602"/>
        <w:rPr>
          <w:rFonts w:ascii="黑体" w:eastAsia="黑体" w:hAnsi="黑体"/>
          <w:b/>
          <w:sz w:val="30"/>
          <w:szCs w:val="30"/>
        </w:rPr>
      </w:pPr>
      <w:r>
        <w:rPr>
          <w:rFonts w:ascii="黑体" w:eastAsia="黑体" w:hAnsi="黑体" w:hint="eastAsia"/>
          <w:b/>
          <w:sz w:val="30"/>
          <w:szCs w:val="30"/>
        </w:rPr>
        <w:t>一</w:t>
      </w:r>
      <w:r>
        <w:rPr>
          <w:rFonts w:ascii="黑体" w:eastAsia="黑体" w:hAnsi="黑体"/>
          <w:b/>
          <w:sz w:val="30"/>
          <w:szCs w:val="30"/>
        </w:rPr>
        <w:t>、</w:t>
      </w:r>
      <w:r>
        <w:rPr>
          <w:rFonts w:ascii="黑体" w:eastAsia="黑体" w:hAnsi="黑体" w:hint="eastAsia"/>
          <w:b/>
          <w:sz w:val="30"/>
          <w:szCs w:val="30"/>
        </w:rPr>
        <w:t>规则</w:t>
      </w:r>
      <w:r>
        <w:rPr>
          <w:rFonts w:ascii="黑体" w:eastAsia="黑体" w:hAnsi="黑体"/>
          <w:b/>
          <w:sz w:val="30"/>
          <w:szCs w:val="30"/>
        </w:rPr>
        <w:t>修订</w:t>
      </w:r>
      <w:r>
        <w:rPr>
          <w:rFonts w:ascii="黑体" w:eastAsia="黑体" w:hAnsi="黑体" w:hint="eastAsia"/>
          <w:b/>
          <w:sz w:val="30"/>
          <w:szCs w:val="30"/>
        </w:rPr>
        <w:t>背景</w:t>
      </w:r>
    </w:p>
    <w:p w:rsidR="00891B98" w:rsidRDefault="009E3B3C">
      <w:pPr>
        <w:spacing w:line="560" w:lineRule="exact"/>
        <w:ind w:firstLineChars="200" w:firstLine="600"/>
        <w:rPr>
          <w:rFonts w:ascii="仿宋_GB2312" w:eastAsia="仿宋_GB2312"/>
          <w:sz w:val="30"/>
          <w:szCs w:val="30"/>
        </w:rPr>
      </w:pPr>
      <w:r>
        <w:rPr>
          <w:rFonts w:ascii="仿宋_GB2312" w:eastAsia="仿宋_GB2312" w:hint="eastAsia"/>
          <w:sz w:val="30"/>
          <w:szCs w:val="30"/>
        </w:rPr>
        <w:t>《自律监管指引</w:t>
      </w:r>
      <w:r w:rsidR="00816A1B">
        <w:rPr>
          <w:rFonts w:ascii="仿宋_GB2312" w:eastAsia="仿宋_GB2312" w:hint="eastAsia"/>
          <w:sz w:val="30"/>
          <w:szCs w:val="30"/>
        </w:rPr>
        <w:t>第</w:t>
      </w:r>
      <w:r>
        <w:rPr>
          <w:rFonts w:ascii="仿宋_GB2312" w:eastAsia="仿宋_GB2312" w:hint="eastAsia"/>
          <w:sz w:val="30"/>
          <w:szCs w:val="30"/>
        </w:rPr>
        <w:t>6号》</w:t>
      </w:r>
      <w:r>
        <w:rPr>
          <w:rFonts w:ascii="仿宋_GB2312" w:eastAsia="仿宋_GB2312"/>
          <w:sz w:val="30"/>
          <w:szCs w:val="30"/>
        </w:rPr>
        <w:t>主要规范上市公司</w:t>
      </w:r>
      <w:r>
        <w:rPr>
          <w:rFonts w:ascii="仿宋_GB2312" w:eastAsia="仿宋_GB2312" w:hint="eastAsia"/>
          <w:sz w:val="30"/>
          <w:szCs w:val="30"/>
        </w:rPr>
        <w:t>重大资产重组</w:t>
      </w:r>
      <w:r>
        <w:rPr>
          <w:rFonts w:ascii="仿宋_GB2312" w:eastAsia="仿宋_GB2312"/>
          <w:sz w:val="30"/>
          <w:szCs w:val="30"/>
        </w:rPr>
        <w:t>信息披露</w:t>
      </w:r>
      <w:r>
        <w:rPr>
          <w:rFonts w:ascii="仿宋_GB2312" w:eastAsia="仿宋_GB2312" w:hint="eastAsia"/>
          <w:sz w:val="30"/>
          <w:szCs w:val="30"/>
        </w:rPr>
        <w:t>及相关行为</w:t>
      </w:r>
      <w:r>
        <w:rPr>
          <w:rFonts w:ascii="仿宋_GB2312" w:eastAsia="仿宋_GB2312"/>
          <w:sz w:val="30"/>
          <w:szCs w:val="30"/>
        </w:rPr>
        <w:t>。</w:t>
      </w:r>
      <w:r>
        <w:rPr>
          <w:rFonts w:ascii="仿宋_GB2312" w:eastAsia="仿宋_GB2312" w:hint="eastAsia"/>
          <w:sz w:val="30"/>
          <w:szCs w:val="30"/>
        </w:rPr>
        <w:t>新修订的《重组办法》及配套规则明确上市公司重组环节全面实行注册制，资本市场基础制度的适应性、包容性明显提升，资本市场并购重组主渠道作用进一步强化，对上市公司实施并购重组也提出了新要求。本次修订，一是为实现并购重组监管规则有效衔接，根据全面实行注册制的要求，对部分条款表述进行了修改和调整。</w:t>
      </w:r>
      <w:r w:rsidR="000A5FAB">
        <w:rPr>
          <w:rFonts w:ascii="仿宋_GB2312" w:eastAsia="仿宋_GB2312" w:hint="eastAsia"/>
          <w:sz w:val="30"/>
          <w:szCs w:val="30"/>
        </w:rPr>
        <w:t>二是</w:t>
      </w:r>
      <w:r w:rsidR="000A5FAB">
        <w:rPr>
          <w:rFonts w:ascii="仿宋_GB2312" w:eastAsia="仿宋_GB2312"/>
          <w:sz w:val="30"/>
          <w:szCs w:val="30"/>
        </w:rPr>
        <w:t>为解决实践中部分上市公司重</w:t>
      </w:r>
      <w:r w:rsidR="000A5FAB">
        <w:rPr>
          <w:rFonts w:ascii="仿宋_GB2312" w:eastAsia="仿宋_GB2312"/>
          <w:sz w:val="30"/>
          <w:szCs w:val="30"/>
        </w:rPr>
        <w:lastRenderedPageBreak/>
        <w:t>组</w:t>
      </w:r>
      <w:r w:rsidR="000A5FAB">
        <w:rPr>
          <w:rFonts w:ascii="仿宋_GB2312" w:eastAsia="仿宋_GB2312" w:hint="eastAsia"/>
          <w:sz w:val="30"/>
          <w:szCs w:val="30"/>
        </w:rPr>
        <w:t>预案</w:t>
      </w:r>
      <w:r w:rsidR="00816A1B">
        <w:rPr>
          <w:rFonts w:ascii="仿宋_GB2312" w:eastAsia="仿宋_GB2312" w:hint="eastAsia"/>
          <w:sz w:val="30"/>
          <w:szCs w:val="30"/>
        </w:rPr>
        <w:t>披露</w:t>
      </w:r>
      <w:r w:rsidR="00816A1B">
        <w:rPr>
          <w:rFonts w:ascii="仿宋_GB2312" w:eastAsia="仿宋_GB2312"/>
          <w:sz w:val="30"/>
          <w:szCs w:val="30"/>
        </w:rPr>
        <w:t>重复冗余</w:t>
      </w:r>
      <w:r>
        <w:rPr>
          <w:rFonts w:ascii="仿宋_GB2312" w:eastAsia="仿宋_GB2312"/>
          <w:sz w:val="30"/>
          <w:szCs w:val="30"/>
        </w:rPr>
        <w:t>、</w:t>
      </w:r>
      <w:r>
        <w:rPr>
          <w:rFonts w:ascii="仿宋_GB2312" w:eastAsia="仿宋_GB2312" w:hint="eastAsia"/>
          <w:sz w:val="30"/>
          <w:szCs w:val="30"/>
        </w:rPr>
        <w:t>重大风险提示</w:t>
      </w:r>
      <w:r>
        <w:rPr>
          <w:rFonts w:ascii="仿宋_GB2312" w:eastAsia="仿宋_GB2312"/>
          <w:sz w:val="30"/>
          <w:szCs w:val="30"/>
        </w:rPr>
        <w:t>针对性不强等问题，</w:t>
      </w:r>
      <w:r>
        <w:rPr>
          <w:rFonts w:ascii="仿宋_GB2312" w:eastAsia="仿宋_GB2312" w:hint="eastAsia"/>
          <w:sz w:val="30"/>
          <w:szCs w:val="30"/>
        </w:rPr>
        <w:t>根据《26号准则》</w:t>
      </w:r>
      <w:r w:rsidR="000A5FAB">
        <w:rPr>
          <w:rFonts w:ascii="仿宋_GB2312" w:eastAsia="仿宋_GB2312" w:hint="eastAsia"/>
          <w:sz w:val="30"/>
          <w:szCs w:val="30"/>
        </w:rPr>
        <w:t>完善</w:t>
      </w:r>
      <w:r>
        <w:rPr>
          <w:rFonts w:ascii="仿宋_GB2312" w:eastAsia="仿宋_GB2312" w:hint="eastAsia"/>
          <w:sz w:val="30"/>
          <w:szCs w:val="30"/>
        </w:rPr>
        <w:t>重组预案格式</w:t>
      </w:r>
      <w:r>
        <w:rPr>
          <w:rFonts w:ascii="仿宋_GB2312" w:eastAsia="仿宋_GB2312"/>
          <w:sz w:val="30"/>
          <w:szCs w:val="30"/>
        </w:rPr>
        <w:t>相关条文，</w:t>
      </w:r>
      <w:r w:rsidR="00D30805">
        <w:rPr>
          <w:rFonts w:ascii="仿宋_GB2312" w:eastAsia="仿宋_GB2312" w:hint="eastAsia"/>
          <w:sz w:val="30"/>
          <w:szCs w:val="30"/>
        </w:rPr>
        <w:t>提高</w:t>
      </w:r>
      <w:r>
        <w:rPr>
          <w:rFonts w:ascii="仿宋_GB2312" w:eastAsia="仿宋_GB2312"/>
          <w:sz w:val="30"/>
          <w:szCs w:val="30"/>
        </w:rPr>
        <w:t>信息披露质量。</w:t>
      </w:r>
      <w:r>
        <w:rPr>
          <w:rFonts w:ascii="仿宋_GB2312" w:eastAsia="仿宋_GB2312" w:hint="eastAsia"/>
          <w:sz w:val="30"/>
          <w:szCs w:val="30"/>
        </w:rPr>
        <w:t>三是根据证监会规则要求，进一步完善现金类重组股票异常交易监管相关规定，实现与发股类重组的规则统一。四是结合最新监管实践及要求，强化</w:t>
      </w:r>
      <w:r>
        <w:rPr>
          <w:rFonts w:ascii="仿宋_GB2312" w:eastAsia="仿宋_GB2312" w:hAnsi="仿宋" w:hint="eastAsia"/>
          <w:sz w:val="30"/>
          <w:szCs w:val="30"/>
        </w:rPr>
        <w:t>对重组业绩承诺监管</w:t>
      </w:r>
      <w:r w:rsidR="000A5FAB">
        <w:rPr>
          <w:rFonts w:ascii="仿宋_GB2312" w:eastAsia="仿宋_GB2312" w:hAnsi="仿宋" w:hint="eastAsia"/>
          <w:sz w:val="30"/>
          <w:szCs w:val="30"/>
        </w:rPr>
        <w:t>；</w:t>
      </w:r>
      <w:r>
        <w:rPr>
          <w:rFonts w:ascii="仿宋_GB2312" w:eastAsia="仿宋_GB2312" w:hAnsi="仿宋" w:hint="eastAsia"/>
          <w:sz w:val="30"/>
          <w:szCs w:val="30"/>
        </w:rPr>
        <w:t>为增强对</w:t>
      </w:r>
      <w:r>
        <w:rPr>
          <w:rFonts w:ascii="仿宋_GB2312" w:eastAsia="仿宋_GB2312" w:hAnsi="仿宋" w:hint="eastAsia"/>
          <w:bCs/>
          <w:sz w:val="30"/>
          <w:szCs w:val="30"/>
        </w:rPr>
        <w:t>忽悠式重组监管力度，进一步规范重组投资者说明会相关要求。</w:t>
      </w:r>
    </w:p>
    <w:p w:rsidR="00891B98" w:rsidRDefault="009E3B3C">
      <w:pPr>
        <w:spacing w:line="560" w:lineRule="exact"/>
        <w:ind w:firstLineChars="200" w:firstLine="602"/>
        <w:rPr>
          <w:rFonts w:ascii="黑体" w:eastAsia="黑体" w:hAnsi="黑体"/>
          <w:b/>
          <w:sz w:val="30"/>
          <w:szCs w:val="30"/>
        </w:rPr>
      </w:pPr>
      <w:r>
        <w:rPr>
          <w:rFonts w:ascii="黑体" w:eastAsia="黑体" w:hAnsi="黑体" w:hint="eastAsia"/>
          <w:b/>
          <w:sz w:val="30"/>
          <w:szCs w:val="30"/>
        </w:rPr>
        <w:t>二、修订主要内容</w:t>
      </w:r>
    </w:p>
    <w:p w:rsidR="00891B98" w:rsidRDefault="009E3B3C">
      <w:pPr>
        <w:spacing w:line="560" w:lineRule="exact"/>
        <w:ind w:firstLineChars="200" w:firstLine="602"/>
        <w:rPr>
          <w:rFonts w:ascii="仿宋_GB2312" w:eastAsia="仿宋_GB2312" w:hAnsi="仿宋"/>
          <w:sz w:val="30"/>
          <w:szCs w:val="30"/>
        </w:rPr>
      </w:pPr>
      <w:r>
        <w:rPr>
          <w:rFonts w:ascii="仿宋_GB2312" w:eastAsia="仿宋_GB2312" w:hAnsi="仿宋" w:hint="eastAsia"/>
          <w:b/>
          <w:bCs/>
          <w:sz w:val="30"/>
          <w:szCs w:val="30"/>
        </w:rPr>
        <w:t>一是明确全面实行注册制后的重组信息披露流程。</w:t>
      </w:r>
      <w:r>
        <w:rPr>
          <w:rFonts w:ascii="仿宋_GB2312" w:eastAsia="仿宋_GB2312" w:hAnsi="仿宋" w:hint="eastAsia"/>
          <w:sz w:val="30"/>
          <w:szCs w:val="30"/>
        </w:rPr>
        <w:t>本次修订明确，上市公司重大资产重组事项需由本所审核、中国证监会注册的，上市公司在收到本所出具的审核问询等函件、作出的符合重组条件和信息披露要求的审核意见或终止审核决定、中国证监会作出的予以注册或者不予注册决定时，应当及时披露有关情况。同时，为减少停牌，上市公司在本所并购重组委员会工作会议召开当日，原则上无需申请停牌。</w:t>
      </w:r>
    </w:p>
    <w:p w:rsidR="00891B98" w:rsidRDefault="009E3B3C">
      <w:pPr>
        <w:spacing w:line="560" w:lineRule="exact"/>
        <w:ind w:firstLineChars="200" w:firstLine="602"/>
        <w:rPr>
          <w:rFonts w:ascii="仿宋_GB2312" w:eastAsia="仿宋_GB2312" w:hAnsi="仿宋"/>
          <w:bCs/>
          <w:sz w:val="30"/>
          <w:szCs w:val="30"/>
        </w:rPr>
      </w:pPr>
      <w:r>
        <w:rPr>
          <w:rFonts w:ascii="仿宋_GB2312" w:eastAsia="仿宋_GB2312" w:hAnsi="仿宋" w:hint="eastAsia"/>
          <w:b/>
          <w:bCs/>
          <w:sz w:val="30"/>
          <w:szCs w:val="30"/>
        </w:rPr>
        <w:t>二是做好与重组审核等相关规则衔接。</w:t>
      </w:r>
      <w:r w:rsidR="00816A1B">
        <w:rPr>
          <w:rFonts w:ascii="仿宋_GB2312" w:eastAsia="仿宋_GB2312" w:hAnsi="仿宋" w:hint="eastAsia"/>
          <w:bCs/>
          <w:sz w:val="30"/>
          <w:szCs w:val="30"/>
        </w:rPr>
        <w:t>考虑到</w:t>
      </w:r>
      <w:r w:rsidR="00EA664C">
        <w:rPr>
          <w:rFonts w:ascii="仿宋_GB2312" w:eastAsia="仿宋_GB2312" w:hAnsi="仿宋" w:hint="eastAsia"/>
          <w:bCs/>
          <w:sz w:val="30"/>
          <w:szCs w:val="30"/>
        </w:rPr>
        <w:t>本所</w:t>
      </w:r>
      <w:r>
        <w:rPr>
          <w:rFonts w:ascii="仿宋_GB2312" w:eastAsia="仿宋_GB2312" w:hAnsi="仿宋" w:hint="eastAsia"/>
          <w:bCs/>
          <w:sz w:val="30"/>
          <w:szCs w:val="30"/>
        </w:rPr>
        <w:t>《重组审核规则》已</w:t>
      </w:r>
      <w:r w:rsidR="000A5FAB">
        <w:rPr>
          <w:rFonts w:ascii="仿宋_GB2312" w:eastAsia="仿宋_GB2312" w:hAnsi="仿宋" w:hint="eastAsia"/>
          <w:bCs/>
          <w:sz w:val="30"/>
          <w:szCs w:val="30"/>
        </w:rPr>
        <w:t>对</w:t>
      </w:r>
      <w:r w:rsidR="00816A1B">
        <w:rPr>
          <w:rFonts w:ascii="仿宋_GB2312" w:eastAsia="仿宋_GB2312" w:hAnsi="仿宋" w:hint="eastAsia"/>
          <w:bCs/>
          <w:sz w:val="30"/>
          <w:szCs w:val="30"/>
        </w:rPr>
        <w:t>快速</w:t>
      </w:r>
      <w:r w:rsidR="000A5FAB">
        <w:rPr>
          <w:rFonts w:ascii="仿宋_GB2312" w:eastAsia="仿宋_GB2312" w:hAnsi="仿宋" w:hint="eastAsia"/>
          <w:bCs/>
          <w:sz w:val="30"/>
          <w:szCs w:val="30"/>
        </w:rPr>
        <w:t>审核机制作出</w:t>
      </w:r>
      <w:r>
        <w:rPr>
          <w:rFonts w:ascii="仿宋_GB2312" w:eastAsia="仿宋_GB2312" w:hAnsi="仿宋" w:hint="eastAsia"/>
          <w:bCs/>
          <w:sz w:val="30"/>
          <w:szCs w:val="30"/>
        </w:rPr>
        <w:t>明确规定，本次修订</w:t>
      </w:r>
      <w:r w:rsidR="000A5FAB">
        <w:rPr>
          <w:rFonts w:ascii="仿宋_GB2312" w:eastAsia="仿宋_GB2312" w:hAnsi="仿宋" w:hint="eastAsia"/>
          <w:bCs/>
          <w:sz w:val="30"/>
          <w:szCs w:val="30"/>
        </w:rPr>
        <w:t>删除了</w:t>
      </w:r>
      <w:r>
        <w:rPr>
          <w:rFonts w:ascii="仿宋_GB2312" w:eastAsia="仿宋_GB2312" w:hAnsi="仿宋" w:hint="eastAsia"/>
          <w:bCs/>
          <w:sz w:val="30"/>
          <w:szCs w:val="30"/>
        </w:rPr>
        <w:t>分道制审核</w:t>
      </w:r>
      <w:r w:rsidR="00816A1B">
        <w:rPr>
          <w:rFonts w:ascii="仿宋_GB2312" w:eastAsia="仿宋_GB2312" w:hAnsi="仿宋" w:hint="eastAsia"/>
          <w:bCs/>
          <w:sz w:val="30"/>
          <w:szCs w:val="30"/>
        </w:rPr>
        <w:t>机制</w:t>
      </w:r>
      <w:r>
        <w:rPr>
          <w:rFonts w:ascii="仿宋_GB2312" w:eastAsia="仿宋_GB2312" w:hAnsi="仿宋" w:hint="eastAsia"/>
          <w:bCs/>
          <w:sz w:val="30"/>
          <w:szCs w:val="30"/>
        </w:rPr>
        <w:t>有关条文。同时，《科创板上市公司持续监管办法</w:t>
      </w:r>
      <w:r>
        <w:rPr>
          <w:rFonts w:ascii="仿宋_GB2312" w:eastAsia="仿宋_GB2312" w:hAnsi="仿宋"/>
          <w:bCs/>
          <w:sz w:val="30"/>
          <w:szCs w:val="30"/>
        </w:rPr>
        <w:t>(试行)》</w:t>
      </w:r>
      <w:r>
        <w:rPr>
          <w:rFonts w:ascii="仿宋_GB2312" w:eastAsia="仿宋_GB2312" w:hAnsi="仿宋" w:hint="eastAsia"/>
          <w:bCs/>
          <w:sz w:val="30"/>
          <w:szCs w:val="30"/>
        </w:rPr>
        <w:t>对科创</w:t>
      </w:r>
      <w:r w:rsidR="00A5663A">
        <w:rPr>
          <w:rFonts w:ascii="仿宋_GB2312" w:eastAsia="仿宋_GB2312" w:hAnsi="仿宋" w:hint="eastAsia"/>
          <w:bCs/>
          <w:sz w:val="30"/>
          <w:szCs w:val="30"/>
        </w:rPr>
        <w:t>板公司重大资产重组</w:t>
      </w:r>
      <w:r w:rsidR="00816A1B">
        <w:rPr>
          <w:rFonts w:ascii="仿宋_GB2312" w:eastAsia="仿宋_GB2312" w:hAnsi="仿宋" w:hint="eastAsia"/>
          <w:bCs/>
          <w:sz w:val="30"/>
          <w:szCs w:val="30"/>
        </w:rPr>
        <w:t>有特别规定，《重组审核规则》对</w:t>
      </w:r>
      <w:r>
        <w:rPr>
          <w:rFonts w:ascii="仿宋_GB2312" w:eastAsia="仿宋_GB2312" w:hAnsi="仿宋" w:hint="eastAsia"/>
          <w:bCs/>
          <w:sz w:val="30"/>
          <w:szCs w:val="30"/>
        </w:rPr>
        <w:t>重组信息披露、独立财务顾问报告</w:t>
      </w:r>
      <w:r w:rsidR="00816A1B">
        <w:rPr>
          <w:rFonts w:ascii="仿宋_GB2312" w:eastAsia="仿宋_GB2312" w:hAnsi="仿宋" w:hint="eastAsia"/>
          <w:bCs/>
          <w:sz w:val="30"/>
          <w:szCs w:val="30"/>
        </w:rPr>
        <w:t>也已</w:t>
      </w:r>
      <w:r w:rsidR="00C56688">
        <w:rPr>
          <w:rFonts w:ascii="仿宋_GB2312" w:eastAsia="仿宋_GB2312" w:hAnsi="仿宋" w:hint="eastAsia"/>
          <w:bCs/>
          <w:sz w:val="30"/>
          <w:szCs w:val="30"/>
        </w:rPr>
        <w:t>明确相关要求，</w:t>
      </w:r>
      <w:r w:rsidR="00C56688" w:rsidRPr="00C56688">
        <w:rPr>
          <w:rFonts w:ascii="仿宋_GB2312" w:eastAsia="仿宋_GB2312" w:hAnsi="仿宋" w:hint="eastAsia"/>
          <w:bCs/>
          <w:sz w:val="30"/>
          <w:szCs w:val="30"/>
        </w:rPr>
        <w:t>本次修订援引相应规则</w:t>
      </w:r>
      <w:r>
        <w:rPr>
          <w:rFonts w:ascii="仿宋_GB2312" w:eastAsia="仿宋_GB2312" w:hAnsi="仿宋" w:hint="eastAsia"/>
          <w:bCs/>
          <w:sz w:val="30"/>
          <w:szCs w:val="30"/>
        </w:rPr>
        <w:t>，督促公司做好重组信息披露工作。</w:t>
      </w:r>
    </w:p>
    <w:p w:rsidR="00891B98" w:rsidRDefault="009E3B3C">
      <w:pPr>
        <w:spacing w:line="560" w:lineRule="exact"/>
        <w:ind w:firstLineChars="200" w:firstLine="602"/>
        <w:rPr>
          <w:rFonts w:ascii="仿宋_GB2312" w:eastAsia="仿宋_GB2312"/>
          <w:sz w:val="30"/>
          <w:szCs w:val="30"/>
        </w:rPr>
      </w:pPr>
      <w:r>
        <w:rPr>
          <w:rFonts w:ascii="仿宋_GB2312" w:eastAsia="仿宋_GB2312" w:hAnsi="仿宋" w:hint="eastAsia"/>
          <w:b/>
          <w:sz w:val="30"/>
          <w:szCs w:val="30"/>
        </w:rPr>
        <w:t>三是优化重组预案信息披露要求。</w:t>
      </w:r>
      <w:r>
        <w:rPr>
          <w:rFonts w:ascii="仿宋_GB2312" w:eastAsia="仿宋_GB2312" w:hint="eastAsia"/>
          <w:sz w:val="30"/>
          <w:szCs w:val="30"/>
        </w:rPr>
        <w:t>为提高信息披露质量，本次修订优化“重大事项提示”章节，归纳交易方案披露要点重点；精简“重大风险提示”章节，要求公司</w:t>
      </w:r>
      <w:r>
        <w:rPr>
          <w:rFonts w:ascii="仿宋_GB2312" w:eastAsia="仿宋_GB2312" w:hAnsi="宋体" w:cs="宋体" w:hint="eastAsia"/>
          <w:sz w:val="30"/>
          <w:szCs w:val="30"/>
        </w:rPr>
        <w:t>选择</w:t>
      </w:r>
      <w:r w:rsidR="00816A1B">
        <w:rPr>
          <w:rFonts w:ascii="仿宋_GB2312" w:eastAsia="仿宋_GB2312" w:hAnsi="宋体" w:cs="宋体" w:hint="eastAsia"/>
          <w:sz w:val="30"/>
          <w:szCs w:val="30"/>
        </w:rPr>
        <w:t>可能产生</w:t>
      </w:r>
      <w:r>
        <w:rPr>
          <w:rFonts w:ascii="仿宋_GB2312" w:eastAsia="仿宋_GB2312" w:hAnsi="宋体" w:cs="宋体" w:hint="eastAsia"/>
          <w:sz w:val="30"/>
          <w:szCs w:val="30"/>
        </w:rPr>
        <w:t>严重不利影响的风险进行提示，</w:t>
      </w:r>
      <w:r>
        <w:rPr>
          <w:rFonts w:ascii="仿宋_GB2312" w:eastAsia="仿宋_GB2312" w:hint="eastAsia"/>
          <w:sz w:val="30"/>
          <w:szCs w:val="30"/>
        </w:rPr>
        <w:t>强化提示效果，便利投资者快速了解、整体</w:t>
      </w:r>
      <w:r>
        <w:rPr>
          <w:rFonts w:ascii="仿宋_GB2312" w:eastAsia="仿宋_GB2312" w:hint="eastAsia"/>
          <w:sz w:val="30"/>
          <w:szCs w:val="30"/>
        </w:rPr>
        <w:lastRenderedPageBreak/>
        <w:t>把握交易概况及存在的重大风险。</w:t>
      </w:r>
    </w:p>
    <w:p w:rsidR="00891B98" w:rsidRPr="00CD2626" w:rsidRDefault="009E3B3C">
      <w:pPr>
        <w:spacing w:line="560" w:lineRule="exact"/>
        <w:ind w:firstLineChars="200" w:firstLine="602"/>
        <w:rPr>
          <w:rFonts w:ascii="仿宋_GB2312" w:eastAsia="仿宋_GB2312" w:hAnsi="仿宋"/>
          <w:sz w:val="30"/>
          <w:szCs w:val="30"/>
        </w:rPr>
      </w:pPr>
      <w:r w:rsidRPr="00CD2626">
        <w:rPr>
          <w:rFonts w:ascii="仿宋_GB2312" w:eastAsia="仿宋_GB2312" w:hAnsi="仿宋" w:hint="eastAsia"/>
          <w:b/>
          <w:bCs/>
          <w:sz w:val="30"/>
          <w:szCs w:val="30"/>
        </w:rPr>
        <w:t>四是完善现金类重组股票异常交易监管规定。</w:t>
      </w:r>
      <w:r w:rsidRPr="00CD2626">
        <w:rPr>
          <w:rFonts w:ascii="仿宋_GB2312" w:eastAsia="仿宋_GB2312" w:hAnsi="仿宋" w:hint="eastAsia"/>
          <w:sz w:val="30"/>
          <w:szCs w:val="30"/>
        </w:rPr>
        <w:t>上市公司现金类重组事项如因涉嫌内幕交易被中国证监会立案调查或者被司法机关立案侦查</w:t>
      </w:r>
      <w:r w:rsidR="00816A1B" w:rsidRPr="00CD2626">
        <w:rPr>
          <w:rFonts w:ascii="仿宋_GB2312" w:eastAsia="仿宋_GB2312" w:hAnsi="仿宋" w:hint="eastAsia"/>
          <w:sz w:val="30"/>
          <w:szCs w:val="30"/>
        </w:rPr>
        <w:t>而暂停重组进程的</w:t>
      </w:r>
      <w:r w:rsidRPr="00CD2626">
        <w:rPr>
          <w:rFonts w:ascii="仿宋_GB2312" w:eastAsia="仿宋_GB2312" w:hAnsi="仿宋" w:hint="eastAsia"/>
          <w:sz w:val="30"/>
          <w:szCs w:val="30"/>
        </w:rPr>
        <w:t>，</w:t>
      </w:r>
      <w:r w:rsidR="00816A1B" w:rsidRPr="00CD2626">
        <w:rPr>
          <w:rFonts w:ascii="仿宋_GB2312" w:eastAsia="仿宋_GB2312" w:hAnsi="仿宋" w:hint="eastAsia"/>
          <w:sz w:val="30"/>
          <w:szCs w:val="30"/>
        </w:rPr>
        <w:t>本次修订根据《上市公司监管指引第7号——上市公司重大资产重组相关股票异常交易监管》相关要求，明确其恢复重组进程的条件</w:t>
      </w:r>
      <w:r w:rsidRPr="00CD2626">
        <w:rPr>
          <w:rFonts w:ascii="仿宋_GB2312" w:eastAsia="仿宋_GB2312" w:hAnsi="仿宋" w:hint="eastAsia"/>
          <w:sz w:val="30"/>
          <w:szCs w:val="30"/>
        </w:rPr>
        <w:t>。同时，明确特定主体因本次重组内幕交易被证监会行政处罚或者被司法机关依法追究刑事责任的，上市公司应当终止本次交易。</w:t>
      </w:r>
    </w:p>
    <w:p w:rsidR="00891B98" w:rsidRDefault="009E3B3C" w:rsidP="00CD2626">
      <w:pPr>
        <w:spacing w:line="560" w:lineRule="exact"/>
        <w:ind w:firstLineChars="200" w:firstLine="602"/>
        <w:rPr>
          <w:rFonts w:ascii="仿宋_GB2312" w:eastAsia="仿宋_GB2312" w:hAnsi="仿宋"/>
          <w:b/>
          <w:sz w:val="30"/>
          <w:szCs w:val="30"/>
        </w:rPr>
      </w:pPr>
      <w:r>
        <w:rPr>
          <w:rFonts w:ascii="仿宋_GB2312" w:eastAsia="仿宋_GB2312" w:hAnsi="仿宋" w:hint="eastAsia"/>
          <w:b/>
          <w:sz w:val="30"/>
          <w:szCs w:val="30"/>
        </w:rPr>
        <w:t>五是强化对重组业绩承诺监管。</w:t>
      </w:r>
      <w:r>
        <w:rPr>
          <w:rFonts w:ascii="仿宋_GB2312" w:eastAsia="仿宋_GB2312" w:hAnsi="仿宋" w:hint="eastAsia"/>
          <w:sz w:val="30"/>
          <w:szCs w:val="30"/>
        </w:rPr>
        <w:t>本次修订明确，上市公司与交易对方签订业绩补偿协议，且相关资产的实际盈利数低于利润预测数的，公司董事会应当在审议年度报告的同时，对实际盈利数与利润预测数的差异情况进行单独审议，详细说明差异情况及上市公司已采取或者拟采取的措施，并督促交易对方履行承诺。上市公司与交易对方存在每股收益填补措施安排的，应披露相关填补安排的具体履行情况。</w:t>
      </w:r>
    </w:p>
    <w:p w:rsidR="00891B98" w:rsidRDefault="009E3B3C">
      <w:pPr>
        <w:spacing w:line="560" w:lineRule="exact"/>
        <w:ind w:firstLineChars="200" w:firstLine="602"/>
        <w:rPr>
          <w:rFonts w:ascii="仿宋_GB2312" w:eastAsia="仿宋_GB2312" w:hAnsi="仿宋"/>
          <w:sz w:val="30"/>
          <w:szCs w:val="30"/>
        </w:rPr>
      </w:pPr>
      <w:r>
        <w:rPr>
          <w:rFonts w:ascii="仿宋_GB2312" w:eastAsia="仿宋_GB2312" w:hAnsi="仿宋" w:hint="eastAsia"/>
          <w:b/>
          <w:sz w:val="30"/>
          <w:szCs w:val="30"/>
        </w:rPr>
        <w:t>六是</w:t>
      </w:r>
      <w:r>
        <w:rPr>
          <w:rFonts w:ascii="仿宋_GB2312" w:eastAsia="仿宋_GB2312" w:hAnsi="仿宋" w:hint="eastAsia"/>
          <w:b/>
          <w:bCs/>
          <w:sz w:val="30"/>
          <w:szCs w:val="30"/>
        </w:rPr>
        <w:t>进一步规范重组投资者说明会相关要求。</w:t>
      </w:r>
      <w:r>
        <w:rPr>
          <w:rFonts w:ascii="仿宋_GB2312" w:eastAsia="仿宋_GB2312" w:hAnsi="仿宋" w:hint="eastAsia"/>
          <w:bCs/>
          <w:sz w:val="30"/>
          <w:szCs w:val="30"/>
        </w:rPr>
        <w:t>为强化对忽悠式重组监管力度，对于</w:t>
      </w:r>
      <w:r w:rsidR="00757645">
        <w:rPr>
          <w:rFonts w:ascii="仿宋_GB2312" w:eastAsia="仿宋_GB2312" w:hAnsi="仿宋" w:hint="eastAsia"/>
          <w:bCs/>
          <w:sz w:val="30"/>
          <w:szCs w:val="30"/>
        </w:rPr>
        <w:t>上市</w:t>
      </w:r>
      <w:r>
        <w:rPr>
          <w:rFonts w:ascii="仿宋_GB2312" w:eastAsia="仿宋_GB2312" w:hAnsi="仿宋" w:hint="eastAsia"/>
          <w:bCs/>
          <w:sz w:val="30"/>
          <w:szCs w:val="30"/>
        </w:rPr>
        <w:t>公司披露重组提示性公告后终止重组的，鼓励公司召开投资者说明会，</w:t>
      </w:r>
      <w:r>
        <w:rPr>
          <w:rFonts w:ascii="仿宋_GB2312" w:eastAsia="仿宋_GB2312" w:hAnsi="仿宋" w:hint="eastAsia"/>
          <w:sz w:val="30"/>
          <w:szCs w:val="30"/>
        </w:rPr>
        <w:t>并可以</w:t>
      </w:r>
      <w:r w:rsidR="00757645">
        <w:rPr>
          <w:rFonts w:ascii="仿宋_GB2312" w:eastAsia="仿宋_GB2312" w:hAnsi="仿宋" w:hint="eastAsia"/>
          <w:sz w:val="30"/>
          <w:szCs w:val="30"/>
        </w:rPr>
        <w:t>视情况</w:t>
      </w:r>
      <w:r>
        <w:rPr>
          <w:rFonts w:ascii="仿宋_GB2312" w:eastAsia="仿宋_GB2312" w:hAnsi="仿宋" w:hint="eastAsia"/>
          <w:sz w:val="30"/>
          <w:szCs w:val="30"/>
        </w:rPr>
        <w:t>要求公司召开投资者说明会</w:t>
      </w:r>
      <w:r w:rsidR="00757645">
        <w:rPr>
          <w:rFonts w:ascii="仿宋_GB2312" w:eastAsia="仿宋_GB2312" w:hAnsi="仿宋" w:hint="eastAsia"/>
          <w:sz w:val="30"/>
          <w:szCs w:val="30"/>
        </w:rPr>
        <w:t>；</w:t>
      </w:r>
      <w:r w:rsidR="00757645">
        <w:rPr>
          <w:rFonts w:ascii="仿宋_GB2312" w:eastAsia="仿宋_GB2312" w:hAnsi="仿宋" w:hint="eastAsia"/>
          <w:bCs/>
          <w:sz w:val="30"/>
          <w:szCs w:val="30"/>
        </w:rPr>
        <w:t>进一步明确</w:t>
      </w:r>
      <w:r>
        <w:rPr>
          <w:rFonts w:ascii="仿宋_GB2312" w:eastAsia="仿宋_GB2312" w:hAnsi="仿宋" w:hint="eastAsia"/>
          <w:bCs/>
          <w:sz w:val="30"/>
          <w:szCs w:val="30"/>
        </w:rPr>
        <w:t>投资者说明会信息披露内容</w:t>
      </w:r>
      <w:r>
        <w:rPr>
          <w:rFonts w:ascii="仿宋_GB2312" w:eastAsia="仿宋_GB2312" w:hAnsi="仿宋" w:hint="eastAsia"/>
          <w:sz w:val="30"/>
          <w:szCs w:val="30"/>
        </w:rPr>
        <w:t>，上市公司应当就终止重组事项的具体原因、决策过程及其影响等内容作出说明，并及时披露投资者说明会的相关情况。</w:t>
      </w:r>
    </w:p>
    <w:p w:rsidR="00891B98" w:rsidRDefault="009E3B3C" w:rsidP="00CD2626">
      <w:pPr>
        <w:ind w:firstLineChars="200" w:firstLine="600"/>
      </w:pPr>
      <w:r>
        <w:rPr>
          <w:rFonts w:ascii="仿宋_GB2312" w:eastAsia="仿宋_GB2312" w:hint="eastAsia"/>
          <w:sz w:val="30"/>
          <w:szCs w:val="30"/>
        </w:rPr>
        <w:t>特此说明。</w:t>
      </w:r>
    </w:p>
    <w:sectPr w:rsidR="00891B98" w:rsidSect="00891B9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85A" w:rsidRDefault="00F8485A" w:rsidP="00891B98">
      <w:r>
        <w:separator/>
      </w:r>
    </w:p>
  </w:endnote>
  <w:endnote w:type="continuationSeparator" w:id="0">
    <w:p w:rsidR="00F8485A" w:rsidRDefault="00F8485A" w:rsidP="00891B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4"/>
        <w:szCs w:val="24"/>
      </w:rPr>
      <w:id w:val="340089016"/>
    </w:sdtPr>
    <w:sdtContent>
      <w:p w:rsidR="00891B98" w:rsidRPr="00E720CA" w:rsidRDefault="001C171F" w:rsidP="00E720CA">
        <w:pPr>
          <w:pStyle w:val="a3"/>
          <w:jc w:val="center"/>
          <w:rPr>
            <w:rFonts w:ascii="Times New Roman" w:hAnsi="Times New Roman"/>
            <w:sz w:val="24"/>
            <w:szCs w:val="24"/>
          </w:rPr>
        </w:pPr>
        <w:r w:rsidRPr="001C171F">
          <w:rPr>
            <w:rFonts w:ascii="Times New Roman" w:hAnsi="Times New Roman"/>
            <w:sz w:val="24"/>
            <w:szCs w:val="24"/>
          </w:rPr>
          <w:fldChar w:fldCharType="begin"/>
        </w:r>
        <w:r w:rsidR="009E3B3C" w:rsidRPr="00E720CA">
          <w:rPr>
            <w:rFonts w:ascii="Times New Roman" w:hAnsi="Times New Roman"/>
            <w:sz w:val="24"/>
            <w:szCs w:val="24"/>
          </w:rPr>
          <w:instrText xml:space="preserve"> PAGE   \* MERGEFORMAT </w:instrText>
        </w:r>
        <w:r w:rsidRPr="001C171F">
          <w:rPr>
            <w:rFonts w:ascii="Times New Roman" w:hAnsi="Times New Roman"/>
            <w:sz w:val="24"/>
            <w:szCs w:val="24"/>
          </w:rPr>
          <w:fldChar w:fldCharType="separate"/>
        </w:r>
        <w:r w:rsidR="00747457" w:rsidRPr="00747457">
          <w:rPr>
            <w:rFonts w:ascii="Times New Roman" w:hAnsi="Times New Roman"/>
            <w:noProof/>
            <w:sz w:val="24"/>
            <w:szCs w:val="24"/>
            <w:lang w:val="zh-CN"/>
          </w:rPr>
          <w:t>3</w:t>
        </w:r>
        <w:r w:rsidRPr="00E720CA">
          <w:rPr>
            <w:rFonts w:ascii="Times New Roman" w:hAnsi="Times New Roman"/>
            <w:sz w:val="24"/>
            <w:szCs w:val="24"/>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85A" w:rsidRDefault="00F8485A" w:rsidP="00891B98">
      <w:r>
        <w:separator/>
      </w:r>
    </w:p>
  </w:footnote>
  <w:footnote w:type="continuationSeparator" w:id="0">
    <w:p w:rsidR="00F8485A" w:rsidRDefault="00F8485A" w:rsidP="00891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984"/>
    <w:rsid w:val="0000747A"/>
    <w:rsid w:val="000425D5"/>
    <w:rsid w:val="0007626E"/>
    <w:rsid w:val="000A5FAB"/>
    <w:rsid w:val="000E11F0"/>
    <w:rsid w:val="00105C6C"/>
    <w:rsid w:val="001B3C4D"/>
    <w:rsid w:val="001C171F"/>
    <w:rsid w:val="001E2E2E"/>
    <w:rsid w:val="00214876"/>
    <w:rsid w:val="0025467D"/>
    <w:rsid w:val="00262268"/>
    <w:rsid w:val="002742E6"/>
    <w:rsid w:val="00293BD6"/>
    <w:rsid w:val="002D4D43"/>
    <w:rsid w:val="002D71C7"/>
    <w:rsid w:val="0032532A"/>
    <w:rsid w:val="00345736"/>
    <w:rsid w:val="00356E7A"/>
    <w:rsid w:val="0037797A"/>
    <w:rsid w:val="00384DE1"/>
    <w:rsid w:val="00395CC2"/>
    <w:rsid w:val="003A43C6"/>
    <w:rsid w:val="003A4FD3"/>
    <w:rsid w:val="003C2EEA"/>
    <w:rsid w:val="003E683A"/>
    <w:rsid w:val="00401773"/>
    <w:rsid w:val="004119FF"/>
    <w:rsid w:val="004167AF"/>
    <w:rsid w:val="0041762C"/>
    <w:rsid w:val="00441910"/>
    <w:rsid w:val="00453CC9"/>
    <w:rsid w:val="00456FA1"/>
    <w:rsid w:val="00466105"/>
    <w:rsid w:val="00480D68"/>
    <w:rsid w:val="00481AEC"/>
    <w:rsid w:val="004A0690"/>
    <w:rsid w:val="004B73AA"/>
    <w:rsid w:val="0050013B"/>
    <w:rsid w:val="005001EC"/>
    <w:rsid w:val="00512F1E"/>
    <w:rsid w:val="00546B6E"/>
    <w:rsid w:val="00554204"/>
    <w:rsid w:val="005716C6"/>
    <w:rsid w:val="0059241A"/>
    <w:rsid w:val="005E02A5"/>
    <w:rsid w:val="005F2EA4"/>
    <w:rsid w:val="005F3523"/>
    <w:rsid w:val="006053C8"/>
    <w:rsid w:val="00623C13"/>
    <w:rsid w:val="00640A43"/>
    <w:rsid w:val="00676260"/>
    <w:rsid w:val="006E6096"/>
    <w:rsid w:val="00701351"/>
    <w:rsid w:val="00725984"/>
    <w:rsid w:val="00731CAD"/>
    <w:rsid w:val="007461CF"/>
    <w:rsid w:val="00747457"/>
    <w:rsid w:val="00757645"/>
    <w:rsid w:val="007D15F9"/>
    <w:rsid w:val="007D4620"/>
    <w:rsid w:val="00814A49"/>
    <w:rsid w:val="00816A1B"/>
    <w:rsid w:val="00830765"/>
    <w:rsid w:val="00845D3B"/>
    <w:rsid w:val="0085417E"/>
    <w:rsid w:val="00886F37"/>
    <w:rsid w:val="00890AE5"/>
    <w:rsid w:val="00891B98"/>
    <w:rsid w:val="008B46CE"/>
    <w:rsid w:val="00931278"/>
    <w:rsid w:val="0096619A"/>
    <w:rsid w:val="00972325"/>
    <w:rsid w:val="00983FE3"/>
    <w:rsid w:val="009D6FEA"/>
    <w:rsid w:val="009E3B3C"/>
    <w:rsid w:val="00A0713F"/>
    <w:rsid w:val="00A5663A"/>
    <w:rsid w:val="00A56FBD"/>
    <w:rsid w:val="00AC114C"/>
    <w:rsid w:val="00AC4DEC"/>
    <w:rsid w:val="00AE3F05"/>
    <w:rsid w:val="00B006D5"/>
    <w:rsid w:val="00B07482"/>
    <w:rsid w:val="00B701A5"/>
    <w:rsid w:val="00B83688"/>
    <w:rsid w:val="00B97289"/>
    <w:rsid w:val="00BB2C09"/>
    <w:rsid w:val="00BC7365"/>
    <w:rsid w:val="00C03007"/>
    <w:rsid w:val="00C037D8"/>
    <w:rsid w:val="00C11A75"/>
    <w:rsid w:val="00C347A7"/>
    <w:rsid w:val="00C56688"/>
    <w:rsid w:val="00CD2626"/>
    <w:rsid w:val="00CF3161"/>
    <w:rsid w:val="00D0279A"/>
    <w:rsid w:val="00D16DE4"/>
    <w:rsid w:val="00D30805"/>
    <w:rsid w:val="00D4366E"/>
    <w:rsid w:val="00D67D8F"/>
    <w:rsid w:val="00D83D33"/>
    <w:rsid w:val="00DA261E"/>
    <w:rsid w:val="00E14077"/>
    <w:rsid w:val="00E21702"/>
    <w:rsid w:val="00E2634E"/>
    <w:rsid w:val="00E44EEC"/>
    <w:rsid w:val="00E4613D"/>
    <w:rsid w:val="00E46A1F"/>
    <w:rsid w:val="00E720CA"/>
    <w:rsid w:val="00EA664C"/>
    <w:rsid w:val="00EB722C"/>
    <w:rsid w:val="00EF1F02"/>
    <w:rsid w:val="00F05EAD"/>
    <w:rsid w:val="00F37216"/>
    <w:rsid w:val="00F8485A"/>
    <w:rsid w:val="04A4232A"/>
    <w:rsid w:val="050745CD"/>
    <w:rsid w:val="0CCA74C4"/>
    <w:rsid w:val="0F995326"/>
    <w:rsid w:val="11E44B84"/>
    <w:rsid w:val="17C00184"/>
    <w:rsid w:val="18F5277F"/>
    <w:rsid w:val="1A154F70"/>
    <w:rsid w:val="1CB83672"/>
    <w:rsid w:val="20232E47"/>
    <w:rsid w:val="21165730"/>
    <w:rsid w:val="2144566C"/>
    <w:rsid w:val="21561F3F"/>
    <w:rsid w:val="281F2669"/>
    <w:rsid w:val="28833F3B"/>
    <w:rsid w:val="2BB172BB"/>
    <w:rsid w:val="3D4C5207"/>
    <w:rsid w:val="3E6F4D7B"/>
    <w:rsid w:val="3ED05615"/>
    <w:rsid w:val="40AB4C9D"/>
    <w:rsid w:val="429C278D"/>
    <w:rsid w:val="451A13C2"/>
    <w:rsid w:val="51FD7691"/>
    <w:rsid w:val="558127D5"/>
    <w:rsid w:val="56F339AA"/>
    <w:rsid w:val="5A421E3E"/>
    <w:rsid w:val="5BF736EF"/>
    <w:rsid w:val="5C414465"/>
    <w:rsid w:val="612358EA"/>
    <w:rsid w:val="64523523"/>
    <w:rsid w:val="64561F2A"/>
    <w:rsid w:val="668734C3"/>
    <w:rsid w:val="66A9017B"/>
    <w:rsid w:val="6AE01D18"/>
    <w:rsid w:val="6BFA1FF7"/>
    <w:rsid w:val="75980EF8"/>
    <w:rsid w:val="78896C5F"/>
    <w:rsid w:val="7A5A0C4E"/>
    <w:rsid w:val="7A6354C5"/>
    <w:rsid w:val="7B786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B98"/>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91B98"/>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91B98"/>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qFormat/>
    <w:rsid w:val="00891B98"/>
    <w:rPr>
      <w:rFonts w:ascii="等线" w:eastAsia="等线" w:hAnsi="等线" w:cs="Times New Roman"/>
      <w:sz w:val="18"/>
      <w:szCs w:val="18"/>
    </w:rPr>
  </w:style>
  <w:style w:type="character" w:customStyle="1" w:styleId="Char0">
    <w:name w:val="页眉 Char"/>
    <w:basedOn w:val="a0"/>
    <w:link w:val="a4"/>
    <w:uiPriority w:val="99"/>
    <w:semiHidden/>
    <w:qFormat/>
    <w:rsid w:val="00891B98"/>
    <w:rPr>
      <w:rFonts w:ascii="等线" w:eastAsia="等线" w:hAnsi="等线" w:cs="Times New Roman"/>
      <w:kern w:val="2"/>
      <w:sz w:val="18"/>
      <w:szCs w:val="18"/>
    </w:rPr>
  </w:style>
  <w:style w:type="paragraph" w:styleId="a5">
    <w:name w:val="Balloon Text"/>
    <w:basedOn w:val="a"/>
    <w:link w:val="Char1"/>
    <w:uiPriority w:val="99"/>
    <w:semiHidden/>
    <w:unhideWhenUsed/>
    <w:rsid w:val="000A5FAB"/>
    <w:rPr>
      <w:sz w:val="18"/>
      <w:szCs w:val="18"/>
    </w:rPr>
  </w:style>
  <w:style w:type="character" w:customStyle="1" w:styleId="Char1">
    <w:name w:val="批注框文本 Char"/>
    <w:basedOn w:val="a0"/>
    <w:link w:val="a5"/>
    <w:uiPriority w:val="99"/>
    <w:semiHidden/>
    <w:rsid w:val="000A5FAB"/>
    <w:rPr>
      <w:rFonts w:ascii="等线" w:eastAsia="等线" w:hAnsi="等线" w:cs="Times New Roman"/>
      <w:kern w:val="2"/>
      <w:sz w:val="18"/>
      <w:szCs w:val="18"/>
    </w:rPr>
  </w:style>
  <w:style w:type="paragraph" w:styleId="a6">
    <w:name w:val="Revision"/>
    <w:hidden/>
    <w:uiPriority w:val="99"/>
    <w:semiHidden/>
    <w:rsid w:val="00E4613D"/>
    <w:rPr>
      <w:rFonts w:ascii="等线" w:eastAsia="等线" w:hAnsi="等线" w:cs="Times New Roman"/>
      <w:kern w:val="2"/>
      <w:sz w:val="21"/>
      <w:szCs w:val="22"/>
    </w:rPr>
  </w:style>
</w:styles>
</file>

<file path=word/webSettings.xml><?xml version="1.0" encoding="utf-8"?>
<w:webSettings xmlns:r="http://schemas.openxmlformats.org/officeDocument/2006/relationships" xmlns:w="http://schemas.openxmlformats.org/wordprocessingml/2006/main">
  <w:divs>
    <w:div w:id="138248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2022-09-23T07:07:00Z</cp:lastPrinted>
  <dcterms:created xsi:type="dcterms:W3CDTF">2023-02-10T03:04:00Z</dcterms:created>
  <dcterms:modified xsi:type="dcterms:W3CDTF">2023-02-16T09:38:00Z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6587936CDB0C4B269E684C3AD5542E6C</vt:lpwstr>
  </property>
</Properties>
</file>