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color w:val="000000"/>
          <w:sz w:val="32"/>
          <w:szCs w:val="32"/>
          <w:highlight w:val="none"/>
          <w:lang w:val="en-US" w:eastAsia="zh"/>
        </w:rPr>
      </w:pPr>
      <w:bookmarkStart w:id="0" w:name="_GoBack"/>
      <w:bookmarkEnd w:id="0"/>
      <w:r>
        <w:rPr>
          <w:rFonts w:hint="eastAsia" w:ascii="黑体" w:hAnsi="黑体" w:eastAsia="黑体" w:cs="黑体"/>
          <w:b w:val="0"/>
          <w:bCs w:val="0"/>
          <w:color w:val="000000"/>
          <w:sz w:val="32"/>
          <w:szCs w:val="32"/>
          <w:highlight w:val="none"/>
          <w:lang w:val="en-US" w:eastAsia="zh"/>
        </w:rPr>
        <w:t>附件</w:t>
      </w:r>
    </w:p>
    <w:p>
      <w:pPr>
        <w:spacing w:line="560" w:lineRule="exact"/>
        <w:rPr>
          <w:rFonts w:hint="eastAsia" w:ascii="黑体" w:hAnsi="黑体" w:eastAsia="黑体" w:cs="黑体"/>
          <w:b w:val="0"/>
          <w:bCs w:val="0"/>
          <w:color w:val="000000"/>
          <w:sz w:val="32"/>
          <w:szCs w:val="32"/>
          <w:highlight w:val="none"/>
          <w:lang w:val="en-US" w:eastAsia="zh"/>
        </w:rPr>
      </w:pPr>
    </w:p>
    <w:p>
      <w:pPr>
        <w:pStyle w:val="25"/>
        <w:spacing w:line="560" w:lineRule="exact"/>
        <w:rPr>
          <w:rFonts w:hint="eastAsia" w:ascii="方正大标宋简体" w:hAnsi="黑体" w:eastAsia="方正大标宋简体"/>
          <w:b w:val="0"/>
          <w:kern w:val="0"/>
          <w:sz w:val="44"/>
          <w:szCs w:val="44"/>
          <w:highlight w:val="none"/>
        </w:rPr>
      </w:pPr>
      <w:r>
        <w:rPr>
          <w:rFonts w:hint="eastAsia" w:ascii="方正大标宋简体" w:hAnsi="黑体" w:eastAsia="方正大标宋简体"/>
          <w:b w:val="0"/>
          <w:kern w:val="0"/>
          <w:sz w:val="44"/>
          <w:szCs w:val="44"/>
          <w:highlight w:val="none"/>
        </w:rPr>
        <w:t>上海证券交易所会员管理规则适用指引</w:t>
      </w:r>
    </w:p>
    <w:p>
      <w:pPr>
        <w:pStyle w:val="25"/>
        <w:spacing w:line="560" w:lineRule="exact"/>
        <w:rPr>
          <w:rFonts w:hint="default" w:ascii="Times New Roman" w:hAnsi="Times New Roman" w:eastAsia="方正大标宋简体" w:cs="Times New Roman"/>
          <w:b w:val="0"/>
          <w:kern w:val="0"/>
          <w:sz w:val="44"/>
          <w:szCs w:val="44"/>
          <w:highlight w:val="none"/>
          <w:lang w:eastAsia="zh-CN"/>
        </w:rPr>
      </w:pPr>
      <w:r>
        <w:rPr>
          <w:rFonts w:hint="default" w:ascii="Times New Roman" w:hAnsi="Times New Roman" w:eastAsia="方正大标宋简体" w:cs="Times New Roman"/>
          <w:b w:val="0"/>
          <w:kern w:val="0"/>
          <w:sz w:val="44"/>
          <w:szCs w:val="44"/>
          <w:highlight w:val="none"/>
        </w:rPr>
        <w:t>第1号——会员交易及相关系统管理</w:t>
      </w:r>
    </w:p>
    <w:p>
      <w:pPr>
        <w:pStyle w:val="20"/>
        <w:spacing w:before="0" w:after="0" w:line="560" w:lineRule="exact"/>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en-US" w:eastAsia="zh-CN"/>
        </w:rPr>
        <w:t>（2025年</w:t>
      </w:r>
      <w:r>
        <w:rPr>
          <w:rFonts w:hint="default" w:ascii="Times New Roman" w:hAnsi="Times New Roman" w:eastAsia="楷体_GB2312" w:cs="Times New Roman"/>
          <w:b w:val="0"/>
          <w:bCs w:val="0"/>
          <w:color w:val="000000"/>
          <w:kern w:val="0"/>
          <w:sz w:val="32"/>
          <w:szCs w:val="32"/>
          <w:highlight w:val="none"/>
          <w:lang w:val="en-US" w:eastAsia="zh"/>
        </w:rPr>
        <w:t>7</w:t>
      </w:r>
      <w:r>
        <w:rPr>
          <w:rFonts w:hint="default" w:ascii="Times New Roman" w:hAnsi="Times New Roman" w:eastAsia="楷体_GB2312" w:cs="Times New Roman"/>
          <w:b w:val="0"/>
          <w:bCs w:val="0"/>
          <w:color w:val="000000"/>
          <w:kern w:val="0"/>
          <w:sz w:val="32"/>
          <w:szCs w:val="32"/>
          <w:highlight w:val="none"/>
          <w:lang w:val="en-US" w:eastAsia="zh-CN"/>
        </w:rPr>
        <w:t>月修订）</w:t>
      </w:r>
    </w:p>
    <w:p>
      <w:pPr>
        <w:spacing w:line="560" w:lineRule="exact"/>
        <w:rPr>
          <w:highlight w:val="none"/>
          <w:lang w:val="en-AU"/>
        </w:rPr>
      </w:pPr>
    </w:p>
    <w:p>
      <w:pPr>
        <w:widowControl/>
        <w:spacing w:line="560" w:lineRule="exact"/>
        <w:jc w:val="center"/>
        <w:rPr>
          <w:rFonts w:ascii="宋体" w:hAnsi="宋体" w:cs="宋体"/>
          <w:b w:val="0"/>
          <w:bCs w:val="0"/>
          <w:color w:val="333333"/>
          <w:kern w:val="0"/>
          <w:sz w:val="32"/>
          <w:szCs w:val="32"/>
          <w:highlight w:val="none"/>
        </w:rPr>
      </w:pPr>
      <w:r>
        <w:rPr>
          <w:rFonts w:hint="eastAsia" w:ascii="黑体" w:hAnsi="黑体" w:eastAsia="黑体" w:cs="宋体"/>
          <w:b w:val="0"/>
          <w:bCs w:val="0"/>
          <w:color w:val="000000"/>
          <w:spacing w:val="12"/>
          <w:kern w:val="0"/>
          <w:sz w:val="32"/>
          <w:szCs w:val="32"/>
          <w:highlight w:val="none"/>
        </w:rPr>
        <w:t>第一章 总 则</w:t>
      </w:r>
    </w:p>
    <w:p>
      <w:pPr>
        <w:widowControl/>
        <w:numPr>
          <w:ilvl w:val="0"/>
          <w:numId w:val="3"/>
        </w:numPr>
        <w:spacing w:line="560" w:lineRule="exact"/>
        <w:ind w:left="0" w:right="-57" w:rightChars="-27"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为</w:t>
      </w:r>
      <w:r>
        <w:rPr>
          <w:rFonts w:hint="eastAsia" w:ascii="仿宋_GB2312" w:hAnsi="ˎ̥" w:eastAsia="仿宋_GB2312" w:cs="宋体"/>
          <w:color w:val="000000"/>
          <w:kern w:val="0"/>
          <w:sz w:val="32"/>
          <w:szCs w:val="32"/>
          <w:highlight w:val="none"/>
          <w:lang w:eastAsia="zh-CN"/>
        </w:rPr>
        <w:t>了</w:t>
      </w:r>
      <w:r>
        <w:rPr>
          <w:rFonts w:hint="eastAsia" w:ascii="仿宋_GB2312" w:hAnsi="ˎ̥" w:eastAsia="仿宋_GB2312" w:cs="宋体"/>
          <w:color w:val="000000"/>
          <w:kern w:val="0"/>
          <w:sz w:val="32"/>
          <w:szCs w:val="32"/>
          <w:highlight w:val="none"/>
        </w:rPr>
        <w:t>规范上海证券交易所（以下简称本所）会员交易及相关系统管理，保障会员交易及相关系统安全、合规运行，防范证券交易技术风险，维护正常交易秩序，根据《证券基金经营机构信息技术管理办法》《证券期货业信息安全保障管理办法》</w:t>
      </w:r>
      <w:r>
        <w:rPr>
          <w:rFonts w:hint="eastAsia" w:ascii="仿宋_GB2312" w:hAnsi="ˎ̥" w:eastAsia="仿宋_GB2312" w:cs="宋体"/>
          <w:color w:val="000000"/>
          <w:kern w:val="0"/>
          <w:sz w:val="32"/>
          <w:szCs w:val="32"/>
          <w:highlight w:val="none"/>
          <w:lang w:eastAsia="zh-CN"/>
        </w:rPr>
        <w:t>《</w:t>
      </w:r>
      <w:r>
        <w:rPr>
          <w:rFonts w:hint="eastAsia" w:ascii="仿宋_GB2312" w:hAnsi="ˎ̥" w:eastAsia="仿宋_GB2312" w:cs="宋体"/>
          <w:i w:val="0"/>
          <w:iCs w:val="0"/>
          <w:caps w:val="0"/>
          <w:color w:val="000000"/>
          <w:spacing w:val="0"/>
          <w:kern w:val="0"/>
          <w:sz w:val="32"/>
          <w:szCs w:val="32"/>
          <w:highlight w:val="none"/>
          <w:shd w:val="clear"/>
        </w:rPr>
        <w:t>证券市场程序化交易管理规定</w:t>
      </w:r>
      <w:r>
        <w:rPr>
          <w:rFonts w:hint="eastAsia" w:ascii="仿宋_GB2312" w:hAnsi="ˎ̥" w:eastAsia="仿宋_GB2312" w:cs="宋体"/>
          <w:i w:val="0"/>
          <w:iCs w:val="0"/>
          <w:caps w:val="0"/>
          <w:color w:val="000000"/>
          <w:spacing w:val="0"/>
          <w:kern w:val="0"/>
          <w:sz w:val="32"/>
          <w:szCs w:val="32"/>
          <w:highlight w:val="none"/>
          <w:shd w:val="clear"/>
          <w:lang w:val="en-US" w:eastAsia="zh-CN"/>
        </w:rPr>
        <w:t>（试行）</w:t>
      </w:r>
      <w:r>
        <w:rPr>
          <w:rFonts w:hint="eastAsia" w:ascii="仿宋_GB2312" w:hAnsi="ˎ̥" w:eastAsia="仿宋_GB2312" w:cs="宋体"/>
          <w:color w:val="000000"/>
          <w:kern w:val="0"/>
          <w:sz w:val="32"/>
          <w:szCs w:val="32"/>
          <w:highlight w:val="none"/>
          <w:lang w:eastAsia="zh-CN"/>
        </w:rPr>
        <w:t>》</w:t>
      </w:r>
      <w:r>
        <w:rPr>
          <w:rFonts w:hint="eastAsia" w:ascii="仿宋_GB2312" w:hAnsi="ˎ̥" w:eastAsia="仿宋_GB2312" w:cs="宋体"/>
          <w:color w:val="000000"/>
          <w:kern w:val="0"/>
          <w:sz w:val="32"/>
          <w:szCs w:val="32"/>
          <w:highlight w:val="none"/>
        </w:rPr>
        <w:t>《证券期货业信息安全事件报告与调查处理办法》《上海证券交易所章程》《上海证券交易所会员管理规则》及《上海证券交易所交易规则》</w:t>
      </w:r>
      <w:r>
        <w:rPr>
          <w:rFonts w:hint="eastAsia" w:ascii="仿宋_GB2312" w:hAnsi="ˎ̥" w:eastAsia="仿宋_GB2312" w:cs="宋体"/>
          <w:color w:val="000000"/>
          <w:kern w:val="0"/>
          <w:sz w:val="32"/>
          <w:szCs w:val="32"/>
          <w:highlight w:val="none"/>
          <w:lang w:eastAsia="zh-CN"/>
        </w:rPr>
        <w:t>《上海证券交易所程序化交易管理实施细则》</w:t>
      </w:r>
      <w:r>
        <w:rPr>
          <w:rFonts w:hint="eastAsia" w:ascii="仿宋_GB2312" w:hAnsi="ˎ̥" w:eastAsia="仿宋_GB2312" w:cs="宋体"/>
          <w:color w:val="000000"/>
          <w:kern w:val="0"/>
          <w:sz w:val="32"/>
          <w:szCs w:val="32"/>
          <w:highlight w:val="none"/>
        </w:rPr>
        <w:t>等有关规定，制定本指引。</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本指引适用于本所会员。其他直接拥有或租用本所交易单元的机构参照执行。</w:t>
      </w:r>
    </w:p>
    <w:p>
      <w:pPr>
        <w:numPr>
          <w:ilvl w:val="-1"/>
          <w:numId w:val="0"/>
        </w:numPr>
        <w:spacing w:line="560" w:lineRule="exact"/>
        <w:ind w:left="4" w:firstLine="659" w:firstLineChars="206"/>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本指引所称的</w:t>
      </w:r>
      <w:r>
        <w:rPr>
          <w:rFonts w:hint="eastAsia" w:ascii="仿宋_GB2312" w:hAnsi="ˎ̥" w:eastAsia="仿宋_GB2312" w:cs="宋体"/>
          <w:color w:val="000000"/>
          <w:kern w:val="0"/>
          <w:sz w:val="32"/>
          <w:szCs w:val="32"/>
          <w:highlight w:val="none"/>
        </w:rPr>
        <w:t>会员交易及相关系统</w:t>
      </w:r>
      <w:r>
        <w:rPr>
          <w:rFonts w:hint="eastAsia" w:ascii="仿宋_GB2312" w:hAnsi="ˎ̥" w:eastAsia="仿宋_GB2312" w:cs="宋体"/>
          <w:color w:val="000000"/>
          <w:kern w:val="0"/>
          <w:sz w:val="32"/>
          <w:szCs w:val="32"/>
          <w:highlight w:val="none"/>
          <w:lang w:eastAsia="zh-CN"/>
        </w:rPr>
        <w:t>，</w:t>
      </w:r>
      <w:r>
        <w:rPr>
          <w:rFonts w:hint="eastAsia" w:ascii="仿宋_GB2312" w:hAnsi="ˎ̥" w:eastAsia="仿宋_GB2312" w:cs="宋体"/>
          <w:color w:val="000000"/>
          <w:kern w:val="0"/>
          <w:sz w:val="32"/>
          <w:szCs w:val="32"/>
          <w:highlight w:val="none"/>
        </w:rPr>
        <w:t>是指会员承载证券交易、结算相关业务的各类系统，包括交易系统、行情系统、通信系统、测试系统及上述系统的备份系统。</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w:t>
      </w:r>
      <w:r>
        <w:rPr>
          <w:rFonts w:ascii="仿宋_GB2312" w:hAnsi="ˎ̥" w:eastAsia="仿宋_GB2312" w:cs="宋体"/>
          <w:color w:val="000000"/>
          <w:kern w:val="0"/>
          <w:sz w:val="32"/>
          <w:szCs w:val="32"/>
          <w:highlight w:val="none"/>
        </w:rPr>
        <w:t>应当</w:t>
      </w:r>
      <w:r>
        <w:rPr>
          <w:rFonts w:hint="eastAsia" w:ascii="仿宋_GB2312" w:hAnsi="ˎ̥" w:eastAsia="仿宋_GB2312" w:cs="宋体"/>
          <w:color w:val="000000"/>
          <w:kern w:val="0"/>
          <w:sz w:val="32"/>
          <w:szCs w:val="32"/>
          <w:highlight w:val="none"/>
        </w:rPr>
        <w:t>按照法律、行政法规、部门规章、规范性文件、本指引和本所其他业务规则的要求</w:t>
      </w:r>
      <w:r>
        <w:rPr>
          <w:rFonts w:ascii="仿宋_GB2312" w:hAnsi="ˎ̥" w:eastAsia="仿宋_GB2312" w:cs="宋体"/>
          <w:color w:val="000000"/>
          <w:kern w:val="0"/>
          <w:sz w:val="32"/>
          <w:szCs w:val="32"/>
          <w:highlight w:val="none"/>
        </w:rPr>
        <w:t>，</w:t>
      </w:r>
      <w:r>
        <w:rPr>
          <w:rFonts w:hint="eastAsia" w:ascii="仿宋_GB2312" w:hAnsi="ˎ̥" w:eastAsia="仿宋_GB2312" w:cs="宋体"/>
          <w:color w:val="000000"/>
          <w:kern w:val="0"/>
          <w:sz w:val="32"/>
          <w:szCs w:val="32"/>
          <w:highlight w:val="none"/>
        </w:rPr>
        <w:t>加强交易及相关系统制度建设，保障交易及相关系统</w:t>
      </w:r>
      <w:r>
        <w:rPr>
          <w:rFonts w:ascii="仿宋_GB2312" w:hAnsi="ˎ̥" w:eastAsia="仿宋_GB2312" w:cs="宋体"/>
          <w:color w:val="000000"/>
          <w:kern w:val="0"/>
          <w:sz w:val="32"/>
          <w:szCs w:val="32"/>
          <w:highlight w:val="none"/>
        </w:rPr>
        <w:t>安全</w:t>
      </w:r>
      <w:r>
        <w:rPr>
          <w:rFonts w:hint="eastAsia" w:ascii="仿宋_GB2312" w:hAnsi="ˎ̥" w:eastAsia="仿宋_GB2312" w:cs="宋体"/>
          <w:color w:val="000000"/>
          <w:kern w:val="0"/>
          <w:sz w:val="32"/>
          <w:szCs w:val="32"/>
          <w:highlight w:val="none"/>
        </w:rPr>
        <w:t>稳定运行</w:t>
      </w:r>
      <w:r>
        <w:rPr>
          <w:rFonts w:ascii="仿宋_GB2312" w:hAnsi="ˎ̥" w:eastAsia="仿宋_GB2312" w:cs="宋体"/>
          <w:color w:val="000000"/>
          <w:kern w:val="0"/>
          <w:sz w:val="32"/>
          <w:szCs w:val="32"/>
          <w:highlight w:val="none"/>
        </w:rPr>
        <w:t>，</w:t>
      </w:r>
      <w:r>
        <w:rPr>
          <w:rFonts w:hint="eastAsia" w:ascii="仿宋_GB2312" w:hAnsi="ˎ̥" w:eastAsia="仿宋_GB2312" w:cs="宋体"/>
          <w:color w:val="000000"/>
          <w:kern w:val="0"/>
          <w:sz w:val="32"/>
          <w:szCs w:val="32"/>
          <w:highlight w:val="none"/>
        </w:rPr>
        <w:t>保护</w:t>
      </w:r>
      <w:r>
        <w:rPr>
          <w:rFonts w:ascii="仿宋_GB2312" w:hAnsi="ˎ̥" w:eastAsia="仿宋_GB2312" w:cs="宋体"/>
          <w:color w:val="000000"/>
          <w:kern w:val="0"/>
          <w:sz w:val="32"/>
          <w:szCs w:val="32"/>
          <w:highlight w:val="none"/>
        </w:rPr>
        <w:t>投资者交易安全</w:t>
      </w:r>
      <w:r>
        <w:rPr>
          <w:rFonts w:hint="eastAsia" w:ascii="仿宋_GB2312" w:hAnsi="ˎ̥" w:eastAsia="仿宋_GB2312" w:cs="宋体"/>
          <w:color w:val="000000"/>
          <w:kern w:val="0"/>
          <w:sz w:val="32"/>
          <w:szCs w:val="32"/>
          <w:highlight w:val="none"/>
        </w:rPr>
        <w:t>，维护证券市场正常交易秩序</w:t>
      </w:r>
      <w:r>
        <w:rPr>
          <w:rFonts w:ascii="仿宋_GB2312" w:hAnsi="ˎ̥" w:eastAsia="仿宋_GB2312" w:cs="宋体"/>
          <w:color w:val="000000"/>
          <w:kern w:val="0"/>
          <w:sz w:val="32"/>
          <w:szCs w:val="32"/>
          <w:highlight w:val="none"/>
        </w:rPr>
        <w:t>。</w:t>
      </w:r>
    </w:p>
    <w:p>
      <w:pPr>
        <w:widowControl/>
        <w:spacing w:line="560" w:lineRule="exact"/>
        <w:jc w:val="center"/>
        <w:rPr>
          <w:rFonts w:ascii="黑体" w:hAnsi="黑体" w:eastAsia="黑体" w:cs="宋体"/>
          <w:b w:val="0"/>
          <w:bCs w:val="0"/>
          <w:color w:val="000000"/>
          <w:spacing w:val="12"/>
          <w:kern w:val="0"/>
          <w:sz w:val="30"/>
          <w:szCs w:val="30"/>
          <w:highlight w:val="none"/>
        </w:rPr>
      </w:pPr>
      <w:r>
        <w:rPr>
          <w:rFonts w:hint="eastAsia" w:ascii="黑体" w:hAnsi="黑体" w:eastAsia="黑体" w:cs="宋体"/>
          <w:b w:val="0"/>
          <w:bCs w:val="0"/>
          <w:color w:val="000000"/>
          <w:spacing w:val="12"/>
          <w:kern w:val="0"/>
          <w:sz w:val="30"/>
          <w:szCs w:val="30"/>
          <w:highlight w:val="none"/>
        </w:rPr>
        <w:t>第二章 系统管理制度</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健全交易及相关系统管理制度和操作流程，制定完善系统建设、安全运行、应急处置、数据管理及风险防范等方面的管理制度，保障与业务发展及市场需求相适应的技术投入水平，持续满足交易及相关系统的可用性、安全性与合规性要求。</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会员应当建立有效的交易及相关系统管理组织架构，明确交易及相关系统管理的责任部门和责任人员，负责实施系统规划、系统建设、系统质量控制、系统安全保障、系统运维管理等工作。</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会员应当指定交易及相关系统管理部门负责人担任会员技术联络人，代表会员履行下列职责：</w:t>
      </w:r>
    </w:p>
    <w:p>
      <w:pPr>
        <w:spacing w:line="560" w:lineRule="exact"/>
        <w:ind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（一）协调会员参加本所组织的各项技术系统的改造、测试工作；</w:t>
      </w:r>
    </w:p>
    <w:p>
      <w:pPr>
        <w:spacing w:line="560" w:lineRule="exact"/>
        <w:ind w:left="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（二）按要求参加本所举办的技术培训和技术会议；</w:t>
      </w:r>
    </w:p>
    <w:p>
      <w:pPr>
        <w:spacing w:line="560" w:lineRule="exact"/>
        <w:ind w:left="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（三）按要求向本所提交技术方面的相关报告；</w:t>
      </w:r>
    </w:p>
    <w:p>
      <w:pPr>
        <w:spacing w:line="560" w:lineRule="exact"/>
        <w:ind w:left="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（四）向本所报告并协调处理会员发生的技术事故；</w:t>
      </w:r>
    </w:p>
    <w:p>
      <w:pPr>
        <w:spacing w:line="560" w:lineRule="exact"/>
        <w:ind w:left="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（五）协调处理与本所有关的其他技术事务。</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交易及相关系统合规与风险管理制度，为合规管理部门和风险管理部门配备与业务活动规模、复杂程度相适应的信息技术资源，并建立相应的审查、监测和检查机制，确保合规与风险管理覆盖技术系统运用的各个环节。</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会员应当建立交易及相关系统内部检查制度，定期对系统管理制度及执行情况进行自查，包括但不限于系统技术治理、系统合规与风险管理、系统安全与应急管理等。</w:t>
      </w:r>
    </w:p>
    <w:p>
      <w:pPr>
        <w:widowControl/>
        <w:spacing w:line="560" w:lineRule="exact"/>
        <w:ind w:firstLine="6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会员应当建立交易及相关系统安全内部责任制，实行安全事故问责制度，对履职不到位的部门和分支机构进行问责，并采取整改完善措施。</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会员应当按照行业相关标准，建立系统容量和性能指标升级扩容管理制度，使系统建设与业务发展及市场需求相适应，保障交易及相关系统的持续稳定运行。</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会员应当建立数据备份与恢复管理制度，对证券交易中产生的业务数据、系统数据等实行严格的安全保密管理，并及时备份和异地保存。</w:t>
      </w:r>
    </w:p>
    <w:p>
      <w:pPr>
        <w:widowControl/>
        <w:numPr>
          <w:ilvl w:val="0"/>
          <w:numId w:val="3"/>
        </w:numPr>
        <w:spacing w:line="560" w:lineRule="exact"/>
        <w:ind w:left="0" w:firstLine="624"/>
        <w:jc w:val="left"/>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会员应当建立资源投入和人才培养制度</w:t>
      </w:r>
      <w:r>
        <w:rPr>
          <w:rFonts w:hint="eastAsia" w:ascii="仿宋_GB2312" w:hAnsi="ˎ̥" w:eastAsia="仿宋_GB2312" w:cs="宋体"/>
          <w:color w:val="000000"/>
          <w:kern w:val="0"/>
          <w:sz w:val="32"/>
          <w:szCs w:val="32"/>
          <w:highlight w:val="none"/>
          <w:lang w:eastAsia="zh-CN"/>
        </w:rPr>
        <w:t>，</w:t>
      </w:r>
      <w:r>
        <w:rPr>
          <w:rFonts w:hint="eastAsia" w:ascii="仿宋_GB2312" w:hAnsi="ˎ̥" w:eastAsia="仿宋_GB2312" w:cs="宋体"/>
          <w:color w:val="000000"/>
          <w:kern w:val="0"/>
          <w:sz w:val="32"/>
          <w:szCs w:val="32"/>
          <w:highlight w:val="none"/>
        </w:rPr>
        <w:t>根据行业规划和业务发展需要，合理规划交易及相关系统的资源投入与人才队伍建设，保证充足稳定的经费投入和足够的专业技术人员，并加强专业技术人员的培训。</w:t>
      </w:r>
    </w:p>
    <w:p>
      <w:pPr>
        <w:widowControl/>
        <w:numPr>
          <w:ilvl w:val="0"/>
          <w:numId w:val="3"/>
        </w:numPr>
        <w:spacing w:line="560" w:lineRule="exact"/>
        <w:ind w:left="0" w:firstLine="624"/>
        <w:rPr>
          <w:rFonts w:hint="eastAsia" w:ascii="仿宋_GB2312" w:hAnsi="ˎ̥" w:eastAsia="仿宋_GB2312" w:cs="宋体"/>
          <w:b w:val="0"/>
          <w:bCs w:val="0"/>
          <w:color w:val="000000"/>
          <w:kern w:val="0"/>
          <w:sz w:val="32"/>
          <w:szCs w:val="32"/>
          <w:highlight w:val="none"/>
          <w:lang w:eastAsia="zh-CN"/>
        </w:rPr>
      </w:pPr>
      <w:r>
        <w:rPr>
          <w:rFonts w:hint="eastAsia" w:ascii="仿宋_GB2312" w:hAnsi="ˎ̥" w:eastAsia="仿宋_GB2312" w:cs="宋体"/>
          <w:b w:val="0"/>
          <w:bCs w:val="0"/>
          <w:color w:val="000000"/>
          <w:kern w:val="0"/>
          <w:sz w:val="32"/>
          <w:szCs w:val="32"/>
          <w:highlight w:val="none"/>
          <w:lang w:eastAsia="zh-CN"/>
        </w:rPr>
        <w:t>会员</w:t>
      </w:r>
      <w:r>
        <w:rPr>
          <w:rFonts w:hint="eastAsia" w:ascii="仿宋_GB2312" w:hAnsi="ˎ̥" w:eastAsia="仿宋_GB2312" w:cs="宋体"/>
          <w:b w:val="0"/>
          <w:bCs w:val="0"/>
          <w:color w:val="000000"/>
          <w:kern w:val="0"/>
          <w:sz w:val="32"/>
          <w:szCs w:val="32"/>
          <w:highlight w:val="none"/>
          <w:lang w:val="en-US" w:eastAsia="zh-CN"/>
        </w:rPr>
        <w:t>开展</w:t>
      </w:r>
      <w:r>
        <w:rPr>
          <w:rFonts w:hint="eastAsia" w:ascii="仿宋_GB2312" w:hAnsi="ˎ̥" w:eastAsia="仿宋_GB2312" w:cs="宋体"/>
          <w:b w:val="0"/>
          <w:bCs w:val="0"/>
          <w:color w:val="000000"/>
          <w:kern w:val="0"/>
          <w:sz w:val="32"/>
          <w:szCs w:val="32"/>
          <w:highlight w:val="none"/>
          <w:lang w:eastAsia="zh-CN"/>
        </w:rPr>
        <w:t>程序化交易的，应当制定专门的业务管理和合规风控制度，完善程序化交易指令审核和监控系统，防范和控制业务风险。</w:t>
      </w:r>
    </w:p>
    <w:p>
      <w:pPr>
        <w:autoSpaceDE w:val="0"/>
        <w:autoSpaceDN w:val="0"/>
        <w:adjustRightInd w:val="0"/>
        <w:spacing w:line="560" w:lineRule="exact"/>
        <w:jc w:val="center"/>
        <w:rPr>
          <w:rFonts w:ascii="黑体" w:hAnsi="黑体" w:eastAsia="黑体" w:cs="宋体"/>
          <w:b w:val="0"/>
          <w:bCs w:val="0"/>
          <w:color w:val="000000"/>
          <w:spacing w:val="12"/>
          <w:kern w:val="0"/>
          <w:sz w:val="30"/>
          <w:szCs w:val="30"/>
          <w:highlight w:val="none"/>
        </w:rPr>
      </w:pPr>
      <w:r>
        <w:rPr>
          <w:rFonts w:hint="eastAsia" w:ascii="黑体" w:hAnsi="黑体" w:eastAsia="黑体" w:cs="宋体"/>
          <w:b w:val="0"/>
          <w:bCs w:val="0"/>
          <w:color w:val="000000"/>
          <w:spacing w:val="12"/>
          <w:kern w:val="0"/>
          <w:sz w:val="30"/>
          <w:szCs w:val="30"/>
          <w:highlight w:val="none"/>
        </w:rPr>
        <w:t>第三章 系统运维管理</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会员应当根据《上海证券交易所交易及相关系统技术白皮书》相关规定，规划、建设交易及相关系统，根据</w:t>
      </w:r>
      <w:r>
        <w:rPr>
          <w:rFonts w:hint="eastAsia" w:ascii="仿宋_GB2312" w:hAnsi="ˎ̥" w:eastAsia="仿宋_GB2312" w:cs="宋体"/>
          <w:color w:val="000000"/>
          <w:kern w:val="0"/>
          <w:sz w:val="32"/>
          <w:szCs w:val="32"/>
          <w:highlight w:val="none"/>
          <w:lang w:val="en-US" w:eastAsia="zh-CN"/>
        </w:rPr>
        <w:t>技术</w:t>
      </w:r>
      <w:r>
        <w:rPr>
          <w:rFonts w:hint="eastAsia" w:ascii="仿宋_GB2312" w:hAnsi="ˎ̥" w:eastAsia="仿宋_GB2312" w:cs="宋体"/>
          <w:color w:val="000000"/>
          <w:kern w:val="0"/>
          <w:sz w:val="32"/>
          <w:szCs w:val="32"/>
          <w:highlight w:val="none"/>
        </w:rPr>
        <w:t>系统接入与应用管理相关规定，做好交易及相关系统接入、部署、测试、应用、安全管理等工作，</w:t>
      </w:r>
      <w:r>
        <w:rPr>
          <w:rFonts w:ascii="仿宋_GB2312" w:hAnsi="ˎ̥" w:eastAsia="仿宋_GB2312" w:cs="宋体"/>
          <w:color w:val="000000"/>
          <w:kern w:val="0"/>
          <w:sz w:val="32"/>
          <w:szCs w:val="32"/>
          <w:highlight w:val="none"/>
        </w:rPr>
        <w:t>防范系统接入风险</w:t>
      </w:r>
      <w:r>
        <w:rPr>
          <w:rFonts w:hint="eastAsia" w:ascii="仿宋_GB2312" w:hAnsi="ˎ̥" w:eastAsia="仿宋_GB2312" w:cs="宋体"/>
          <w:color w:val="000000"/>
          <w:kern w:val="0"/>
          <w:sz w:val="32"/>
          <w:szCs w:val="32"/>
          <w:highlight w:val="none"/>
        </w:rPr>
        <w:t>。</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会员使用本所或者本所授权机构提供的交易及相关系统服务，应当与本所或者本所授权机构签订协议。</w:t>
      </w:r>
    </w:p>
    <w:p>
      <w:pPr>
        <w:widowControl/>
        <w:numPr>
          <w:ilvl w:val="0"/>
          <w:numId w:val="0"/>
        </w:numPr>
        <w:spacing w:line="560" w:lineRule="exact"/>
        <w:ind w:firstLine="640" w:firstLineChars="200"/>
        <w:jc w:val="left"/>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会员应当按照中国证监会和本所相关业务规则，对交易信息系统外部接入进行管理和监测，并按照本所要求报备相关信息。</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会员建设、运行、维护与本所交易及相关系统的接入终端和网络时，选用的软</w:t>
      </w:r>
      <w:r>
        <w:rPr>
          <w:rFonts w:hint="eastAsia" w:ascii="仿宋_GB2312" w:hAnsi="ˎ̥" w:eastAsia="仿宋_GB2312" w:cs="宋体"/>
          <w:color w:val="000000"/>
          <w:kern w:val="0"/>
          <w:sz w:val="32"/>
          <w:szCs w:val="32"/>
          <w:highlight w:val="none"/>
          <w:lang w:eastAsia="zh-CN"/>
        </w:rPr>
        <w:t>件</w:t>
      </w:r>
      <w:r>
        <w:rPr>
          <w:rFonts w:hint="eastAsia" w:ascii="仿宋_GB2312" w:hAnsi="ˎ̥" w:eastAsia="仿宋_GB2312" w:cs="宋体"/>
          <w:color w:val="000000"/>
          <w:kern w:val="0"/>
          <w:sz w:val="32"/>
          <w:szCs w:val="32"/>
          <w:highlight w:val="none"/>
        </w:rPr>
        <w:t>、硬件应当符合本所或者本所授权机构的要求。</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会员应当按照本所要求及时将交易及相关系统有关资料报送本所并及时更新，向本所报送的资料应当真实、准确、完整。</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会员应当在交易及相关系统与其它系统之间、交易通信网络与其它应用网络之间，采取技术隔离措施，不得将本所通信网络与互联网等公共网络直接互连。</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会员应当建立网络管理系统，对网络进行监控、管理和维护，重要网络设备应当开启日志和审计功能。</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会员应当保障与本所交易及相关系统接口的安全，定期检测接入终端，及时修补系统漏洞，清除存在的病毒及恶意代码。</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会员不得在接入终端上安装、运行未经本所或者本所授权机构认可的应用软件。未经本所或者本所授权机构同意，会员不得在交易时间内通过本所交易及相关系统开展与证券业务无关的活动。</w:t>
      </w:r>
    </w:p>
    <w:p>
      <w:pPr>
        <w:numPr>
          <w:ilvl w:val="0"/>
          <w:numId w:val="3"/>
        </w:numPr>
        <w:spacing w:line="560" w:lineRule="exact"/>
        <w:ind w:left="0" w:firstLine="624"/>
        <w:rPr>
          <w:rFonts w:hint="default" w:ascii="仿宋_GB2312" w:hAnsi="ˎ̥" w:eastAsia="仿宋_GB2312" w:cs="宋体"/>
          <w:color w:val="000000"/>
          <w:kern w:val="0"/>
          <w:sz w:val="32"/>
          <w:szCs w:val="32"/>
          <w:highlight w:val="none"/>
          <w:lang w:val="en-US" w:eastAsia="zh-CN"/>
        </w:rPr>
      </w:pPr>
      <w:r>
        <w:rPr>
          <w:rFonts w:hint="eastAsia" w:ascii="仿宋_GB2312" w:hAnsi="ˎ̥" w:eastAsia="仿宋_GB2312" w:cs="宋体"/>
          <w:color w:val="000000"/>
          <w:kern w:val="0"/>
          <w:sz w:val="32"/>
          <w:szCs w:val="32"/>
          <w:highlight w:val="none"/>
        </w:rPr>
        <w:t>会员应当为用于本所系统接入和行情接收的终端配置备份设备。</w:t>
      </w:r>
    </w:p>
    <w:p>
      <w:pPr>
        <w:numPr>
          <w:ilvl w:val="0"/>
          <w:numId w:val="3"/>
        </w:numPr>
        <w:spacing w:line="560" w:lineRule="exact"/>
        <w:ind w:left="0" w:firstLine="624"/>
        <w:rPr>
          <w:rFonts w:hint="default" w:ascii="仿宋_GB2312" w:hAnsi="ˎ̥" w:eastAsia="仿宋_GB2312" w:cs="宋体"/>
          <w:color w:val="000000"/>
          <w:kern w:val="0"/>
          <w:sz w:val="32"/>
          <w:szCs w:val="32"/>
          <w:highlight w:val="none"/>
          <w:lang w:val="en-US" w:eastAsia="zh-CN"/>
        </w:rPr>
      </w:pPr>
      <w:r>
        <w:rPr>
          <w:rFonts w:hint="eastAsia" w:ascii="仿宋_GB2312" w:hAnsi="ˎ̥" w:eastAsia="仿宋_GB2312" w:cs="宋体"/>
          <w:color w:val="000000"/>
          <w:kern w:val="0"/>
          <w:sz w:val="32"/>
          <w:szCs w:val="32"/>
          <w:highlight w:val="none"/>
        </w:rPr>
        <w:t>会员应当对交易及相关系统进行实时安全监控，及时发现和处理系统技术故障，防范交易风险。</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会员应当在交易及相关系统中实现对相关业务投资者适当性的管理、对交易委托有效性的核查及对客户账户交易权限的管理等功能，确保向本所发送的交易申报符合本所业务规则的要求。</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加强交易及相关系统运维管理，强化交易委托指令有效性核查和系统前端控制功能，确保向本所发送的交易申报符合本所业务规则和系统接口规范的要求，有效控制重复撤单、不可撤单时间内撤单、不接受申报时间内申报等行为，切实维护本所交易系统安全。</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会员应当按照本所要求在交易申报中正确填报营业部代码及其他相关数据。</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除法律法规及中国证监会另有规定外，会员应当通过自身运营管理的信息系统直接接收客户交易指令，并记录客户交易指令接收时间。</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会员应当根据本所相关业务规则的规定，建立健全交易监测监控系统，对客户的交易行为进行监测监控，识别客户的异常交易行为。</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w:t>
      </w:r>
      <w:r>
        <w:rPr>
          <w:rFonts w:ascii="仿宋_GB2312" w:hAnsi="ˎ̥" w:eastAsia="仿宋_GB2312" w:cs="宋体"/>
          <w:color w:val="000000"/>
          <w:kern w:val="0"/>
          <w:sz w:val="32"/>
          <w:szCs w:val="32"/>
          <w:highlight w:val="none"/>
        </w:rPr>
        <w:t>应当按照中国证监会</w:t>
      </w:r>
      <w:r>
        <w:rPr>
          <w:rFonts w:hint="eastAsia" w:ascii="仿宋_GB2312" w:hAnsi="ˎ̥" w:eastAsia="仿宋_GB2312" w:cs="宋体"/>
          <w:color w:val="000000"/>
          <w:kern w:val="0"/>
          <w:sz w:val="32"/>
          <w:szCs w:val="32"/>
          <w:highlight w:val="none"/>
        </w:rPr>
        <w:t>和本所</w:t>
      </w:r>
      <w:r>
        <w:rPr>
          <w:rFonts w:ascii="仿宋_GB2312" w:hAnsi="ˎ̥" w:eastAsia="仿宋_GB2312" w:cs="宋体"/>
          <w:color w:val="000000"/>
          <w:kern w:val="0"/>
          <w:sz w:val="32"/>
          <w:szCs w:val="32"/>
          <w:highlight w:val="none"/>
        </w:rPr>
        <w:t>有关规定采集、记录、存储、报送客户交易终端信息，并采取有效的技术措施，保障相关信息真实、准确、完整。</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会员应当按照本所或者本所授权机构的要求，根据业务发展情况进行系统改造，参加各项业务测试，并及时向本所报告测试结果。</w:t>
      </w:r>
    </w:p>
    <w:p>
      <w:pPr>
        <w:widowControl/>
        <w:spacing w:line="560" w:lineRule="exact"/>
        <w:ind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会员应当建立完整、规范的系统改造和测试操作流程，对系统改造和测试工作的计划、实施及总结应当做出详细的规定。</w:t>
      </w:r>
    </w:p>
    <w:p>
      <w:pPr>
        <w:widowControl/>
        <w:spacing w:line="560" w:lineRule="exact"/>
        <w:ind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会员在进行新业务系统改造和测试过程中，应当加强现有系统日常监控和技术管理工作，保证现有业务正常运行。</w:t>
      </w:r>
    </w:p>
    <w:p>
      <w:pPr>
        <w:widowControl/>
        <w:numPr>
          <w:ilvl w:val="-1"/>
          <w:numId w:val="0"/>
        </w:numPr>
        <w:spacing w:line="560" w:lineRule="exact"/>
        <w:ind w:left="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会员应当积极配合本所市场发展和创新业务，及时完成相应的交易及相关系统调整工作。</w:t>
      </w:r>
    </w:p>
    <w:p>
      <w:pPr>
        <w:widowControl/>
        <w:numPr>
          <w:ilvl w:val="0"/>
          <w:numId w:val="3"/>
        </w:numPr>
        <w:spacing w:line="560" w:lineRule="exact"/>
        <w:ind w:left="0" w:firstLine="624" w:firstLineChars="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会员</w:t>
      </w:r>
      <w:r>
        <w:rPr>
          <w:rFonts w:hint="eastAsia" w:ascii="仿宋_GB2312" w:hAnsi="ˎ̥" w:eastAsia="仿宋_GB2312" w:cs="宋体"/>
          <w:i w:val="0"/>
          <w:iCs w:val="0"/>
          <w:caps w:val="0"/>
          <w:color w:val="000000"/>
          <w:spacing w:val="0"/>
          <w:kern w:val="0"/>
          <w:sz w:val="32"/>
          <w:szCs w:val="32"/>
          <w:highlight w:val="none"/>
          <w:shd w:val="clear"/>
        </w:rPr>
        <w:t>用于程序化交易的技术系统应当具备</w:t>
      </w:r>
      <w:r>
        <w:rPr>
          <w:rFonts w:hint="eastAsia" w:ascii="仿宋_GB2312" w:hAnsi="ˎ̥" w:eastAsia="仿宋_GB2312" w:cs="宋体"/>
          <w:i w:val="0"/>
          <w:iCs w:val="0"/>
          <w:caps w:val="0"/>
          <w:color w:val="000000"/>
          <w:spacing w:val="0"/>
          <w:kern w:val="0"/>
          <w:sz w:val="32"/>
          <w:szCs w:val="32"/>
          <w:highlight w:val="none"/>
          <w:shd w:val="clear"/>
          <w:lang w:val="en-US" w:eastAsia="zh-CN"/>
        </w:rPr>
        <w:t>以下功能，保障</w:t>
      </w:r>
      <w:r>
        <w:rPr>
          <w:rFonts w:hint="eastAsia" w:ascii="仿宋_GB2312" w:hAnsi="ˎ̥" w:eastAsia="仿宋_GB2312" w:cs="宋体"/>
          <w:i w:val="0"/>
          <w:iCs w:val="0"/>
          <w:caps w:val="0"/>
          <w:color w:val="000000"/>
          <w:spacing w:val="0"/>
          <w:kern w:val="0"/>
          <w:sz w:val="32"/>
          <w:szCs w:val="32"/>
          <w:highlight w:val="none"/>
          <w:shd w:val="clear"/>
        </w:rPr>
        <w:t>安全持续稳定运行</w:t>
      </w:r>
      <w:r>
        <w:rPr>
          <w:rFonts w:hint="eastAsia" w:ascii="仿宋_GB2312" w:hAnsi="ˎ̥" w:eastAsia="仿宋_GB2312" w:cs="宋体"/>
          <w:i w:val="0"/>
          <w:iCs w:val="0"/>
          <w:caps w:val="0"/>
          <w:color w:val="000000"/>
          <w:spacing w:val="0"/>
          <w:kern w:val="0"/>
          <w:sz w:val="32"/>
          <w:szCs w:val="32"/>
          <w:highlight w:val="none"/>
          <w:shd w:val="clear"/>
          <w:lang w:val="en-US" w:eastAsia="zh-CN"/>
        </w:rPr>
        <w:t>：</w:t>
      </w:r>
    </w:p>
    <w:p>
      <w:pPr>
        <w:numPr>
          <w:ilvl w:val="0"/>
          <w:numId w:val="4"/>
        </w:numPr>
        <w:spacing w:line="560" w:lineRule="exact"/>
        <w:ind w:left="0" w:firstLine="640" w:firstLineChars="200"/>
        <w:rPr>
          <w:rFonts w:hint="eastAsia" w:ascii="仿宋_GB2312" w:hAnsi="ˎ̥" w:eastAsia="仿宋_GB2312" w:cs="宋体"/>
          <w:i w:val="0"/>
          <w:iCs w:val="0"/>
          <w:caps w:val="0"/>
          <w:color w:val="000000"/>
          <w:spacing w:val="0"/>
          <w:kern w:val="0"/>
          <w:sz w:val="32"/>
          <w:szCs w:val="32"/>
          <w:highlight w:val="none"/>
          <w:shd w:val="clear"/>
        </w:rPr>
      </w:pPr>
      <w:r>
        <w:rPr>
          <w:rFonts w:hint="eastAsia" w:ascii="仿宋_GB2312" w:hAnsi="ˎ̥" w:eastAsia="仿宋_GB2312" w:cs="宋体"/>
          <w:i w:val="0"/>
          <w:iCs w:val="0"/>
          <w:caps w:val="0"/>
          <w:color w:val="000000"/>
          <w:spacing w:val="0"/>
          <w:kern w:val="0"/>
          <w:sz w:val="32"/>
          <w:szCs w:val="32"/>
          <w:highlight w:val="none"/>
          <w:shd w:val="clear"/>
        </w:rPr>
        <w:t>验资验券</w:t>
      </w:r>
      <w:r>
        <w:rPr>
          <w:rFonts w:hint="eastAsia" w:ascii="仿宋_GB2312" w:hAnsi="ˎ̥" w:eastAsia="仿宋_GB2312" w:cs="宋体"/>
          <w:i w:val="0"/>
          <w:iCs w:val="0"/>
          <w:caps w:val="0"/>
          <w:color w:val="000000"/>
          <w:spacing w:val="0"/>
          <w:kern w:val="0"/>
          <w:sz w:val="32"/>
          <w:szCs w:val="32"/>
          <w:highlight w:val="none"/>
          <w:shd w:val="clear"/>
          <w:lang w:eastAsia="zh-CN"/>
        </w:rPr>
        <w:t>。接受程序化交易投资者委托时，能够查验投资资金、证券是否足额，</w:t>
      </w:r>
      <w:r>
        <w:rPr>
          <w:rFonts w:hint="eastAsia" w:ascii="仿宋_GB2312" w:hAnsi="ˎ̥" w:eastAsia="仿宋_GB2312" w:cs="宋体"/>
          <w:color w:val="000000"/>
          <w:kern w:val="0"/>
          <w:sz w:val="32"/>
          <w:szCs w:val="32"/>
          <w:highlight w:val="none"/>
          <w:lang w:val="en-US" w:eastAsia="zh-CN"/>
        </w:rPr>
        <w:t>确保投资者委托符合本所有关规定；</w:t>
      </w:r>
    </w:p>
    <w:p>
      <w:pPr>
        <w:numPr>
          <w:ilvl w:val="0"/>
          <w:numId w:val="4"/>
        </w:numPr>
        <w:spacing w:line="560" w:lineRule="exact"/>
        <w:ind w:left="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i w:val="0"/>
          <w:iCs w:val="0"/>
          <w:caps w:val="0"/>
          <w:color w:val="000000"/>
          <w:spacing w:val="0"/>
          <w:kern w:val="0"/>
          <w:sz w:val="32"/>
          <w:szCs w:val="32"/>
          <w:highlight w:val="none"/>
          <w:shd w:val="clear"/>
        </w:rPr>
        <w:t>权限控制</w:t>
      </w:r>
      <w:r>
        <w:rPr>
          <w:rFonts w:hint="eastAsia" w:ascii="仿宋_GB2312" w:hAnsi="ˎ̥" w:eastAsia="仿宋_GB2312" w:cs="宋体"/>
          <w:i w:val="0"/>
          <w:iCs w:val="0"/>
          <w:caps w:val="0"/>
          <w:color w:val="000000"/>
          <w:spacing w:val="0"/>
          <w:kern w:val="0"/>
          <w:sz w:val="32"/>
          <w:szCs w:val="32"/>
          <w:highlight w:val="none"/>
          <w:shd w:val="clear"/>
          <w:lang w:eastAsia="zh-CN"/>
        </w:rPr>
        <w:t>。具备程序化交易报告权限控制功能，客户未按要求报告或者报告信息不实，经会员督促仍不改正的，能够关闭其交易权限；</w:t>
      </w:r>
    </w:p>
    <w:p>
      <w:pPr>
        <w:numPr>
          <w:ilvl w:val="0"/>
          <w:numId w:val="4"/>
        </w:numPr>
        <w:spacing w:line="560" w:lineRule="exact"/>
        <w:ind w:left="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i w:val="0"/>
          <w:iCs w:val="0"/>
          <w:caps w:val="0"/>
          <w:color w:val="000000"/>
          <w:spacing w:val="0"/>
          <w:kern w:val="0"/>
          <w:sz w:val="32"/>
          <w:szCs w:val="32"/>
          <w:highlight w:val="none"/>
          <w:shd w:val="clear"/>
        </w:rPr>
        <w:t>阈值管理</w:t>
      </w:r>
      <w:r>
        <w:rPr>
          <w:rFonts w:hint="eastAsia" w:ascii="仿宋_GB2312" w:hAnsi="ˎ̥" w:eastAsia="仿宋_GB2312" w:cs="宋体"/>
          <w:i w:val="0"/>
          <w:iCs w:val="0"/>
          <w:caps w:val="0"/>
          <w:color w:val="000000"/>
          <w:spacing w:val="0"/>
          <w:kern w:val="0"/>
          <w:sz w:val="32"/>
          <w:szCs w:val="32"/>
          <w:highlight w:val="none"/>
          <w:shd w:val="clear"/>
          <w:lang w:eastAsia="zh-CN"/>
        </w:rPr>
        <w:t>。能够对程序化交易实行实时监测监控，</w:t>
      </w:r>
      <w:r>
        <w:rPr>
          <w:rFonts w:hint="eastAsia" w:ascii="仿宋_GB2312" w:hAnsi="ˎ̥" w:eastAsia="仿宋_GB2312" w:cs="宋体"/>
          <w:color w:val="000000"/>
          <w:kern w:val="0"/>
          <w:sz w:val="32"/>
          <w:szCs w:val="32"/>
          <w:highlight w:val="none"/>
          <w:lang w:eastAsia="zh-CN"/>
        </w:rPr>
        <w:t>重点关注短时间内申报</w:t>
      </w:r>
      <w:r>
        <w:rPr>
          <w:rFonts w:hint="eastAsia" w:ascii="仿宋_GB2312" w:hAnsi="ˎ̥" w:eastAsia="仿宋_GB2312" w:cs="宋体"/>
          <w:color w:val="000000"/>
          <w:kern w:val="0"/>
          <w:sz w:val="32"/>
          <w:szCs w:val="32"/>
          <w:highlight w:val="none"/>
          <w:lang w:val="en-US" w:eastAsia="zh-CN"/>
        </w:rPr>
        <w:t>与</w:t>
      </w:r>
      <w:r>
        <w:rPr>
          <w:rFonts w:hint="eastAsia" w:ascii="仿宋_GB2312" w:hAnsi="ˎ̥" w:eastAsia="仿宋_GB2312" w:cs="宋体"/>
          <w:color w:val="000000"/>
          <w:kern w:val="0"/>
          <w:sz w:val="32"/>
          <w:szCs w:val="32"/>
          <w:highlight w:val="none"/>
          <w:lang w:eastAsia="zh-CN"/>
        </w:rPr>
        <w:t>撤单的笔数、频率，以及日内申报、撤单的笔数；</w:t>
      </w:r>
    </w:p>
    <w:p>
      <w:pPr>
        <w:numPr>
          <w:ilvl w:val="0"/>
          <w:numId w:val="4"/>
        </w:numPr>
        <w:spacing w:line="560" w:lineRule="exact"/>
        <w:ind w:left="0" w:firstLine="640" w:firstLineChars="200"/>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i w:val="0"/>
          <w:iCs w:val="0"/>
          <w:caps w:val="0"/>
          <w:color w:val="000000"/>
          <w:spacing w:val="0"/>
          <w:kern w:val="0"/>
          <w:sz w:val="32"/>
          <w:szCs w:val="32"/>
          <w:highlight w:val="none"/>
          <w:shd w:val="clear"/>
        </w:rPr>
        <w:t>异常监测</w:t>
      </w:r>
      <w:r>
        <w:rPr>
          <w:rFonts w:hint="eastAsia" w:ascii="仿宋_GB2312" w:hAnsi="ˎ̥" w:eastAsia="仿宋_GB2312" w:cs="宋体"/>
          <w:i w:val="0"/>
          <w:iCs w:val="0"/>
          <w:caps w:val="0"/>
          <w:color w:val="000000"/>
          <w:spacing w:val="0"/>
          <w:kern w:val="0"/>
          <w:sz w:val="32"/>
          <w:szCs w:val="32"/>
          <w:highlight w:val="none"/>
          <w:shd w:val="clear"/>
          <w:lang w:eastAsia="zh-CN"/>
        </w:rPr>
        <w:t xml:space="preserve">。具备客户程序化交易行为监控功能，能够及时识别、管理和报告客户涉嫌异常交易的行为； </w:t>
      </w:r>
    </w:p>
    <w:p>
      <w:pPr>
        <w:numPr>
          <w:ilvl w:val="0"/>
          <w:numId w:val="4"/>
        </w:numPr>
        <w:spacing w:line="560" w:lineRule="exact"/>
        <w:ind w:left="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i w:val="0"/>
          <w:iCs w:val="0"/>
          <w:caps w:val="0"/>
          <w:color w:val="000000"/>
          <w:spacing w:val="0"/>
          <w:kern w:val="0"/>
          <w:sz w:val="32"/>
          <w:szCs w:val="32"/>
          <w:highlight w:val="none"/>
          <w:shd w:val="clear"/>
        </w:rPr>
        <w:t>错误处理</w:t>
      </w:r>
      <w:r>
        <w:rPr>
          <w:rFonts w:hint="eastAsia" w:ascii="仿宋_GB2312" w:hAnsi="ˎ̥" w:eastAsia="仿宋_GB2312" w:cs="宋体"/>
          <w:i w:val="0"/>
          <w:iCs w:val="0"/>
          <w:caps w:val="0"/>
          <w:color w:val="000000"/>
          <w:spacing w:val="0"/>
          <w:kern w:val="0"/>
          <w:sz w:val="32"/>
          <w:szCs w:val="32"/>
          <w:highlight w:val="none"/>
          <w:shd w:val="clear"/>
          <w:lang w:eastAsia="zh-CN"/>
        </w:rPr>
        <w:t>。用于程序化交易的</w:t>
      </w:r>
      <w:r>
        <w:rPr>
          <w:rFonts w:hint="eastAsia" w:ascii="仿宋_GB2312" w:hAnsi="ˎ̥" w:eastAsia="仿宋_GB2312" w:cs="宋体"/>
          <w:color w:val="000000"/>
          <w:kern w:val="0"/>
          <w:sz w:val="32"/>
          <w:szCs w:val="32"/>
          <w:highlight w:val="none"/>
        </w:rPr>
        <w:t>技术系统出现重大故障时，能够采取暂停交易、撤销委托、系统隔离等措施</w:t>
      </w:r>
      <w:r>
        <w:rPr>
          <w:rFonts w:hint="eastAsia" w:ascii="仿宋_GB2312" w:hAnsi="ˎ̥" w:eastAsia="仿宋_GB2312" w:cs="宋体"/>
          <w:color w:val="000000"/>
          <w:kern w:val="0"/>
          <w:sz w:val="32"/>
          <w:szCs w:val="32"/>
          <w:highlight w:val="none"/>
          <w:lang w:eastAsia="zh-CN"/>
        </w:rPr>
        <w:t>；</w:t>
      </w:r>
    </w:p>
    <w:p>
      <w:pPr>
        <w:widowControl/>
        <w:numPr>
          <w:ilvl w:val="0"/>
          <w:numId w:val="4"/>
        </w:numPr>
        <w:spacing w:line="560" w:lineRule="exact"/>
        <w:ind w:left="0" w:leftChars="0" w:firstLine="640" w:firstLineChars="200"/>
        <w:rPr>
          <w:rFonts w:hint="default" w:ascii="仿宋_GB2312" w:hAnsi="ˎ̥" w:eastAsia="仿宋_GB2312" w:cs="宋体"/>
          <w:color w:val="000000"/>
          <w:kern w:val="0"/>
          <w:sz w:val="32"/>
          <w:szCs w:val="32"/>
          <w:highlight w:val="none"/>
          <w:lang w:val="en-US"/>
        </w:rPr>
      </w:pPr>
      <w:r>
        <w:rPr>
          <w:rFonts w:hint="eastAsia" w:ascii="仿宋_GB2312" w:hAnsi="ˎ̥" w:eastAsia="仿宋_GB2312" w:cs="宋体"/>
          <w:color w:val="000000"/>
          <w:kern w:val="0"/>
          <w:sz w:val="32"/>
          <w:szCs w:val="32"/>
          <w:highlight w:val="none"/>
          <w:lang w:val="en-US" w:eastAsia="zh-CN"/>
        </w:rPr>
        <w:t>应急处置。会员及其客户开展程序化交易发生异常时，能够根据前期制定的应急预案及时采取相关措施。</w:t>
      </w:r>
    </w:p>
    <w:p>
      <w:pPr>
        <w:widowControl/>
        <w:numPr>
          <w:ilvl w:val="-1"/>
          <w:numId w:val="0"/>
        </w:numPr>
        <w:spacing w:line="560" w:lineRule="exact"/>
        <w:ind w:left="0" w:firstLine="640" w:firstLineChars="200"/>
        <w:rPr>
          <w:rFonts w:hint="eastAsia"/>
          <w:highlight w:val="none"/>
        </w:rPr>
      </w:pPr>
      <w:r>
        <w:rPr>
          <w:rFonts w:hint="default" w:ascii="仿宋_GB2312" w:hAnsi="ˎ̥" w:eastAsia="仿宋_GB2312" w:cs="宋体"/>
          <w:color w:val="000000"/>
          <w:kern w:val="0"/>
          <w:sz w:val="32"/>
          <w:szCs w:val="32"/>
          <w:highlight w:val="none"/>
          <w:lang w:val="en-US"/>
        </w:rPr>
        <w:t>会员应当每季度对</w:t>
      </w:r>
      <w:r>
        <w:rPr>
          <w:rFonts w:hint="eastAsia" w:ascii="仿宋_GB2312" w:hAnsi="ˎ̥" w:eastAsia="仿宋_GB2312" w:cs="宋体"/>
          <w:i w:val="0"/>
          <w:iCs w:val="0"/>
          <w:caps w:val="0"/>
          <w:color w:val="000000"/>
          <w:spacing w:val="0"/>
          <w:kern w:val="0"/>
          <w:sz w:val="32"/>
          <w:szCs w:val="32"/>
          <w:highlight w:val="none"/>
          <w:shd w:val="clear"/>
        </w:rPr>
        <w:t>用于程序化交易的技术系统</w:t>
      </w:r>
      <w:r>
        <w:rPr>
          <w:rFonts w:hint="default" w:ascii="仿宋_GB2312" w:hAnsi="ˎ̥" w:eastAsia="仿宋_GB2312" w:cs="宋体"/>
          <w:color w:val="000000"/>
          <w:kern w:val="0"/>
          <w:sz w:val="32"/>
          <w:szCs w:val="32"/>
          <w:highlight w:val="none"/>
          <w:lang w:val="en-US"/>
        </w:rPr>
        <w:t>开展验证测试和风险评估，</w:t>
      </w:r>
      <w:r>
        <w:rPr>
          <w:rFonts w:hint="eastAsia" w:ascii="仿宋_GB2312" w:hAnsi="ˎ̥" w:eastAsia="仿宋_GB2312" w:cs="宋体"/>
          <w:color w:val="000000"/>
          <w:kern w:val="0"/>
          <w:sz w:val="32"/>
          <w:szCs w:val="32"/>
          <w:highlight w:val="none"/>
          <w:lang w:val="en-US" w:eastAsia="zh-CN"/>
        </w:rPr>
        <w:t>确保系统相关功能稳定运行，</w:t>
      </w:r>
      <w:r>
        <w:rPr>
          <w:rFonts w:hint="default" w:ascii="仿宋_GB2312" w:hAnsi="ˎ̥" w:eastAsia="仿宋_GB2312" w:cs="宋体"/>
          <w:color w:val="000000"/>
          <w:kern w:val="0"/>
          <w:sz w:val="32"/>
          <w:szCs w:val="32"/>
          <w:highlight w:val="none"/>
          <w:lang w:val="en-US"/>
        </w:rPr>
        <w:t>相关测试记录和评估结果保存时间不少于五年。</w:t>
      </w:r>
    </w:p>
    <w:p>
      <w:pPr>
        <w:widowControl/>
        <w:spacing w:line="560" w:lineRule="exact"/>
        <w:jc w:val="center"/>
        <w:rPr>
          <w:rFonts w:ascii="黑体" w:hAnsi="黑体" w:eastAsia="黑体" w:cs="宋体"/>
          <w:b w:val="0"/>
          <w:bCs w:val="0"/>
          <w:color w:val="000000"/>
          <w:spacing w:val="12"/>
          <w:kern w:val="0"/>
          <w:sz w:val="30"/>
          <w:szCs w:val="30"/>
          <w:highlight w:val="none"/>
        </w:rPr>
      </w:pPr>
      <w:r>
        <w:rPr>
          <w:rFonts w:hint="eastAsia" w:ascii="黑体" w:hAnsi="黑体" w:eastAsia="黑体" w:cs="宋体"/>
          <w:b w:val="0"/>
          <w:bCs w:val="0"/>
          <w:color w:val="000000"/>
          <w:spacing w:val="12"/>
          <w:kern w:val="0"/>
          <w:sz w:val="30"/>
          <w:szCs w:val="30"/>
          <w:highlight w:val="none"/>
        </w:rPr>
        <w:t>第四章 系统安全与应急管理</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会员应当建立交易及相关系统安全与应急管理的组织架构，制定应急预案，组织应急演练，具备完善的系统安全防护措施，根据中国证监会和本所要求稳妥处置交易及相关系统安全事件。</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会员应当按照行业相关安全等级保护测评要求，对交易及相关系统安全等级保护状况进行安全测试和评估。</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会员应当建立灾难备份中心，并与中心机房保持足够的安全距离。</w:t>
      </w:r>
    </w:p>
    <w:p>
      <w:pPr>
        <w:widowControl/>
        <w:spacing w:line="560" w:lineRule="exact"/>
        <w:ind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灾难备份中心与本所的通信连接应当符合本所或者本所授权机构的接入管理要求和技术标准。</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制定并持续完善应急预案，包括应急管理建设目标、备份信息系统建设和恢复机制、备份数据恢复机制、业务恢复或替代措施、应急联系方式、与客户沟通方式、向监管部门及有关单位的报告路径、应急预案披露与更新机制等内容。</w:t>
      </w:r>
    </w:p>
    <w:p>
      <w:pPr>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会员应当定期组织应急演练，积极参加本所组织的应急演练，根据本所要求及时报告演练情况，并进行评估和改进。</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会员交易及相关系统发生无法正常交易或其他影响正常交易的技术事故时，应当根据中国证监会《证券期货业信息安全事件报告与调查处理办法》的规定,立即报告本所，并在5个工作日内向本所提交书面报告。</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会员发生技术事故时，应当立即启动应急预案进行处置，并做好投资者的解释和安抚工作，防止发生群体性事件。</w:t>
      </w:r>
    </w:p>
    <w:p>
      <w:pPr>
        <w:widowControl/>
        <w:spacing w:line="560" w:lineRule="exact"/>
        <w:jc w:val="center"/>
        <w:rPr>
          <w:rFonts w:ascii="黑体" w:hAnsi="黑体" w:eastAsia="黑体" w:cs="宋体"/>
          <w:b w:val="0"/>
          <w:bCs w:val="0"/>
          <w:color w:val="000000"/>
          <w:spacing w:val="12"/>
          <w:kern w:val="0"/>
          <w:sz w:val="30"/>
          <w:szCs w:val="30"/>
          <w:highlight w:val="none"/>
        </w:rPr>
      </w:pPr>
      <w:r>
        <w:rPr>
          <w:rFonts w:hint="eastAsia" w:ascii="黑体" w:hAnsi="黑体" w:eastAsia="黑体" w:cs="宋体"/>
          <w:b w:val="0"/>
          <w:bCs w:val="0"/>
          <w:color w:val="000000"/>
          <w:spacing w:val="12"/>
          <w:kern w:val="0"/>
          <w:sz w:val="30"/>
          <w:szCs w:val="30"/>
          <w:highlight w:val="none"/>
        </w:rPr>
        <w:t>第五章 监督检查</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本所可以根据监管需要，采用现场和非现场的方式对会员执行本指引的情况进行监督检查。会员应当予以配合，如实提供有关文件、资料，不得拒绝、阻碍或隐瞒。</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会员违反本所相关规定发生较大技术事故或存在其他违反本指引的情形，本所可以视情节轻重采取相关监管措施或纪律处分。</w:t>
      </w:r>
    </w:p>
    <w:p>
      <w:pPr>
        <w:widowControl/>
        <w:spacing w:line="560" w:lineRule="exact"/>
        <w:jc w:val="center"/>
        <w:rPr>
          <w:rFonts w:ascii="黑体" w:hAnsi="黑体" w:eastAsia="黑体" w:cs="宋体"/>
          <w:b w:val="0"/>
          <w:bCs w:val="0"/>
          <w:color w:val="000000"/>
          <w:spacing w:val="12"/>
          <w:kern w:val="0"/>
          <w:sz w:val="30"/>
          <w:szCs w:val="30"/>
          <w:highlight w:val="none"/>
        </w:rPr>
      </w:pPr>
      <w:r>
        <w:rPr>
          <w:rFonts w:hint="eastAsia" w:ascii="黑体" w:hAnsi="黑体" w:eastAsia="黑体" w:cs="宋体"/>
          <w:b w:val="0"/>
          <w:bCs w:val="0"/>
          <w:color w:val="000000"/>
          <w:spacing w:val="12"/>
          <w:kern w:val="0"/>
          <w:sz w:val="30"/>
          <w:szCs w:val="30"/>
          <w:highlight w:val="none"/>
        </w:rPr>
        <w:t>第六章 附 则</w:t>
      </w:r>
    </w:p>
    <w:p>
      <w:pPr>
        <w:widowControl/>
        <w:numPr>
          <w:ilvl w:val="0"/>
          <w:numId w:val="3"/>
        </w:numPr>
        <w:spacing w:line="560" w:lineRule="exact"/>
        <w:ind w:left="0" w:firstLine="624"/>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本指引由本所负责解释。</w:t>
      </w:r>
    </w:p>
    <w:p>
      <w:pPr>
        <w:widowControl/>
        <w:numPr>
          <w:ilvl w:val="0"/>
          <w:numId w:val="3"/>
        </w:numPr>
        <w:spacing w:line="560" w:lineRule="exact"/>
        <w:ind w:left="0" w:firstLine="640" w:firstLineChars="200"/>
        <w:rPr>
          <w:rFonts w:hint="default" w:ascii="Times New Roman" w:eastAsia="仿宋_GB2312"/>
          <w:b/>
          <w:bCs/>
          <w:color w:val="000000"/>
          <w:sz w:val="32"/>
          <w:szCs w:val="32"/>
          <w:highlight w:val="none"/>
        </w:rPr>
      </w:pPr>
      <w:r>
        <w:rPr>
          <w:rFonts w:hint="default" w:ascii="Times New Roman" w:hAnsi="Times New Roman" w:eastAsia="仿宋_GB2312" w:cs="Times New Roman"/>
          <w:color w:val="000000"/>
          <w:kern w:val="0"/>
          <w:sz w:val="32"/>
          <w:szCs w:val="32"/>
          <w:highlight w:val="none"/>
        </w:rPr>
        <w:t>本指引自发布之日起施行，</w:t>
      </w:r>
      <w:r>
        <w:rPr>
          <w:rFonts w:hint="default" w:ascii="Times New Roman" w:hAnsi="Times New Roman" w:eastAsia="仿宋_GB2312" w:cs="Times New Roman"/>
          <w:color w:val="000000"/>
          <w:kern w:val="0"/>
          <w:sz w:val="32"/>
          <w:szCs w:val="32"/>
          <w:highlight w:val="none"/>
          <w:lang w:eastAsia="zh-CN"/>
        </w:rPr>
        <w:t>本所于</w:t>
      </w:r>
      <w:r>
        <w:rPr>
          <w:rFonts w:hint="default" w:ascii="Times New Roman" w:hAnsi="Times New Roman" w:eastAsia="仿宋_GB2312" w:cs="Times New Roman"/>
          <w:color w:val="000000"/>
          <w:kern w:val="0"/>
          <w:sz w:val="32"/>
          <w:szCs w:val="32"/>
          <w:highlight w:val="none"/>
          <w:lang w:val="en-US" w:eastAsia="zh-CN"/>
        </w:rPr>
        <w:t>2020年10月23日发布的</w:t>
      </w:r>
      <w:r>
        <w:rPr>
          <w:rFonts w:hint="default" w:ascii="Times New Roman" w:hAnsi="Times New Roman" w:eastAsia="仿宋_GB2312" w:cs="Times New Roman"/>
          <w:color w:val="000000"/>
          <w:kern w:val="0"/>
          <w:sz w:val="32"/>
          <w:szCs w:val="32"/>
          <w:highlight w:val="none"/>
        </w:rPr>
        <w:t>《上海证券交易所会员管理规则适用指引第1号—会员交易及相关系统管理》（上证发〔2020〕80号）同时废止。</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00000000000000000"/>
    <w:charset w:val="86"/>
    <w:family w:val="modern"/>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ClassGarmnd BT">
    <w:altName w:val="Times New Roman"/>
    <w:panose1 w:val="00000000000000000000"/>
    <w:charset w:val="00"/>
    <w:family w:val="roman"/>
    <w:pitch w:val="default"/>
    <w:sig w:usb0="00000000" w:usb1="00000000" w:usb2="00000000" w:usb3="00000000" w:csb0="00000000" w:csb1="00000000"/>
  </w:font>
  <w:font w:name="汉仪中等线简">
    <w:altName w:val="宋体"/>
    <w:panose1 w:val="02010600000101010101"/>
    <w:charset w:val="86"/>
    <w:family w:val="modern"/>
    <w:pitch w:val="default"/>
    <w:sig w:usb0="00000000" w:usb1="00000000" w:usb2="00000002"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rutiger 45 Light">
    <w:altName w:val="Segoe Print"/>
    <w:panose1 w:val="00000000000000000000"/>
    <w:charset w:val="01"/>
    <w:family w:val="auto"/>
    <w:pitch w:val="default"/>
    <w:sig w:usb0="00000000" w:usb1="00000000" w:usb2="00000000" w:usb3="00000000" w:csb0="00000193"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Univers">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altName w:val="宋体"/>
    <w:panose1 w:val="02010600030101010101"/>
    <w:charset w:val="86"/>
    <w:family w:val="roman"/>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2"/>
        <w:rFonts w:hint="eastAsia"/>
      </w:rPr>
    </w:pPr>
  </w:p>
  <w:p>
    <w:pPr>
      <w:pStyle w:val="18"/>
      <w:jc w:val="left"/>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ascii="仿宋_GB2312" w:eastAsia="仿宋_GB2312"/>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p>
  <w:p>
    <w:pPr>
      <w:pStyle w:val="18"/>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6</w:t>
    </w:r>
    <w:r>
      <w:rPr>
        <w:sz w:val="28"/>
      </w:rPr>
      <w:fldChar w:fldCharType="end"/>
    </w:r>
    <w:r>
      <w:rPr>
        <w:rFonts w:hint="eastAsia" w:ascii="仿宋_GB2312" w:eastAsia="仿宋_GB2312"/>
        <w:bCs/>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05"/>
      <w:lvlText w:val="%1."/>
      <w:lvlJc w:val="left"/>
      <w:pPr>
        <w:tabs>
          <w:tab w:val="left" w:pos="567"/>
        </w:tabs>
        <w:ind w:left="567" w:hanging="567"/>
      </w:pPr>
      <w:rPr>
        <w:rFonts w:ascii="Times New Roman" w:hAnsi="Times New Roman" w:cs="Times New Roman"/>
        <w:color w:val="000000"/>
        <w:sz w:val="24"/>
        <w:szCs w:val="24"/>
      </w:rPr>
    </w:lvl>
    <w:lvl w:ilvl="1" w:tentative="0">
      <w:start w:val="1"/>
      <w:numFmt w:val="decimal"/>
      <w:lvlText w:val="%1.%2."/>
      <w:lvlJc w:val="left"/>
      <w:pPr>
        <w:tabs>
          <w:tab w:val="left" w:pos="851"/>
        </w:tabs>
        <w:ind w:left="851" w:hanging="851"/>
      </w:pPr>
      <w:rPr>
        <w:rFonts w:ascii="Times New Roman" w:hAnsi="Times New Roman" w:cs="Times New Roman"/>
        <w:color w:val="000000"/>
        <w:sz w:val="24"/>
        <w:szCs w:val="24"/>
      </w:rPr>
    </w:lvl>
    <w:lvl w:ilvl="2" w:tentative="0">
      <w:start w:val="1"/>
      <w:numFmt w:val="decimal"/>
      <w:lvlText w:val="%1.%2.%3."/>
      <w:lvlJc w:val="left"/>
      <w:pPr>
        <w:tabs>
          <w:tab w:val="left" w:pos="1134"/>
        </w:tabs>
        <w:ind w:left="1134" w:hanging="1134"/>
      </w:pPr>
      <w:rPr>
        <w:rFonts w:ascii="Times New Roman" w:hAnsi="Times New Roman" w:cs="Times New Roman"/>
        <w:color w:val="000000"/>
        <w:sz w:val="24"/>
        <w:szCs w:val="24"/>
      </w:rPr>
    </w:lvl>
    <w:lvl w:ilvl="3" w:tentative="0">
      <w:start w:val="1"/>
      <w:numFmt w:val="decimal"/>
      <w:lvlText w:val="%1.%2.%3.%4."/>
      <w:lvlJc w:val="left"/>
      <w:pPr>
        <w:tabs>
          <w:tab w:val="left" w:pos="1418"/>
        </w:tabs>
        <w:ind w:left="1418" w:hanging="1418"/>
      </w:pPr>
      <w:rPr>
        <w:rFonts w:ascii="Times New Roman" w:hAnsi="Times New Roman" w:cs="Times New Roman"/>
        <w:color w:val="000000"/>
        <w:sz w:val="24"/>
        <w:szCs w:val="24"/>
      </w:rPr>
    </w:lvl>
    <w:lvl w:ilvl="4" w:tentative="0">
      <w:start w:val="1"/>
      <w:numFmt w:val="decimal"/>
      <w:lvlText w:val="%1.%2.%3.%4.%5."/>
      <w:lvlJc w:val="left"/>
      <w:pPr>
        <w:tabs>
          <w:tab w:val="left" w:pos="1701"/>
        </w:tabs>
        <w:ind w:left="1701" w:hanging="1701"/>
      </w:pPr>
      <w:rPr>
        <w:rFonts w:ascii="Times New Roman" w:hAnsi="Times New Roman" w:cs="Times New Roman"/>
        <w:color w:val="000000"/>
        <w:sz w:val="24"/>
        <w:szCs w:val="24"/>
      </w:rPr>
    </w:lvl>
    <w:lvl w:ilvl="5" w:tentative="0">
      <w:start w:val="1"/>
      <w:numFmt w:val="decimal"/>
      <w:lvlText w:val="%1.%2.%3.%4.%5.%6."/>
      <w:lvlJc w:val="left"/>
      <w:pPr>
        <w:tabs>
          <w:tab w:val="left" w:pos="1985"/>
        </w:tabs>
        <w:ind w:left="1985" w:hanging="1985"/>
      </w:pPr>
      <w:rPr>
        <w:rFonts w:ascii="Times New Roman" w:hAnsi="Times New Roman" w:cs="Times New Roman"/>
        <w:color w:val="000000"/>
        <w:sz w:val="24"/>
        <w:szCs w:val="24"/>
      </w:rPr>
    </w:lvl>
    <w:lvl w:ilvl="6" w:tentative="0">
      <w:start w:val="1"/>
      <w:numFmt w:val="decimal"/>
      <w:lvlText w:val="%1.%2.%3.%4.%5.%6.%7."/>
      <w:lvlJc w:val="left"/>
      <w:pPr>
        <w:tabs>
          <w:tab w:val="left" w:pos="2268"/>
        </w:tabs>
        <w:ind w:left="2268" w:hanging="2268"/>
      </w:pPr>
      <w:rPr>
        <w:rFonts w:ascii="Times New Roman" w:hAnsi="Times New Roman" w:cs="Times New Roman"/>
        <w:color w:val="000000"/>
        <w:sz w:val="24"/>
        <w:szCs w:val="24"/>
      </w:rPr>
    </w:lvl>
    <w:lvl w:ilvl="7" w:tentative="0">
      <w:start w:val="1"/>
      <w:numFmt w:val="decimal"/>
      <w:lvlText w:val="%1.%2.%3.%4.%5.%6.%7.%8."/>
      <w:lvlJc w:val="left"/>
      <w:pPr>
        <w:tabs>
          <w:tab w:val="left" w:pos="2552"/>
        </w:tabs>
        <w:ind w:left="2552" w:hanging="2552"/>
      </w:pPr>
      <w:rPr>
        <w:rFonts w:ascii="Times New Roman" w:hAnsi="Times New Roman" w:cs="Times New Roman"/>
        <w:color w:val="000000"/>
        <w:sz w:val="24"/>
        <w:szCs w:val="24"/>
      </w:rPr>
    </w:lvl>
    <w:lvl w:ilvl="8" w:tentative="0">
      <w:start w:val="1"/>
      <w:numFmt w:val="decimal"/>
      <w:lvlText w:val="%1.%2.%3.%4.%5.%6.%7.%8.%9."/>
      <w:lvlJc w:val="left"/>
      <w:pPr>
        <w:tabs>
          <w:tab w:val="left" w:pos="2835"/>
        </w:tabs>
        <w:ind w:left="2835" w:hanging="2835"/>
      </w:pPr>
      <w:rPr>
        <w:rFonts w:hint="default" w:ascii="Univers" w:hAnsi="Univers" w:cs="Times New Roman"/>
        <w:sz w:val="24"/>
      </w:rPr>
    </w:lvl>
  </w:abstractNum>
  <w:abstractNum w:abstractNumId="1">
    <w:nsid w:val="0F9E2CEF"/>
    <w:multiLevelType w:val="singleLevel"/>
    <w:tmpl w:val="0F9E2CEF"/>
    <w:lvl w:ilvl="0" w:tentative="0">
      <w:start w:val="1"/>
      <w:numFmt w:val="chineseCounting"/>
      <w:suff w:val="nothing"/>
      <w:lvlText w:val="（%1）"/>
      <w:lvlJc w:val="left"/>
      <w:rPr>
        <w:rFonts w:hint="eastAsia"/>
      </w:rPr>
    </w:lvl>
  </w:abstractNum>
  <w:abstractNum w:abstractNumId="2">
    <w:nsid w:val="5EA656DE"/>
    <w:multiLevelType w:val="multilevel"/>
    <w:tmpl w:val="5EA656DE"/>
    <w:lvl w:ilvl="0" w:tentative="0">
      <w:start w:val="1"/>
      <w:numFmt w:val="japaneseCounting"/>
      <w:pStyle w:val="90"/>
      <w:lvlText w:val="第%1条"/>
      <w:lvlJc w:val="left"/>
      <w:pPr>
        <w:ind w:left="3045" w:hanging="420"/>
      </w:pPr>
      <w:rPr>
        <w:rFonts w:hint="eastAsia" w:ascii="仿宋_GB2312" w:eastAsia="仿宋_GB2312" w:cs="Times New Roman"/>
        <w:b/>
        <w:sz w:val="30"/>
        <w:szCs w:val="30"/>
      </w:rPr>
    </w:lvl>
    <w:lvl w:ilvl="1" w:tentative="0">
      <w:start w:val="1"/>
      <w:numFmt w:val="chineseCountingThousand"/>
      <w:lvlText w:val="第%2条"/>
      <w:lvlJc w:val="left"/>
      <w:pPr>
        <w:tabs>
          <w:tab w:val="left" w:pos="3856"/>
        </w:tabs>
        <w:ind w:left="1928" w:firstLine="567"/>
      </w:pPr>
      <w:rPr>
        <w:rFonts w:hint="eastAsia" w:ascii="仿宋_GB2312" w:eastAsia="仿宋_GB2312" w:cs="Times New Roman"/>
        <w:b w:val="0"/>
        <w:i w:val="0"/>
        <w:strike w:val="0"/>
        <w:dstrike w:val="0"/>
        <w:spacing w:val="0"/>
        <w:w w:val="100"/>
        <w:kern w:val="0"/>
        <w:position w:val="0"/>
        <w:sz w:val="32"/>
        <w:szCs w:val="32"/>
        <w:u w:val="none"/>
      </w:rPr>
    </w:lvl>
    <w:lvl w:ilvl="2" w:tentative="0">
      <w:start w:val="1"/>
      <w:numFmt w:val="decimal"/>
      <w:lvlText w:val="%3."/>
      <w:lvlJc w:val="left"/>
      <w:pPr>
        <w:tabs>
          <w:tab w:val="left" w:pos="3595"/>
        </w:tabs>
        <w:ind w:left="3595" w:hanging="360"/>
      </w:pPr>
      <w:rPr>
        <w:rFonts w:cs="Times New Roman"/>
      </w:rPr>
    </w:lvl>
    <w:lvl w:ilvl="3" w:tentative="0">
      <w:start w:val="1"/>
      <w:numFmt w:val="decimal"/>
      <w:lvlText w:val="%4."/>
      <w:lvlJc w:val="left"/>
      <w:pPr>
        <w:tabs>
          <w:tab w:val="left" w:pos="4315"/>
        </w:tabs>
        <w:ind w:left="4315" w:hanging="360"/>
      </w:pPr>
      <w:rPr>
        <w:rFonts w:cs="Times New Roman"/>
      </w:rPr>
    </w:lvl>
    <w:lvl w:ilvl="4" w:tentative="0">
      <w:start w:val="1"/>
      <w:numFmt w:val="decimal"/>
      <w:lvlText w:val="%5."/>
      <w:lvlJc w:val="left"/>
      <w:pPr>
        <w:tabs>
          <w:tab w:val="left" w:pos="5035"/>
        </w:tabs>
        <w:ind w:left="5035" w:hanging="360"/>
      </w:pPr>
      <w:rPr>
        <w:rFonts w:cs="Times New Roman"/>
      </w:rPr>
    </w:lvl>
    <w:lvl w:ilvl="5" w:tentative="0">
      <w:start w:val="1"/>
      <w:numFmt w:val="decimal"/>
      <w:lvlText w:val="%6."/>
      <w:lvlJc w:val="left"/>
      <w:pPr>
        <w:tabs>
          <w:tab w:val="left" w:pos="5755"/>
        </w:tabs>
        <w:ind w:left="5755" w:hanging="360"/>
      </w:pPr>
      <w:rPr>
        <w:rFonts w:cs="Times New Roman"/>
      </w:rPr>
    </w:lvl>
    <w:lvl w:ilvl="6" w:tentative="0">
      <w:start w:val="1"/>
      <w:numFmt w:val="decimal"/>
      <w:lvlText w:val="%7."/>
      <w:lvlJc w:val="left"/>
      <w:pPr>
        <w:tabs>
          <w:tab w:val="left" w:pos="6475"/>
        </w:tabs>
        <w:ind w:left="6475" w:hanging="360"/>
      </w:pPr>
      <w:rPr>
        <w:rFonts w:cs="Times New Roman"/>
      </w:rPr>
    </w:lvl>
    <w:lvl w:ilvl="7" w:tentative="0">
      <w:start w:val="1"/>
      <w:numFmt w:val="decimal"/>
      <w:lvlText w:val="%8."/>
      <w:lvlJc w:val="left"/>
      <w:pPr>
        <w:tabs>
          <w:tab w:val="left" w:pos="7195"/>
        </w:tabs>
        <w:ind w:left="7195" w:hanging="360"/>
      </w:pPr>
      <w:rPr>
        <w:rFonts w:cs="Times New Roman"/>
      </w:rPr>
    </w:lvl>
    <w:lvl w:ilvl="8" w:tentative="0">
      <w:start w:val="1"/>
      <w:numFmt w:val="decimal"/>
      <w:lvlText w:val="%9."/>
      <w:lvlJc w:val="left"/>
      <w:pPr>
        <w:tabs>
          <w:tab w:val="left" w:pos="7915"/>
        </w:tabs>
        <w:ind w:left="7915" w:hanging="360"/>
      </w:pPr>
      <w:rPr>
        <w:rFonts w:cs="Times New Roman"/>
      </w:rPr>
    </w:lvl>
  </w:abstractNum>
  <w:abstractNum w:abstractNumId="3">
    <w:nsid w:val="6BA45391"/>
    <w:multiLevelType w:val="multilevel"/>
    <w:tmpl w:val="6BA45391"/>
    <w:lvl w:ilvl="0" w:tentative="0">
      <w:start w:val="1"/>
      <w:numFmt w:val="japaneseCounting"/>
      <w:lvlText w:val="第%1条"/>
      <w:lvlJc w:val="left"/>
      <w:pPr>
        <w:ind w:left="1617" w:hanging="1050"/>
      </w:pPr>
      <w:rPr>
        <w:rFonts w:hint="eastAsia" w:ascii="仿宋_GB2312" w:eastAsia="仿宋_GB2312"/>
        <w:b w:val="0"/>
        <w:bCs/>
        <w:sz w:val="32"/>
        <w:szCs w:val="32"/>
        <w:lang w:val="en-US"/>
      </w:rPr>
    </w:lvl>
    <w:lvl w:ilvl="1" w:tentative="0">
      <w:start w:val="1"/>
      <w:numFmt w:val="lowerLetter"/>
      <w:lvlText w:val="%2)"/>
      <w:lvlJc w:val="left"/>
      <w:pPr>
        <w:ind w:left="-5823" w:hanging="420"/>
      </w:pPr>
    </w:lvl>
    <w:lvl w:ilvl="2" w:tentative="0">
      <w:start w:val="1"/>
      <w:numFmt w:val="lowerRoman"/>
      <w:lvlText w:val="%3."/>
      <w:lvlJc w:val="right"/>
      <w:pPr>
        <w:ind w:left="-5403" w:hanging="420"/>
      </w:pPr>
    </w:lvl>
    <w:lvl w:ilvl="3" w:tentative="0">
      <w:start w:val="1"/>
      <w:numFmt w:val="decimal"/>
      <w:lvlText w:val="%4."/>
      <w:lvlJc w:val="left"/>
      <w:pPr>
        <w:ind w:left="-4983" w:hanging="420"/>
      </w:pPr>
    </w:lvl>
    <w:lvl w:ilvl="4" w:tentative="0">
      <w:start w:val="1"/>
      <w:numFmt w:val="lowerLetter"/>
      <w:lvlText w:val="%5)"/>
      <w:lvlJc w:val="left"/>
      <w:pPr>
        <w:ind w:left="-4563" w:hanging="420"/>
      </w:pPr>
    </w:lvl>
    <w:lvl w:ilvl="5" w:tentative="0">
      <w:start w:val="1"/>
      <w:numFmt w:val="lowerRoman"/>
      <w:lvlText w:val="%6."/>
      <w:lvlJc w:val="right"/>
      <w:pPr>
        <w:ind w:left="-4143" w:hanging="420"/>
      </w:pPr>
    </w:lvl>
    <w:lvl w:ilvl="6" w:tentative="0">
      <w:start w:val="1"/>
      <w:numFmt w:val="decimal"/>
      <w:lvlText w:val="%7."/>
      <w:lvlJc w:val="left"/>
      <w:pPr>
        <w:ind w:left="-3723" w:hanging="420"/>
      </w:pPr>
    </w:lvl>
    <w:lvl w:ilvl="7" w:tentative="0">
      <w:start w:val="1"/>
      <w:numFmt w:val="lowerLetter"/>
      <w:lvlText w:val="%8)"/>
      <w:lvlJc w:val="left"/>
      <w:pPr>
        <w:ind w:left="-3303" w:hanging="420"/>
      </w:pPr>
    </w:lvl>
    <w:lvl w:ilvl="8" w:tentative="0">
      <w:start w:val="1"/>
      <w:numFmt w:val="lowerRoman"/>
      <w:lvlText w:val="%9."/>
      <w:lvlJc w:val="right"/>
      <w:pPr>
        <w:ind w:left="-2883"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GQ3NjQyNTUxMTE0NDEzMjM4Y2U5N2RkM2MyZjQifQ=="/>
  </w:docVars>
  <w:rsids>
    <w:rsidRoot w:val="00FD32EF"/>
    <w:rsid w:val="00001B4B"/>
    <w:rsid w:val="00001C7D"/>
    <w:rsid w:val="00004247"/>
    <w:rsid w:val="00007153"/>
    <w:rsid w:val="000123C7"/>
    <w:rsid w:val="00015CF8"/>
    <w:rsid w:val="00023C6B"/>
    <w:rsid w:val="00023D06"/>
    <w:rsid w:val="00024D17"/>
    <w:rsid w:val="00025A12"/>
    <w:rsid w:val="00025D14"/>
    <w:rsid w:val="00030A3E"/>
    <w:rsid w:val="00030E07"/>
    <w:rsid w:val="00032A04"/>
    <w:rsid w:val="00034D02"/>
    <w:rsid w:val="000373C8"/>
    <w:rsid w:val="00040EBC"/>
    <w:rsid w:val="00041A60"/>
    <w:rsid w:val="00042926"/>
    <w:rsid w:val="000432C6"/>
    <w:rsid w:val="00044E84"/>
    <w:rsid w:val="00045B5A"/>
    <w:rsid w:val="00052CA3"/>
    <w:rsid w:val="00055B23"/>
    <w:rsid w:val="00055D8A"/>
    <w:rsid w:val="00056418"/>
    <w:rsid w:val="000575D2"/>
    <w:rsid w:val="00057D6A"/>
    <w:rsid w:val="0006008F"/>
    <w:rsid w:val="00060722"/>
    <w:rsid w:val="00065144"/>
    <w:rsid w:val="00065822"/>
    <w:rsid w:val="00066E70"/>
    <w:rsid w:val="00067FF1"/>
    <w:rsid w:val="000715CD"/>
    <w:rsid w:val="00072088"/>
    <w:rsid w:val="000747FA"/>
    <w:rsid w:val="00075702"/>
    <w:rsid w:val="0007649E"/>
    <w:rsid w:val="00076F96"/>
    <w:rsid w:val="00081D93"/>
    <w:rsid w:val="000825BD"/>
    <w:rsid w:val="000829BB"/>
    <w:rsid w:val="00084847"/>
    <w:rsid w:val="0008558C"/>
    <w:rsid w:val="0008603B"/>
    <w:rsid w:val="00092467"/>
    <w:rsid w:val="000926AA"/>
    <w:rsid w:val="000932C8"/>
    <w:rsid w:val="00094F31"/>
    <w:rsid w:val="000A2AE9"/>
    <w:rsid w:val="000A36F5"/>
    <w:rsid w:val="000A3859"/>
    <w:rsid w:val="000A4874"/>
    <w:rsid w:val="000A4E05"/>
    <w:rsid w:val="000A5BC9"/>
    <w:rsid w:val="000A5CA0"/>
    <w:rsid w:val="000A78EC"/>
    <w:rsid w:val="000B135F"/>
    <w:rsid w:val="000B19DE"/>
    <w:rsid w:val="000B1C87"/>
    <w:rsid w:val="000B1CA3"/>
    <w:rsid w:val="000B2003"/>
    <w:rsid w:val="000B233F"/>
    <w:rsid w:val="000D3E58"/>
    <w:rsid w:val="000D5E80"/>
    <w:rsid w:val="000E0C54"/>
    <w:rsid w:val="000E0F35"/>
    <w:rsid w:val="000E1D7A"/>
    <w:rsid w:val="000E28C6"/>
    <w:rsid w:val="000E3BF1"/>
    <w:rsid w:val="000E75BE"/>
    <w:rsid w:val="000E7A26"/>
    <w:rsid w:val="000E7A4C"/>
    <w:rsid w:val="000F1729"/>
    <w:rsid w:val="000F234A"/>
    <w:rsid w:val="000F3A20"/>
    <w:rsid w:val="000F3DDE"/>
    <w:rsid w:val="000F52A2"/>
    <w:rsid w:val="000F7690"/>
    <w:rsid w:val="00103077"/>
    <w:rsid w:val="00104481"/>
    <w:rsid w:val="00106537"/>
    <w:rsid w:val="00106E5E"/>
    <w:rsid w:val="00112324"/>
    <w:rsid w:val="0011790D"/>
    <w:rsid w:val="00120EA1"/>
    <w:rsid w:val="00121D8C"/>
    <w:rsid w:val="00126898"/>
    <w:rsid w:val="00127BB8"/>
    <w:rsid w:val="001303BE"/>
    <w:rsid w:val="001313FC"/>
    <w:rsid w:val="001320F9"/>
    <w:rsid w:val="0013265E"/>
    <w:rsid w:val="00132F87"/>
    <w:rsid w:val="00135048"/>
    <w:rsid w:val="00135676"/>
    <w:rsid w:val="00136D79"/>
    <w:rsid w:val="00136E1D"/>
    <w:rsid w:val="00141A5B"/>
    <w:rsid w:val="00143741"/>
    <w:rsid w:val="00144741"/>
    <w:rsid w:val="00145463"/>
    <w:rsid w:val="00145E5C"/>
    <w:rsid w:val="00147E86"/>
    <w:rsid w:val="00152423"/>
    <w:rsid w:val="00156E9B"/>
    <w:rsid w:val="001607D9"/>
    <w:rsid w:val="00160C0B"/>
    <w:rsid w:val="0016249D"/>
    <w:rsid w:val="001628DD"/>
    <w:rsid w:val="00162B2D"/>
    <w:rsid w:val="001636A4"/>
    <w:rsid w:val="00163F0D"/>
    <w:rsid w:val="00165363"/>
    <w:rsid w:val="001675AF"/>
    <w:rsid w:val="0017731B"/>
    <w:rsid w:val="00177844"/>
    <w:rsid w:val="00185194"/>
    <w:rsid w:val="00186386"/>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7F0"/>
    <w:rsid w:val="001E2BC7"/>
    <w:rsid w:val="001E2F7B"/>
    <w:rsid w:val="001E52DC"/>
    <w:rsid w:val="001E53A2"/>
    <w:rsid w:val="001E55F0"/>
    <w:rsid w:val="001E594A"/>
    <w:rsid w:val="001E7729"/>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0E4E"/>
    <w:rsid w:val="00232702"/>
    <w:rsid w:val="00232F16"/>
    <w:rsid w:val="00233149"/>
    <w:rsid w:val="002344BE"/>
    <w:rsid w:val="00234A4F"/>
    <w:rsid w:val="00234E30"/>
    <w:rsid w:val="00235263"/>
    <w:rsid w:val="00240656"/>
    <w:rsid w:val="00241C94"/>
    <w:rsid w:val="002436E6"/>
    <w:rsid w:val="00243E11"/>
    <w:rsid w:val="002441E9"/>
    <w:rsid w:val="00244718"/>
    <w:rsid w:val="00245FED"/>
    <w:rsid w:val="00247A8F"/>
    <w:rsid w:val="002549B0"/>
    <w:rsid w:val="00256A60"/>
    <w:rsid w:val="00260879"/>
    <w:rsid w:val="00260FCD"/>
    <w:rsid w:val="002616D1"/>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CBD"/>
    <w:rsid w:val="00275FED"/>
    <w:rsid w:val="00277FFE"/>
    <w:rsid w:val="00280575"/>
    <w:rsid w:val="00281615"/>
    <w:rsid w:val="002839B7"/>
    <w:rsid w:val="0028470E"/>
    <w:rsid w:val="002850BA"/>
    <w:rsid w:val="00291DB3"/>
    <w:rsid w:val="002939FC"/>
    <w:rsid w:val="002948E6"/>
    <w:rsid w:val="00294A2C"/>
    <w:rsid w:val="00296697"/>
    <w:rsid w:val="002A028B"/>
    <w:rsid w:val="002A0319"/>
    <w:rsid w:val="002A0A0B"/>
    <w:rsid w:val="002A0FC5"/>
    <w:rsid w:val="002A239C"/>
    <w:rsid w:val="002A3524"/>
    <w:rsid w:val="002A38C3"/>
    <w:rsid w:val="002A5B12"/>
    <w:rsid w:val="002A7D56"/>
    <w:rsid w:val="002B0D2D"/>
    <w:rsid w:val="002B1931"/>
    <w:rsid w:val="002B34E9"/>
    <w:rsid w:val="002B3909"/>
    <w:rsid w:val="002B7FB9"/>
    <w:rsid w:val="002C44E0"/>
    <w:rsid w:val="002C5145"/>
    <w:rsid w:val="002C7AC9"/>
    <w:rsid w:val="002C7EF9"/>
    <w:rsid w:val="002D03C3"/>
    <w:rsid w:val="002D247D"/>
    <w:rsid w:val="002D5D60"/>
    <w:rsid w:val="002D7AA5"/>
    <w:rsid w:val="002E07CD"/>
    <w:rsid w:val="002E2810"/>
    <w:rsid w:val="002E2C77"/>
    <w:rsid w:val="002E3469"/>
    <w:rsid w:val="002E42D0"/>
    <w:rsid w:val="002E4C05"/>
    <w:rsid w:val="002E4D4C"/>
    <w:rsid w:val="002E7143"/>
    <w:rsid w:val="002E7C38"/>
    <w:rsid w:val="002F0D79"/>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6C6B"/>
    <w:rsid w:val="00327E4E"/>
    <w:rsid w:val="003317AD"/>
    <w:rsid w:val="00333B5A"/>
    <w:rsid w:val="003369A0"/>
    <w:rsid w:val="0034251F"/>
    <w:rsid w:val="00343987"/>
    <w:rsid w:val="003459FC"/>
    <w:rsid w:val="00350A49"/>
    <w:rsid w:val="0035170E"/>
    <w:rsid w:val="0035204B"/>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2BD"/>
    <w:rsid w:val="003714B3"/>
    <w:rsid w:val="003721BA"/>
    <w:rsid w:val="0037348E"/>
    <w:rsid w:val="00373B90"/>
    <w:rsid w:val="00375CB8"/>
    <w:rsid w:val="003825B7"/>
    <w:rsid w:val="003844D8"/>
    <w:rsid w:val="0038457C"/>
    <w:rsid w:val="00386A61"/>
    <w:rsid w:val="0038722F"/>
    <w:rsid w:val="00387B66"/>
    <w:rsid w:val="0039017A"/>
    <w:rsid w:val="003935C7"/>
    <w:rsid w:val="00393AC8"/>
    <w:rsid w:val="00397420"/>
    <w:rsid w:val="003A2017"/>
    <w:rsid w:val="003A4275"/>
    <w:rsid w:val="003A46E9"/>
    <w:rsid w:val="003A4957"/>
    <w:rsid w:val="003A5630"/>
    <w:rsid w:val="003A5A71"/>
    <w:rsid w:val="003A646D"/>
    <w:rsid w:val="003B1962"/>
    <w:rsid w:val="003B1B87"/>
    <w:rsid w:val="003B1ED9"/>
    <w:rsid w:val="003B2F8E"/>
    <w:rsid w:val="003B45A3"/>
    <w:rsid w:val="003B6094"/>
    <w:rsid w:val="003B65E2"/>
    <w:rsid w:val="003B7D3A"/>
    <w:rsid w:val="003C23AD"/>
    <w:rsid w:val="003C293C"/>
    <w:rsid w:val="003C37A4"/>
    <w:rsid w:val="003C37A5"/>
    <w:rsid w:val="003C7171"/>
    <w:rsid w:val="003D24C9"/>
    <w:rsid w:val="003D3027"/>
    <w:rsid w:val="003D4890"/>
    <w:rsid w:val="003D5445"/>
    <w:rsid w:val="003D73C7"/>
    <w:rsid w:val="003D7920"/>
    <w:rsid w:val="003E06D1"/>
    <w:rsid w:val="003E100F"/>
    <w:rsid w:val="003E75F6"/>
    <w:rsid w:val="003E785F"/>
    <w:rsid w:val="003F318F"/>
    <w:rsid w:val="003F6CCE"/>
    <w:rsid w:val="0040193F"/>
    <w:rsid w:val="00401D7B"/>
    <w:rsid w:val="00401ED0"/>
    <w:rsid w:val="004050CB"/>
    <w:rsid w:val="0040559C"/>
    <w:rsid w:val="00412C9B"/>
    <w:rsid w:val="0041372A"/>
    <w:rsid w:val="00413BDA"/>
    <w:rsid w:val="00414DA6"/>
    <w:rsid w:val="004156A9"/>
    <w:rsid w:val="00415ABF"/>
    <w:rsid w:val="004161E0"/>
    <w:rsid w:val="0041714A"/>
    <w:rsid w:val="004221B0"/>
    <w:rsid w:val="004223D9"/>
    <w:rsid w:val="004235D3"/>
    <w:rsid w:val="0042579A"/>
    <w:rsid w:val="00425B16"/>
    <w:rsid w:val="0042799E"/>
    <w:rsid w:val="004318A5"/>
    <w:rsid w:val="00433D0E"/>
    <w:rsid w:val="004342BF"/>
    <w:rsid w:val="004347DB"/>
    <w:rsid w:val="0043610F"/>
    <w:rsid w:val="00436F3C"/>
    <w:rsid w:val="00440411"/>
    <w:rsid w:val="004473CB"/>
    <w:rsid w:val="004503F5"/>
    <w:rsid w:val="00450748"/>
    <w:rsid w:val="004512D0"/>
    <w:rsid w:val="00451DE9"/>
    <w:rsid w:val="00454698"/>
    <w:rsid w:val="00455485"/>
    <w:rsid w:val="00456542"/>
    <w:rsid w:val="00456CC6"/>
    <w:rsid w:val="00460CC9"/>
    <w:rsid w:val="00461CCC"/>
    <w:rsid w:val="00462577"/>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A7413"/>
    <w:rsid w:val="004B02FE"/>
    <w:rsid w:val="004B093C"/>
    <w:rsid w:val="004B2CC4"/>
    <w:rsid w:val="004B7CA4"/>
    <w:rsid w:val="004C19B8"/>
    <w:rsid w:val="004C2EB9"/>
    <w:rsid w:val="004C3061"/>
    <w:rsid w:val="004C30AE"/>
    <w:rsid w:val="004C36A0"/>
    <w:rsid w:val="004C3E81"/>
    <w:rsid w:val="004C5C9E"/>
    <w:rsid w:val="004C6332"/>
    <w:rsid w:val="004C7695"/>
    <w:rsid w:val="004C7A14"/>
    <w:rsid w:val="004D006C"/>
    <w:rsid w:val="004D192C"/>
    <w:rsid w:val="004D2769"/>
    <w:rsid w:val="004D3CA9"/>
    <w:rsid w:val="004D3EE9"/>
    <w:rsid w:val="004D56FB"/>
    <w:rsid w:val="004D5968"/>
    <w:rsid w:val="004E3143"/>
    <w:rsid w:val="004E46A0"/>
    <w:rsid w:val="004E60FA"/>
    <w:rsid w:val="004E70D1"/>
    <w:rsid w:val="004F0560"/>
    <w:rsid w:val="004F0E96"/>
    <w:rsid w:val="004F282C"/>
    <w:rsid w:val="005012B2"/>
    <w:rsid w:val="00501E8E"/>
    <w:rsid w:val="00502B77"/>
    <w:rsid w:val="0050608F"/>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2C03"/>
    <w:rsid w:val="0053321A"/>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A0248"/>
    <w:rsid w:val="005A729C"/>
    <w:rsid w:val="005B0A0A"/>
    <w:rsid w:val="005B1EF7"/>
    <w:rsid w:val="005B3346"/>
    <w:rsid w:val="005B4A0C"/>
    <w:rsid w:val="005B73E7"/>
    <w:rsid w:val="005B740A"/>
    <w:rsid w:val="005C0AA5"/>
    <w:rsid w:val="005C1D93"/>
    <w:rsid w:val="005C2403"/>
    <w:rsid w:val="005C533A"/>
    <w:rsid w:val="005C7940"/>
    <w:rsid w:val="005D1E77"/>
    <w:rsid w:val="005D34F3"/>
    <w:rsid w:val="005D655A"/>
    <w:rsid w:val="005E4BD1"/>
    <w:rsid w:val="005E6B96"/>
    <w:rsid w:val="005E6D26"/>
    <w:rsid w:val="005F0B5C"/>
    <w:rsid w:val="005F1000"/>
    <w:rsid w:val="005F5CEB"/>
    <w:rsid w:val="006012ED"/>
    <w:rsid w:val="00604249"/>
    <w:rsid w:val="006046F4"/>
    <w:rsid w:val="00604D58"/>
    <w:rsid w:val="00607B22"/>
    <w:rsid w:val="00612558"/>
    <w:rsid w:val="00613446"/>
    <w:rsid w:val="006160EB"/>
    <w:rsid w:val="006224DE"/>
    <w:rsid w:val="006226D3"/>
    <w:rsid w:val="00622999"/>
    <w:rsid w:val="006252D0"/>
    <w:rsid w:val="00625B9F"/>
    <w:rsid w:val="0062772F"/>
    <w:rsid w:val="0062773F"/>
    <w:rsid w:val="00631857"/>
    <w:rsid w:val="006322C3"/>
    <w:rsid w:val="00634068"/>
    <w:rsid w:val="006347CB"/>
    <w:rsid w:val="0063617D"/>
    <w:rsid w:val="00636194"/>
    <w:rsid w:val="00636241"/>
    <w:rsid w:val="0063648A"/>
    <w:rsid w:val="0063751D"/>
    <w:rsid w:val="00637B93"/>
    <w:rsid w:val="00640955"/>
    <w:rsid w:val="006411B0"/>
    <w:rsid w:val="00642F6C"/>
    <w:rsid w:val="006430C3"/>
    <w:rsid w:val="006456C3"/>
    <w:rsid w:val="00647D43"/>
    <w:rsid w:val="00650F2C"/>
    <w:rsid w:val="00651302"/>
    <w:rsid w:val="00651BDA"/>
    <w:rsid w:val="006523DE"/>
    <w:rsid w:val="00652A6C"/>
    <w:rsid w:val="0065306F"/>
    <w:rsid w:val="00653332"/>
    <w:rsid w:val="00653F39"/>
    <w:rsid w:val="00656373"/>
    <w:rsid w:val="00657D26"/>
    <w:rsid w:val="00660EA6"/>
    <w:rsid w:val="00660ED0"/>
    <w:rsid w:val="00661A30"/>
    <w:rsid w:val="006626EC"/>
    <w:rsid w:val="006634DC"/>
    <w:rsid w:val="00663BF9"/>
    <w:rsid w:val="006643A1"/>
    <w:rsid w:val="00664A78"/>
    <w:rsid w:val="0066604E"/>
    <w:rsid w:val="00675DA4"/>
    <w:rsid w:val="0067618A"/>
    <w:rsid w:val="006774D8"/>
    <w:rsid w:val="00677C37"/>
    <w:rsid w:val="00687AD3"/>
    <w:rsid w:val="00687B1F"/>
    <w:rsid w:val="006942A0"/>
    <w:rsid w:val="006950E9"/>
    <w:rsid w:val="00695BE1"/>
    <w:rsid w:val="006A0837"/>
    <w:rsid w:val="006A2EFC"/>
    <w:rsid w:val="006A5E0F"/>
    <w:rsid w:val="006B12E3"/>
    <w:rsid w:val="006B1CB8"/>
    <w:rsid w:val="006B212A"/>
    <w:rsid w:val="006B309B"/>
    <w:rsid w:val="006B3B78"/>
    <w:rsid w:val="006B3EFA"/>
    <w:rsid w:val="006B42DD"/>
    <w:rsid w:val="006B71BA"/>
    <w:rsid w:val="006B7AD2"/>
    <w:rsid w:val="006C271C"/>
    <w:rsid w:val="006C4D4D"/>
    <w:rsid w:val="006C4F79"/>
    <w:rsid w:val="006C7059"/>
    <w:rsid w:val="006D070F"/>
    <w:rsid w:val="006D46CE"/>
    <w:rsid w:val="006D5D36"/>
    <w:rsid w:val="006D77DA"/>
    <w:rsid w:val="006E1373"/>
    <w:rsid w:val="006E1852"/>
    <w:rsid w:val="006E2493"/>
    <w:rsid w:val="006E3C7D"/>
    <w:rsid w:val="006E3D07"/>
    <w:rsid w:val="006E43AF"/>
    <w:rsid w:val="006E53B6"/>
    <w:rsid w:val="006F0FD0"/>
    <w:rsid w:val="006F1AC8"/>
    <w:rsid w:val="006F2772"/>
    <w:rsid w:val="006F3EC4"/>
    <w:rsid w:val="006F4002"/>
    <w:rsid w:val="006F4BC0"/>
    <w:rsid w:val="006F76EC"/>
    <w:rsid w:val="00700E2A"/>
    <w:rsid w:val="00700EDE"/>
    <w:rsid w:val="00701434"/>
    <w:rsid w:val="00702262"/>
    <w:rsid w:val="00702B5A"/>
    <w:rsid w:val="00702F9F"/>
    <w:rsid w:val="00706175"/>
    <w:rsid w:val="0071240E"/>
    <w:rsid w:val="0071283D"/>
    <w:rsid w:val="00712F62"/>
    <w:rsid w:val="00713A56"/>
    <w:rsid w:val="00714813"/>
    <w:rsid w:val="0071491B"/>
    <w:rsid w:val="00717276"/>
    <w:rsid w:val="007202D5"/>
    <w:rsid w:val="0072046E"/>
    <w:rsid w:val="007222DB"/>
    <w:rsid w:val="0072316A"/>
    <w:rsid w:val="0073155B"/>
    <w:rsid w:val="007315AB"/>
    <w:rsid w:val="00733A2F"/>
    <w:rsid w:val="00737001"/>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ABE"/>
    <w:rsid w:val="00772D4D"/>
    <w:rsid w:val="00772E38"/>
    <w:rsid w:val="00773E8A"/>
    <w:rsid w:val="0077613F"/>
    <w:rsid w:val="0077623D"/>
    <w:rsid w:val="007763AD"/>
    <w:rsid w:val="007808CE"/>
    <w:rsid w:val="007825D2"/>
    <w:rsid w:val="007830C3"/>
    <w:rsid w:val="00784B4B"/>
    <w:rsid w:val="00784FDA"/>
    <w:rsid w:val="00790888"/>
    <w:rsid w:val="00790B83"/>
    <w:rsid w:val="007A097C"/>
    <w:rsid w:val="007A0D40"/>
    <w:rsid w:val="007A1866"/>
    <w:rsid w:val="007A2438"/>
    <w:rsid w:val="007A3206"/>
    <w:rsid w:val="007A3627"/>
    <w:rsid w:val="007A6813"/>
    <w:rsid w:val="007B0FD7"/>
    <w:rsid w:val="007B1705"/>
    <w:rsid w:val="007B1D1F"/>
    <w:rsid w:val="007B20D3"/>
    <w:rsid w:val="007B52A6"/>
    <w:rsid w:val="007B647F"/>
    <w:rsid w:val="007B6D9E"/>
    <w:rsid w:val="007C0722"/>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4444"/>
    <w:rsid w:val="00814A30"/>
    <w:rsid w:val="00817688"/>
    <w:rsid w:val="00817CA1"/>
    <w:rsid w:val="00821C89"/>
    <w:rsid w:val="00821D4C"/>
    <w:rsid w:val="00822ABF"/>
    <w:rsid w:val="00824394"/>
    <w:rsid w:val="0082486A"/>
    <w:rsid w:val="00824A87"/>
    <w:rsid w:val="00825046"/>
    <w:rsid w:val="00826807"/>
    <w:rsid w:val="00826992"/>
    <w:rsid w:val="008272B9"/>
    <w:rsid w:val="00832781"/>
    <w:rsid w:val="008328A3"/>
    <w:rsid w:val="00835872"/>
    <w:rsid w:val="00836B7B"/>
    <w:rsid w:val="00837048"/>
    <w:rsid w:val="00837188"/>
    <w:rsid w:val="00842134"/>
    <w:rsid w:val="00844BD0"/>
    <w:rsid w:val="00844F9D"/>
    <w:rsid w:val="00847709"/>
    <w:rsid w:val="00850281"/>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A4B"/>
    <w:rsid w:val="00883BB2"/>
    <w:rsid w:val="00887655"/>
    <w:rsid w:val="008876D1"/>
    <w:rsid w:val="0088799E"/>
    <w:rsid w:val="0089079B"/>
    <w:rsid w:val="00890AAC"/>
    <w:rsid w:val="00896230"/>
    <w:rsid w:val="00896FD1"/>
    <w:rsid w:val="008A007C"/>
    <w:rsid w:val="008A1745"/>
    <w:rsid w:val="008A5BEB"/>
    <w:rsid w:val="008A5E4F"/>
    <w:rsid w:val="008B2795"/>
    <w:rsid w:val="008B2F51"/>
    <w:rsid w:val="008B3745"/>
    <w:rsid w:val="008B577C"/>
    <w:rsid w:val="008B7255"/>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0A5A"/>
    <w:rsid w:val="00931828"/>
    <w:rsid w:val="009329BE"/>
    <w:rsid w:val="00932D6A"/>
    <w:rsid w:val="0093659D"/>
    <w:rsid w:val="00937FA6"/>
    <w:rsid w:val="00941EA3"/>
    <w:rsid w:val="00942841"/>
    <w:rsid w:val="0094344B"/>
    <w:rsid w:val="00944CA6"/>
    <w:rsid w:val="009469CA"/>
    <w:rsid w:val="00946AF3"/>
    <w:rsid w:val="00946E57"/>
    <w:rsid w:val="00947BF3"/>
    <w:rsid w:val="00950B78"/>
    <w:rsid w:val="00956996"/>
    <w:rsid w:val="00956D22"/>
    <w:rsid w:val="009571BD"/>
    <w:rsid w:val="00957968"/>
    <w:rsid w:val="00961E9B"/>
    <w:rsid w:val="00962833"/>
    <w:rsid w:val="00962E5E"/>
    <w:rsid w:val="009637B8"/>
    <w:rsid w:val="009661BD"/>
    <w:rsid w:val="00967F26"/>
    <w:rsid w:val="00972165"/>
    <w:rsid w:val="0097258E"/>
    <w:rsid w:val="0097636E"/>
    <w:rsid w:val="00981F0B"/>
    <w:rsid w:val="009837BA"/>
    <w:rsid w:val="00984982"/>
    <w:rsid w:val="009856EB"/>
    <w:rsid w:val="0098660E"/>
    <w:rsid w:val="0098747C"/>
    <w:rsid w:val="00987544"/>
    <w:rsid w:val="009876E3"/>
    <w:rsid w:val="00987F07"/>
    <w:rsid w:val="00990027"/>
    <w:rsid w:val="00992635"/>
    <w:rsid w:val="00995B90"/>
    <w:rsid w:val="00996D3E"/>
    <w:rsid w:val="009A1E71"/>
    <w:rsid w:val="009A45F5"/>
    <w:rsid w:val="009A52E1"/>
    <w:rsid w:val="009A54EE"/>
    <w:rsid w:val="009B03B4"/>
    <w:rsid w:val="009B04E7"/>
    <w:rsid w:val="009B2C2E"/>
    <w:rsid w:val="009B3A90"/>
    <w:rsid w:val="009B3D6E"/>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0983"/>
    <w:rsid w:val="00A11E61"/>
    <w:rsid w:val="00A12A4E"/>
    <w:rsid w:val="00A13044"/>
    <w:rsid w:val="00A138FF"/>
    <w:rsid w:val="00A151ED"/>
    <w:rsid w:val="00A165BD"/>
    <w:rsid w:val="00A213F5"/>
    <w:rsid w:val="00A2393F"/>
    <w:rsid w:val="00A247ED"/>
    <w:rsid w:val="00A271E5"/>
    <w:rsid w:val="00A273D3"/>
    <w:rsid w:val="00A27D95"/>
    <w:rsid w:val="00A35972"/>
    <w:rsid w:val="00A40D16"/>
    <w:rsid w:val="00A4133D"/>
    <w:rsid w:val="00A417F8"/>
    <w:rsid w:val="00A429BF"/>
    <w:rsid w:val="00A43AA5"/>
    <w:rsid w:val="00A43E50"/>
    <w:rsid w:val="00A4426B"/>
    <w:rsid w:val="00A444F2"/>
    <w:rsid w:val="00A4584B"/>
    <w:rsid w:val="00A47F0F"/>
    <w:rsid w:val="00A505ED"/>
    <w:rsid w:val="00A50FA8"/>
    <w:rsid w:val="00A531B7"/>
    <w:rsid w:val="00A54074"/>
    <w:rsid w:val="00A556EC"/>
    <w:rsid w:val="00A576FA"/>
    <w:rsid w:val="00A643AB"/>
    <w:rsid w:val="00A67700"/>
    <w:rsid w:val="00A715FB"/>
    <w:rsid w:val="00A74481"/>
    <w:rsid w:val="00A76668"/>
    <w:rsid w:val="00A839F1"/>
    <w:rsid w:val="00A83B31"/>
    <w:rsid w:val="00A843AB"/>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2777"/>
    <w:rsid w:val="00AA3D7C"/>
    <w:rsid w:val="00AB1C92"/>
    <w:rsid w:val="00AB2B60"/>
    <w:rsid w:val="00AB2F83"/>
    <w:rsid w:val="00AB331D"/>
    <w:rsid w:val="00AB3AB3"/>
    <w:rsid w:val="00AB6F38"/>
    <w:rsid w:val="00AB749B"/>
    <w:rsid w:val="00AB7CE1"/>
    <w:rsid w:val="00AC12AE"/>
    <w:rsid w:val="00AC1905"/>
    <w:rsid w:val="00AC3767"/>
    <w:rsid w:val="00AC38E7"/>
    <w:rsid w:val="00AC495F"/>
    <w:rsid w:val="00AC58A3"/>
    <w:rsid w:val="00AC7176"/>
    <w:rsid w:val="00AD27F5"/>
    <w:rsid w:val="00AD3D98"/>
    <w:rsid w:val="00AD407F"/>
    <w:rsid w:val="00AD66B6"/>
    <w:rsid w:val="00AE1AD1"/>
    <w:rsid w:val="00AE1C6A"/>
    <w:rsid w:val="00AE2F63"/>
    <w:rsid w:val="00AE37A4"/>
    <w:rsid w:val="00AE74EE"/>
    <w:rsid w:val="00AF099F"/>
    <w:rsid w:val="00AF1C67"/>
    <w:rsid w:val="00AF3753"/>
    <w:rsid w:val="00AF5338"/>
    <w:rsid w:val="00AF7467"/>
    <w:rsid w:val="00B00C58"/>
    <w:rsid w:val="00B01BDE"/>
    <w:rsid w:val="00B03655"/>
    <w:rsid w:val="00B0573B"/>
    <w:rsid w:val="00B07573"/>
    <w:rsid w:val="00B07B8B"/>
    <w:rsid w:val="00B127DC"/>
    <w:rsid w:val="00B1419A"/>
    <w:rsid w:val="00B17073"/>
    <w:rsid w:val="00B17E6D"/>
    <w:rsid w:val="00B205BE"/>
    <w:rsid w:val="00B24DED"/>
    <w:rsid w:val="00B274D6"/>
    <w:rsid w:val="00B27721"/>
    <w:rsid w:val="00B27751"/>
    <w:rsid w:val="00B3095A"/>
    <w:rsid w:val="00B318A4"/>
    <w:rsid w:val="00B33921"/>
    <w:rsid w:val="00B3428E"/>
    <w:rsid w:val="00B352BC"/>
    <w:rsid w:val="00B417B5"/>
    <w:rsid w:val="00B41CF9"/>
    <w:rsid w:val="00B42677"/>
    <w:rsid w:val="00B46694"/>
    <w:rsid w:val="00B5283F"/>
    <w:rsid w:val="00B57B90"/>
    <w:rsid w:val="00B62790"/>
    <w:rsid w:val="00B62F7C"/>
    <w:rsid w:val="00B6567C"/>
    <w:rsid w:val="00B661EC"/>
    <w:rsid w:val="00B6696B"/>
    <w:rsid w:val="00B671AF"/>
    <w:rsid w:val="00B67E73"/>
    <w:rsid w:val="00B72D35"/>
    <w:rsid w:val="00B73134"/>
    <w:rsid w:val="00B73B59"/>
    <w:rsid w:val="00B74CFF"/>
    <w:rsid w:val="00B777DC"/>
    <w:rsid w:val="00B81C86"/>
    <w:rsid w:val="00B84D0F"/>
    <w:rsid w:val="00B85CB9"/>
    <w:rsid w:val="00B86ACD"/>
    <w:rsid w:val="00B86C6A"/>
    <w:rsid w:val="00B9008D"/>
    <w:rsid w:val="00B91F88"/>
    <w:rsid w:val="00B95AC1"/>
    <w:rsid w:val="00B972D5"/>
    <w:rsid w:val="00BA08DC"/>
    <w:rsid w:val="00BA0A6D"/>
    <w:rsid w:val="00BA71DE"/>
    <w:rsid w:val="00BA798F"/>
    <w:rsid w:val="00BB0484"/>
    <w:rsid w:val="00BB196F"/>
    <w:rsid w:val="00BB2744"/>
    <w:rsid w:val="00BB491B"/>
    <w:rsid w:val="00BB4EBB"/>
    <w:rsid w:val="00BB711D"/>
    <w:rsid w:val="00BB7B84"/>
    <w:rsid w:val="00BC4132"/>
    <w:rsid w:val="00BC5AE5"/>
    <w:rsid w:val="00BC66F7"/>
    <w:rsid w:val="00BC6FE3"/>
    <w:rsid w:val="00BD0B83"/>
    <w:rsid w:val="00BD27FF"/>
    <w:rsid w:val="00BD329E"/>
    <w:rsid w:val="00BE1E28"/>
    <w:rsid w:val="00BE2432"/>
    <w:rsid w:val="00BE315A"/>
    <w:rsid w:val="00BE3C9B"/>
    <w:rsid w:val="00BE458C"/>
    <w:rsid w:val="00BE5DEB"/>
    <w:rsid w:val="00BF01C8"/>
    <w:rsid w:val="00BF02E0"/>
    <w:rsid w:val="00BF03E4"/>
    <w:rsid w:val="00BF1067"/>
    <w:rsid w:val="00BF4692"/>
    <w:rsid w:val="00BF48E2"/>
    <w:rsid w:val="00BF54AF"/>
    <w:rsid w:val="00BF69B9"/>
    <w:rsid w:val="00BF7CEC"/>
    <w:rsid w:val="00C010F2"/>
    <w:rsid w:val="00C0135E"/>
    <w:rsid w:val="00C044E4"/>
    <w:rsid w:val="00C04696"/>
    <w:rsid w:val="00C074F2"/>
    <w:rsid w:val="00C13461"/>
    <w:rsid w:val="00C13FFE"/>
    <w:rsid w:val="00C141BA"/>
    <w:rsid w:val="00C167D3"/>
    <w:rsid w:val="00C177C8"/>
    <w:rsid w:val="00C22077"/>
    <w:rsid w:val="00C23FA9"/>
    <w:rsid w:val="00C24220"/>
    <w:rsid w:val="00C3069F"/>
    <w:rsid w:val="00C314A7"/>
    <w:rsid w:val="00C32C09"/>
    <w:rsid w:val="00C34157"/>
    <w:rsid w:val="00C34AC1"/>
    <w:rsid w:val="00C36242"/>
    <w:rsid w:val="00C36676"/>
    <w:rsid w:val="00C36F56"/>
    <w:rsid w:val="00C379BA"/>
    <w:rsid w:val="00C37FDA"/>
    <w:rsid w:val="00C4130D"/>
    <w:rsid w:val="00C42C11"/>
    <w:rsid w:val="00C42E98"/>
    <w:rsid w:val="00C43757"/>
    <w:rsid w:val="00C448E0"/>
    <w:rsid w:val="00C46276"/>
    <w:rsid w:val="00C52770"/>
    <w:rsid w:val="00C554A3"/>
    <w:rsid w:val="00C55F9C"/>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87D3B"/>
    <w:rsid w:val="00C9066A"/>
    <w:rsid w:val="00C95850"/>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51CE"/>
    <w:rsid w:val="00CC7109"/>
    <w:rsid w:val="00CD0E0B"/>
    <w:rsid w:val="00CD127E"/>
    <w:rsid w:val="00CD261A"/>
    <w:rsid w:val="00CD3395"/>
    <w:rsid w:val="00CD5B05"/>
    <w:rsid w:val="00CD5F94"/>
    <w:rsid w:val="00CE00E9"/>
    <w:rsid w:val="00CE13F7"/>
    <w:rsid w:val="00CE1C93"/>
    <w:rsid w:val="00CE3BE8"/>
    <w:rsid w:val="00CE5BF7"/>
    <w:rsid w:val="00CE6134"/>
    <w:rsid w:val="00CE63D8"/>
    <w:rsid w:val="00CF1715"/>
    <w:rsid w:val="00CF3DEF"/>
    <w:rsid w:val="00CF409C"/>
    <w:rsid w:val="00CF5088"/>
    <w:rsid w:val="00CF7C56"/>
    <w:rsid w:val="00CF7F11"/>
    <w:rsid w:val="00D016F4"/>
    <w:rsid w:val="00D01BBE"/>
    <w:rsid w:val="00D040DC"/>
    <w:rsid w:val="00D0552B"/>
    <w:rsid w:val="00D05D21"/>
    <w:rsid w:val="00D0686C"/>
    <w:rsid w:val="00D06FE9"/>
    <w:rsid w:val="00D07D94"/>
    <w:rsid w:val="00D07DD8"/>
    <w:rsid w:val="00D07E97"/>
    <w:rsid w:val="00D12BCF"/>
    <w:rsid w:val="00D13A35"/>
    <w:rsid w:val="00D13BFC"/>
    <w:rsid w:val="00D15A21"/>
    <w:rsid w:val="00D16F07"/>
    <w:rsid w:val="00D20661"/>
    <w:rsid w:val="00D2253E"/>
    <w:rsid w:val="00D23733"/>
    <w:rsid w:val="00D23E03"/>
    <w:rsid w:val="00D24329"/>
    <w:rsid w:val="00D253D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00D5"/>
    <w:rsid w:val="00D712AB"/>
    <w:rsid w:val="00D719BD"/>
    <w:rsid w:val="00D72578"/>
    <w:rsid w:val="00D728E3"/>
    <w:rsid w:val="00D731DD"/>
    <w:rsid w:val="00D7460C"/>
    <w:rsid w:val="00D768DD"/>
    <w:rsid w:val="00D76E4A"/>
    <w:rsid w:val="00D76F42"/>
    <w:rsid w:val="00D774F7"/>
    <w:rsid w:val="00D814C1"/>
    <w:rsid w:val="00D8173B"/>
    <w:rsid w:val="00D81A51"/>
    <w:rsid w:val="00D8304C"/>
    <w:rsid w:val="00D83DE2"/>
    <w:rsid w:val="00D86073"/>
    <w:rsid w:val="00D867B7"/>
    <w:rsid w:val="00D878CA"/>
    <w:rsid w:val="00D91B5C"/>
    <w:rsid w:val="00D91C9F"/>
    <w:rsid w:val="00D92119"/>
    <w:rsid w:val="00D92B4B"/>
    <w:rsid w:val="00D93EB7"/>
    <w:rsid w:val="00D94438"/>
    <w:rsid w:val="00D9630E"/>
    <w:rsid w:val="00D96B8E"/>
    <w:rsid w:val="00D97317"/>
    <w:rsid w:val="00D9743F"/>
    <w:rsid w:val="00D97FA0"/>
    <w:rsid w:val="00DA4190"/>
    <w:rsid w:val="00DA4932"/>
    <w:rsid w:val="00DA4BD9"/>
    <w:rsid w:val="00DA6F52"/>
    <w:rsid w:val="00DA72ED"/>
    <w:rsid w:val="00DB0693"/>
    <w:rsid w:val="00DB42D5"/>
    <w:rsid w:val="00DB4DC0"/>
    <w:rsid w:val="00DB5F8F"/>
    <w:rsid w:val="00DC0BD8"/>
    <w:rsid w:val="00DC1826"/>
    <w:rsid w:val="00DC22B1"/>
    <w:rsid w:val="00DC254B"/>
    <w:rsid w:val="00DC2730"/>
    <w:rsid w:val="00DC2AA2"/>
    <w:rsid w:val="00DC3B96"/>
    <w:rsid w:val="00DC439B"/>
    <w:rsid w:val="00DD0013"/>
    <w:rsid w:val="00DD1F3D"/>
    <w:rsid w:val="00DD2DF5"/>
    <w:rsid w:val="00DD561A"/>
    <w:rsid w:val="00DE03CE"/>
    <w:rsid w:val="00DE0BF3"/>
    <w:rsid w:val="00DE1505"/>
    <w:rsid w:val="00DE301F"/>
    <w:rsid w:val="00DE37DF"/>
    <w:rsid w:val="00DE38BC"/>
    <w:rsid w:val="00DE421D"/>
    <w:rsid w:val="00DE4905"/>
    <w:rsid w:val="00DE7FCC"/>
    <w:rsid w:val="00DF1725"/>
    <w:rsid w:val="00DF200B"/>
    <w:rsid w:val="00DF21E2"/>
    <w:rsid w:val="00DF527D"/>
    <w:rsid w:val="00DF59AD"/>
    <w:rsid w:val="00DF6F3F"/>
    <w:rsid w:val="00DF7696"/>
    <w:rsid w:val="00E02B93"/>
    <w:rsid w:val="00E05AE9"/>
    <w:rsid w:val="00E06E44"/>
    <w:rsid w:val="00E10910"/>
    <w:rsid w:val="00E1170D"/>
    <w:rsid w:val="00E11A6F"/>
    <w:rsid w:val="00E11B42"/>
    <w:rsid w:val="00E124E5"/>
    <w:rsid w:val="00E23056"/>
    <w:rsid w:val="00E2329A"/>
    <w:rsid w:val="00E23711"/>
    <w:rsid w:val="00E24818"/>
    <w:rsid w:val="00E25992"/>
    <w:rsid w:val="00E2662D"/>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0C67"/>
    <w:rsid w:val="00E43C6C"/>
    <w:rsid w:val="00E44550"/>
    <w:rsid w:val="00E449BA"/>
    <w:rsid w:val="00E46994"/>
    <w:rsid w:val="00E46E15"/>
    <w:rsid w:val="00E5043D"/>
    <w:rsid w:val="00E5078A"/>
    <w:rsid w:val="00E50CE8"/>
    <w:rsid w:val="00E5173A"/>
    <w:rsid w:val="00E51EB6"/>
    <w:rsid w:val="00E52E6F"/>
    <w:rsid w:val="00E57C14"/>
    <w:rsid w:val="00E610DA"/>
    <w:rsid w:val="00E624F3"/>
    <w:rsid w:val="00E6461E"/>
    <w:rsid w:val="00E71441"/>
    <w:rsid w:val="00E71875"/>
    <w:rsid w:val="00E71BF0"/>
    <w:rsid w:val="00E77C2F"/>
    <w:rsid w:val="00E80F43"/>
    <w:rsid w:val="00E818EC"/>
    <w:rsid w:val="00E81A7A"/>
    <w:rsid w:val="00E82B0D"/>
    <w:rsid w:val="00E833C4"/>
    <w:rsid w:val="00E837DF"/>
    <w:rsid w:val="00E86D70"/>
    <w:rsid w:val="00E87403"/>
    <w:rsid w:val="00E87DED"/>
    <w:rsid w:val="00E90204"/>
    <w:rsid w:val="00E92748"/>
    <w:rsid w:val="00E93766"/>
    <w:rsid w:val="00E95344"/>
    <w:rsid w:val="00E95AB8"/>
    <w:rsid w:val="00E963E8"/>
    <w:rsid w:val="00E96BC2"/>
    <w:rsid w:val="00E970D1"/>
    <w:rsid w:val="00EA0DC0"/>
    <w:rsid w:val="00EA1936"/>
    <w:rsid w:val="00EA19EE"/>
    <w:rsid w:val="00EA1F9C"/>
    <w:rsid w:val="00EA35F3"/>
    <w:rsid w:val="00EA753F"/>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E54EF"/>
    <w:rsid w:val="00EE6733"/>
    <w:rsid w:val="00EF0F9B"/>
    <w:rsid w:val="00EF1F4E"/>
    <w:rsid w:val="00EF5671"/>
    <w:rsid w:val="00EF61D8"/>
    <w:rsid w:val="00EF64EB"/>
    <w:rsid w:val="00EF6944"/>
    <w:rsid w:val="00F0077C"/>
    <w:rsid w:val="00F026C1"/>
    <w:rsid w:val="00F02E46"/>
    <w:rsid w:val="00F0311C"/>
    <w:rsid w:val="00F03516"/>
    <w:rsid w:val="00F12172"/>
    <w:rsid w:val="00F1244D"/>
    <w:rsid w:val="00F16739"/>
    <w:rsid w:val="00F232F6"/>
    <w:rsid w:val="00F247F7"/>
    <w:rsid w:val="00F268FA"/>
    <w:rsid w:val="00F30D3E"/>
    <w:rsid w:val="00F33585"/>
    <w:rsid w:val="00F35D72"/>
    <w:rsid w:val="00F40887"/>
    <w:rsid w:val="00F41C82"/>
    <w:rsid w:val="00F4274C"/>
    <w:rsid w:val="00F428B1"/>
    <w:rsid w:val="00F43401"/>
    <w:rsid w:val="00F43E37"/>
    <w:rsid w:val="00F44962"/>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4711"/>
    <w:rsid w:val="00F851BC"/>
    <w:rsid w:val="00F872D0"/>
    <w:rsid w:val="00F902DB"/>
    <w:rsid w:val="00F90C37"/>
    <w:rsid w:val="00F94115"/>
    <w:rsid w:val="00F96976"/>
    <w:rsid w:val="00FA1581"/>
    <w:rsid w:val="00FA2532"/>
    <w:rsid w:val="00FA6B83"/>
    <w:rsid w:val="00FB37DA"/>
    <w:rsid w:val="00FB46E4"/>
    <w:rsid w:val="00FB4AB8"/>
    <w:rsid w:val="00FB723D"/>
    <w:rsid w:val="00FC60FB"/>
    <w:rsid w:val="00FC7A1C"/>
    <w:rsid w:val="00FD08F7"/>
    <w:rsid w:val="00FD1AFA"/>
    <w:rsid w:val="00FD285C"/>
    <w:rsid w:val="00FD305F"/>
    <w:rsid w:val="00FD32EF"/>
    <w:rsid w:val="00FD4291"/>
    <w:rsid w:val="00FD4BE8"/>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 w:val="021B4898"/>
    <w:rsid w:val="03C4114F"/>
    <w:rsid w:val="03D92099"/>
    <w:rsid w:val="04011090"/>
    <w:rsid w:val="04606FDA"/>
    <w:rsid w:val="04806CB7"/>
    <w:rsid w:val="05D84CA5"/>
    <w:rsid w:val="06223E20"/>
    <w:rsid w:val="07066739"/>
    <w:rsid w:val="0B4E021A"/>
    <w:rsid w:val="0B692EE9"/>
    <w:rsid w:val="0BBA0BCE"/>
    <w:rsid w:val="0E233C52"/>
    <w:rsid w:val="0EED5300"/>
    <w:rsid w:val="10C269FB"/>
    <w:rsid w:val="113807C8"/>
    <w:rsid w:val="113A3566"/>
    <w:rsid w:val="116906FB"/>
    <w:rsid w:val="120F6A04"/>
    <w:rsid w:val="123A0956"/>
    <w:rsid w:val="126621F0"/>
    <w:rsid w:val="132F47DF"/>
    <w:rsid w:val="142F254E"/>
    <w:rsid w:val="179A202A"/>
    <w:rsid w:val="19024013"/>
    <w:rsid w:val="1BA13662"/>
    <w:rsid w:val="1BAD1C62"/>
    <w:rsid w:val="1BBD01E0"/>
    <w:rsid w:val="1BC40FC4"/>
    <w:rsid w:val="1C9B12FC"/>
    <w:rsid w:val="1CC64101"/>
    <w:rsid w:val="1CD74F0E"/>
    <w:rsid w:val="1DFF240A"/>
    <w:rsid w:val="1E7F73CE"/>
    <w:rsid w:val="1F31003B"/>
    <w:rsid w:val="1FC11EA9"/>
    <w:rsid w:val="1FCA066A"/>
    <w:rsid w:val="207202B2"/>
    <w:rsid w:val="208F6362"/>
    <w:rsid w:val="22691CFA"/>
    <w:rsid w:val="2312524D"/>
    <w:rsid w:val="246D2906"/>
    <w:rsid w:val="24F72435"/>
    <w:rsid w:val="26757A37"/>
    <w:rsid w:val="27062195"/>
    <w:rsid w:val="271436A9"/>
    <w:rsid w:val="280136B2"/>
    <w:rsid w:val="28732366"/>
    <w:rsid w:val="288E5712"/>
    <w:rsid w:val="28906419"/>
    <w:rsid w:val="29520ADF"/>
    <w:rsid w:val="2AC81A93"/>
    <w:rsid w:val="2B082612"/>
    <w:rsid w:val="2B5C1DAF"/>
    <w:rsid w:val="2B714C5C"/>
    <w:rsid w:val="2BC179BE"/>
    <w:rsid w:val="2BD23073"/>
    <w:rsid w:val="2CF83973"/>
    <w:rsid w:val="2DD222EA"/>
    <w:rsid w:val="2DE1441E"/>
    <w:rsid w:val="2DF41E84"/>
    <w:rsid w:val="2E762F61"/>
    <w:rsid w:val="2ED36218"/>
    <w:rsid w:val="2F077993"/>
    <w:rsid w:val="30BB0E26"/>
    <w:rsid w:val="31C07771"/>
    <w:rsid w:val="335A3548"/>
    <w:rsid w:val="33B734CA"/>
    <w:rsid w:val="34E93B6A"/>
    <w:rsid w:val="35225C9F"/>
    <w:rsid w:val="35EF5186"/>
    <w:rsid w:val="37382FF2"/>
    <w:rsid w:val="376F5576"/>
    <w:rsid w:val="384652DA"/>
    <w:rsid w:val="39C40093"/>
    <w:rsid w:val="3A961087"/>
    <w:rsid w:val="3AC34E10"/>
    <w:rsid w:val="3B1E210C"/>
    <w:rsid w:val="3B3ADEA2"/>
    <w:rsid w:val="3BCFF7D7"/>
    <w:rsid w:val="3BEDCC94"/>
    <w:rsid w:val="3C5E537B"/>
    <w:rsid w:val="3CFD7DEB"/>
    <w:rsid w:val="3D247E27"/>
    <w:rsid w:val="3D8A7692"/>
    <w:rsid w:val="3F3E4D76"/>
    <w:rsid w:val="42F61A03"/>
    <w:rsid w:val="43D0673D"/>
    <w:rsid w:val="453D206C"/>
    <w:rsid w:val="473A6B6B"/>
    <w:rsid w:val="48BF7B0E"/>
    <w:rsid w:val="48E43FA6"/>
    <w:rsid w:val="497D666B"/>
    <w:rsid w:val="499D2D1F"/>
    <w:rsid w:val="4B8B517E"/>
    <w:rsid w:val="4BA82530"/>
    <w:rsid w:val="4C3727D8"/>
    <w:rsid w:val="4D70031C"/>
    <w:rsid w:val="4DC36FD1"/>
    <w:rsid w:val="4F254E1F"/>
    <w:rsid w:val="4FF55CE5"/>
    <w:rsid w:val="52A01996"/>
    <w:rsid w:val="52A704E6"/>
    <w:rsid w:val="52D55FFD"/>
    <w:rsid w:val="52D80D75"/>
    <w:rsid w:val="540C3410"/>
    <w:rsid w:val="54B22BF0"/>
    <w:rsid w:val="56872F79"/>
    <w:rsid w:val="57F7AD38"/>
    <w:rsid w:val="58062172"/>
    <w:rsid w:val="59033189"/>
    <w:rsid w:val="5AA314BD"/>
    <w:rsid w:val="5B7E3B2F"/>
    <w:rsid w:val="5B9836D5"/>
    <w:rsid w:val="5BA7A04C"/>
    <w:rsid w:val="5BD4627E"/>
    <w:rsid w:val="5BE41A30"/>
    <w:rsid w:val="5C083B2B"/>
    <w:rsid w:val="5D747763"/>
    <w:rsid w:val="5D882B80"/>
    <w:rsid w:val="5DB330E6"/>
    <w:rsid w:val="5DC22218"/>
    <w:rsid w:val="5E7DE486"/>
    <w:rsid w:val="5EA80A59"/>
    <w:rsid w:val="5ECC5796"/>
    <w:rsid w:val="600C559F"/>
    <w:rsid w:val="61BA443C"/>
    <w:rsid w:val="65A27E70"/>
    <w:rsid w:val="661E50E3"/>
    <w:rsid w:val="66945117"/>
    <w:rsid w:val="66C02DD4"/>
    <w:rsid w:val="68DA2F6E"/>
    <w:rsid w:val="69DF7D7B"/>
    <w:rsid w:val="6A5A40E8"/>
    <w:rsid w:val="6A8F2D1B"/>
    <w:rsid w:val="6B0302D9"/>
    <w:rsid w:val="6B7E3293"/>
    <w:rsid w:val="6C1E5EAF"/>
    <w:rsid w:val="6DBA49B2"/>
    <w:rsid w:val="6EB53C21"/>
    <w:rsid w:val="711C1A7B"/>
    <w:rsid w:val="715D5C0A"/>
    <w:rsid w:val="71644A21"/>
    <w:rsid w:val="72CC25DB"/>
    <w:rsid w:val="75A42558"/>
    <w:rsid w:val="76783DB3"/>
    <w:rsid w:val="767FBAF6"/>
    <w:rsid w:val="772109C4"/>
    <w:rsid w:val="780D4890"/>
    <w:rsid w:val="78DA29DF"/>
    <w:rsid w:val="7C191697"/>
    <w:rsid w:val="7C5F5A68"/>
    <w:rsid w:val="7CD12312"/>
    <w:rsid w:val="7DCACC56"/>
    <w:rsid w:val="7E4B2F3F"/>
    <w:rsid w:val="7EAF8B94"/>
    <w:rsid w:val="7FB222F7"/>
    <w:rsid w:val="7FCF1613"/>
    <w:rsid w:val="7FEBEE6E"/>
    <w:rsid w:val="7FFFED97"/>
    <w:rsid w:val="BFFDA737"/>
    <w:rsid w:val="DBFFF2CF"/>
    <w:rsid w:val="FD379A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1"/>
    <w:semiHidden/>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42"/>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3"/>
    <w:semiHidden/>
    <w:unhideWhenUsed/>
    <w:qFormat/>
    <w:uiPriority w:val="0"/>
    <w:pPr>
      <w:keepNext/>
      <w:keepLines/>
      <w:spacing w:before="240" w:after="64" w:line="319" w:lineRule="auto"/>
      <w:outlineLvl w:val="5"/>
    </w:pPr>
    <w:rPr>
      <w:rFonts w:ascii="Arial" w:hAnsi="Arial" w:eastAsia="黑体"/>
      <w:b/>
      <w:bCs/>
      <w:sz w:val="24"/>
      <w:szCs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8">
    <w:name w:val="annotation text"/>
    <w:basedOn w:val="1"/>
    <w:link w:val="59"/>
    <w:qFormat/>
    <w:uiPriority w:val="0"/>
    <w:pPr>
      <w:jc w:val="left"/>
    </w:pPr>
    <w:rPr>
      <w:kern w:val="0"/>
      <w:sz w:val="24"/>
      <w:szCs w:val="24"/>
    </w:rPr>
  </w:style>
  <w:style w:type="paragraph" w:styleId="9">
    <w:name w:val="Body Text 3"/>
    <w:basedOn w:val="1"/>
    <w:link w:val="80"/>
    <w:qFormat/>
    <w:uiPriority w:val="0"/>
    <w:pPr>
      <w:spacing w:line="840" w:lineRule="exact"/>
      <w:jc w:val="center"/>
    </w:pPr>
    <w:rPr>
      <w:rFonts w:ascii="方正大标宋简体" w:hAnsi="宋体" w:eastAsia="方正大标宋简体"/>
      <w:bCs/>
      <w:sz w:val="42"/>
      <w:szCs w:val="42"/>
      <w:lang w:val="en-US" w:eastAsia="zh-CN"/>
    </w:rPr>
  </w:style>
  <w:style w:type="paragraph" w:styleId="10">
    <w:name w:val="Body Text"/>
    <w:basedOn w:val="1"/>
    <w:link w:val="72"/>
    <w:qFormat/>
    <w:uiPriority w:val="0"/>
    <w:pPr>
      <w:spacing w:after="120"/>
    </w:pPr>
    <w:rPr>
      <w:rFonts w:eastAsia="Times New Roman"/>
      <w:szCs w:val="24"/>
      <w:lang w:val="en-US" w:eastAsia="zh-CN"/>
    </w:rPr>
  </w:style>
  <w:style w:type="paragraph" w:styleId="11">
    <w:name w:val="Body Text Indent"/>
    <w:basedOn w:val="1"/>
    <w:link w:val="45"/>
    <w:qFormat/>
    <w:uiPriority w:val="0"/>
    <w:pPr>
      <w:tabs>
        <w:tab w:val="left" w:pos="7020"/>
      </w:tabs>
      <w:spacing w:line="600" w:lineRule="exact"/>
      <w:ind w:firstLine="600" w:firstLineChars="200"/>
    </w:pPr>
    <w:rPr>
      <w:rFonts w:ascii="仿宋_GB2312" w:eastAsia="仿宋_GB2312"/>
      <w:sz w:val="30"/>
      <w:szCs w:val="24"/>
    </w:rPr>
  </w:style>
  <w:style w:type="paragraph" w:styleId="12">
    <w:name w:val="Block Text"/>
    <w:basedOn w:val="1"/>
    <w:unhideWhenUsed/>
    <w:qFormat/>
    <w:uiPriority w:val="99"/>
    <w:pPr>
      <w:widowControl/>
      <w:spacing w:after="240"/>
      <w:jc w:val="left"/>
    </w:pPr>
    <w:rPr>
      <w:kern w:val="0"/>
      <w:sz w:val="24"/>
      <w:lang w:eastAsia="en-US"/>
    </w:rPr>
  </w:style>
  <w:style w:type="paragraph" w:styleId="13">
    <w:name w:val="Plain Text"/>
    <w:basedOn w:val="1"/>
    <w:link w:val="52"/>
    <w:qFormat/>
    <w:uiPriority w:val="0"/>
    <w:rPr>
      <w:rFonts w:ascii="宋体" w:hAnsi="Courier New" w:cs="Courier New"/>
      <w:szCs w:val="21"/>
    </w:rPr>
  </w:style>
  <w:style w:type="paragraph" w:styleId="14">
    <w:name w:val="Date"/>
    <w:basedOn w:val="1"/>
    <w:next w:val="1"/>
    <w:link w:val="48"/>
    <w:qFormat/>
    <w:uiPriority w:val="0"/>
    <w:rPr>
      <w:rFonts w:ascii="楷体_GB2312" w:eastAsia="楷体_GB2312"/>
      <w:sz w:val="32"/>
    </w:rPr>
  </w:style>
  <w:style w:type="paragraph" w:styleId="15">
    <w:name w:val="Body Text Indent 2"/>
    <w:basedOn w:val="1"/>
    <w:link w:val="75"/>
    <w:qFormat/>
    <w:uiPriority w:val="0"/>
    <w:pPr>
      <w:spacing w:line="600" w:lineRule="exact"/>
      <w:ind w:firstLine="600" w:firstLineChars="200"/>
    </w:pPr>
    <w:rPr>
      <w:rFonts w:ascii="仿宋_GB2312" w:hAnsi="宋体" w:eastAsia="仿宋_GB2312"/>
      <w:sz w:val="30"/>
      <w:szCs w:val="30"/>
      <w:lang w:val="en-US" w:eastAsia="zh-CN"/>
    </w:rPr>
  </w:style>
  <w:style w:type="paragraph" w:styleId="16">
    <w:name w:val="endnote text"/>
    <w:basedOn w:val="1"/>
    <w:link w:val="58"/>
    <w:qFormat/>
    <w:uiPriority w:val="0"/>
    <w:pPr>
      <w:snapToGrid w:val="0"/>
      <w:jc w:val="left"/>
    </w:pPr>
    <w:rPr>
      <w:kern w:val="0"/>
      <w:sz w:val="24"/>
      <w:szCs w:val="24"/>
    </w:rPr>
  </w:style>
  <w:style w:type="paragraph" w:styleId="17">
    <w:name w:val="Balloon Text"/>
    <w:basedOn w:val="1"/>
    <w:link w:val="47"/>
    <w:qFormat/>
    <w:uiPriority w:val="0"/>
    <w:rPr>
      <w:sz w:val="18"/>
      <w:szCs w:val="18"/>
    </w:rPr>
  </w:style>
  <w:style w:type="paragraph" w:styleId="18">
    <w:name w:val="footer"/>
    <w:basedOn w:val="1"/>
    <w:link w:val="44"/>
    <w:qFormat/>
    <w:uiPriority w:val="99"/>
    <w:pPr>
      <w:tabs>
        <w:tab w:val="center" w:pos="4153"/>
        <w:tab w:val="right" w:pos="8306"/>
      </w:tabs>
      <w:snapToGrid w:val="0"/>
      <w:jc w:val="left"/>
    </w:pPr>
    <w:rPr>
      <w:sz w:val="18"/>
      <w:szCs w:val="18"/>
    </w:rPr>
  </w:style>
  <w:style w:type="paragraph" w:styleId="19">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101"/>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link w:val="85"/>
    <w:qFormat/>
    <w:uiPriority w:val="0"/>
    <w:pPr>
      <w:snapToGrid w:val="0"/>
      <w:jc w:val="left"/>
    </w:pPr>
    <w:rPr>
      <w:rFonts w:eastAsia="Times New Roman"/>
      <w:sz w:val="18"/>
      <w:szCs w:val="18"/>
      <w:lang w:val="en-US" w:eastAsia="zh-CN"/>
    </w:rPr>
  </w:style>
  <w:style w:type="paragraph" w:styleId="22">
    <w:name w:val="Body Text Indent 3"/>
    <w:basedOn w:val="1"/>
    <w:link w:val="78"/>
    <w:qFormat/>
    <w:uiPriority w:val="0"/>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paragraph" w:styleId="23">
    <w:name w:val="Body Text 2"/>
    <w:basedOn w:val="1"/>
    <w:link w:val="54"/>
    <w:qFormat/>
    <w:uiPriority w:val="0"/>
    <w:pPr>
      <w:spacing w:line="840" w:lineRule="exact"/>
      <w:jc w:val="center"/>
    </w:pPr>
    <w:rPr>
      <w:rFonts w:ascii="宋体" w:hAnsi="Courier New"/>
      <w:kern w:val="0"/>
      <w:szCs w:val="21"/>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20"/>
    <w:link w:val="102"/>
    <w:qFormat/>
    <w:uiPriority w:val="10"/>
    <w:pPr>
      <w:widowControl/>
      <w:suppressAutoHyphens/>
      <w:overflowPunct w:val="0"/>
      <w:autoSpaceDE w:val="0"/>
      <w:jc w:val="center"/>
    </w:pPr>
    <w:rPr>
      <w:rFonts w:ascii="ClassGarmnd BT" w:hAnsi="ClassGarmnd BT" w:cs="ClassGarmnd BT"/>
      <w:b/>
      <w:kern w:val="1"/>
      <w:sz w:val="32"/>
      <w:lang w:val="en-AU" w:eastAsia="ar-SA"/>
    </w:rPr>
  </w:style>
  <w:style w:type="paragraph" w:styleId="26">
    <w:name w:val="annotation subject"/>
    <w:basedOn w:val="8"/>
    <w:next w:val="8"/>
    <w:link w:val="87"/>
    <w:qFormat/>
    <w:uiPriority w:val="0"/>
    <w:rPr>
      <w:b/>
      <w:bCs/>
      <w:kern w:val="2"/>
      <w:sz w:val="21"/>
      <w:lang w:val="en-US" w:eastAsia="zh-CN"/>
    </w:rPr>
  </w:style>
  <w:style w:type="table" w:styleId="28">
    <w:name w:val="Table Grid"/>
    <w:basedOn w:val="2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ndnote reference"/>
    <w:qFormat/>
    <w:uiPriority w:val="0"/>
    <w:rPr>
      <w:rFonts w:cs="Times New Roman"/>
      <w:vertAlign w:val="superscript"/>
    </w:rPr>
  </w:style>
  <w:style w:type="character" w:styleId="32">
    <w:name w:val="page number"/>
    <w:basedOn w:val="29"/>
    <w:qFormat/>
    <w:uiPriority w:val="0"/>
  </w:style>
  <w:style w:type="character" w:styleId="33">
    <w:name w:val="FollowedHyperlink"/>
    <w:basedOn w:val="29"/>
    <w:qFormat/>
    <w:uiPriority w:val="99"/>
    <w:rPr>
      <w:color w:val="800080"/>
      <w:u w:val="single"/>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szCs w:val="21"/>
    </w:rPr>
  </w:style>
  <w:style w:type="character" w:styleId="36">
    <w:name w:val="footnote reference"/>
    <w:basedOn w:val="29"/>
    <w:unhideWhenUsed/>
    <w:qFormat/>
    <w:uiPriority w:val="0"/>
    <w:rPr>
      <w:vertAlign w:val="superscript"/>
    </w:rPr>
  </w:style>
  <w:style w:type="character" w:customStyle="1" w:styleId="37">
    <w:name w:val="批注文字 字符"/>
    <w:semiHidden/>
    <w:qFormat/>
    <w:uiPriority w:val="99"/>
    <w:rPr>
      <w:rFonts w:hint="default" w:ascii="Calibri" w:hAnsi="Calibri" w:eastAsia="宋体" w:cs="Times New Roman"/>
    </w:rPr>
  </w:style>
  <w:style w:type="character" w:customStyle="1" w:styleId="38">
    <w:name w:val="标题 1 Char"/>
    <w:link w:val="2"/>
    <w:qFormat/>
    <w:locked/>
    <w:uiPriority w:val="0"/>
    <w:rPr>
      <w:rFonts w:eastAsia="宋体"/>
      <w:b/>
      <w:bCs/>
      <w:kern w:val="44"/>
      <w:sz w:val="44"/>
      <w:szCs w:val="44"/>
      <w:lang w:bidi="ar-SA"/>
    </w:rPr>
  </w:style>
  <w:style w:type="character" w:customStyle="1" w:styleId="39">
    <w:name w:val="标题 2 Char"/>
    <w:link w:val="3"/>
    <w:qFormat/>
    <w:locked/>
    <w:uiPriority w:val="0"/>
    <w:rPr>
      <w:rFonts w:ascii="Arial" w:hAnsi="Arial" w:eastAsia="黑体"/>
      <w:b/>
      <w:bCs/>
      <w:sz w:val="32"/>
      <w:szCs w:val="32"/>
      <w:lang w:bidi="ar-SA"/>
    </w:rPr>
  </w:style>
  <w:style w:type="character" w:customStyle="1" w:styleId="40">
    <w:name w:val="标题 3 Char"/>
    <w:link w:val="4"/>
    <w:semiHidden/>
    <w:qFormat/>
    <w:locked/>
    <w:uiPriority w:val="0"/>
    <w:rPr>
      <w:rFonts w:eastAsia="宋体"/>
      <w:b/>
      <w:bCs/>
      <w:sz w:val="32"/>
      <w:szCs w:val="32"/>
      <w:lang w:bidi="ar-SA"/>
    </w:rPr>
  </w:style>
  <w:style w:type="character" w:customStyle="1" w:styleId="41">
    <w:name w:val="标题 4 Char"/>
    <w:basedOn w:val="29"/>
    <w:link w:val="5"/>
    <w:semiHidden/>
    <w:qFormat/>
    <w:uiPriority w:val="0"/>
    <w:rPr>
      <w:rFonts w:ascii="Cambria" w:hAnsi="Cambria" w:eastAsia="宋体" w:cs="Times New Roman"/>
      <w:b/>
      <w:bCs/>
      <w:kern w:val="2"/>
      <w:sz w:val="28"/>
      <w:szCs w:val="28"/>
    </w:rPr>
  </w:style>
  <w:style w:type="character" w:customStyle="1" w:styleId="42">
    <w:name w:val="标题 5 Char"/>
    <w:basedOn w:val="29"/>
    <w:link w:val="6"/>
    <w:semiHidden/>
    <w:qFormat/>
    <w:uiPriority w:val="0"/>
    <w:rPr>
      <w:b/>
      <w:bCs/>
      <w:kern w:val="2"/>
      <w:sz w:val="28"/>
      <w:szCs w:val="28"/>
    </w:rPr>
  </w:style>
  <w:style w:type="character" w:customStyle="1" w:styleId="43">
    <w:name w:val="标题 6 Char"/>
    <w:basedOn w:val="29"/>
    <w:link w:val="7"/>
    <w:semiHidden/>
    <w:qFormat/>
    <w:uiPriority w:val="0"/>
    <w:rPr>
      <w:rFonts w:ascii="Arial" w:hAnsi="Arial" w:eastAsia="黑体"/>
      <w:b/>
      <w:bCs/>
      <w:kern w:val="2"/>
      <w:sz w:val="24"/>
      <w:szCs w:val="24"/>
    </w:rPr>
  </w:style>
  <w:style w:type="character" w:customStyle="1" w:styleId="44">
    <w:name w:val="页脚 Char"/>
    <w:link w:val="18"/>
    <w:qFormat/>
    <w:locked/>
    <w:uiPriority w:val="99"/>
    <w:rPr>
      <w:rFonts w:eastAsia="宋体"/>
      <w:kern w:val="2"/>
      <w:sz w:val="18"/>
      <w:szCs w:val="18"/>
      <w:lang w:val="en-US" w:eastAsia="zh-CN" w:bidi="ar-SA"/>
    </w:rPr>
  </w:style>
  <w:style w:type="character" w:customStyle="1" w:styleId="45">
    <w:name w:val="正文文本缩进 Char"/>
    <w:basedOn w:val="29"/>
    <w:link w:val="11"/>
    <w:qFormat/>
    <w:uiPriority w:val="0"/>
    <w:rPr>
      <w:rFonts w:ascii="仿宋_GB2312" w:eastAsia="仿宋_GB2312"/>
      <w:kern w:val="2"/>
      <w:sz w:val="30"/>
      <w:szCs w:val="24"/>
      <w:lang w:val="en-US" w:eastAsia="zh-CN" w:bidi="ar-SA"/>
    </w:rPr>
  </w:style>
  <w:style w:type="character" w:customStyle="1" w:styleId="46">
    <w:name w:val="页眉 Char"/>
    <w:link w:val="19"/>
    <w:qFormat/>
    <w:locked/>
    <w:uiPriority w:val="0"/>
    <w:rPr>
      <w:rFonts w:eastAsia="宋体"/>
      <w:kern w:val="2"/>
      <w:sz w:val="18"/>
      <w:szCs w:val="18"/>
      <w:lang w:val="en-US" w:eastAsia="zh-CN" w:bidi="ar-SA"/>
    </w:rPr>
  </w:style>
  <w:style w:type="character" w:customStyle="1" w:styleId="47">
    <w:name w:val="批注框文本 Char"/>
    <w:link w:val="17"/>
    <w:qFormat/>
    <w:locked/>
    <w:uiPriority w:val="0"/>
    <w:rPr>
      <w:rFonts w:eastAsia="宋体"/>
      <w:kern w:val="2"/>
      <w:sz w:val="18"/>
      <w:szCs w:val="18"/>
      <w:lang w:val="en-US" w:eastAsia="zh-CN" w:bidi="ar-SA"/>
    </w:rPr>
  </w:style>
  <w:style w:type="character" w:customStyle="1" w:styleId="48">
    <w:name w:val="日期 Char"/>
    <w:basedOn w:val="29"/>
    <w:link w:val="14"/>
    <w:qFormat/>
    <w:uiPriority w:val="0"/>
    <w:rPr>
      <w:rFonts w:ascii="楷体_GB2312" w:eastAsia="楷体_GB2312"/>
      <w:kern w:val="2"/>
      <w:sz w:val="32"/>
      <w:lang w:val="en-US" w:eastAsia="zh-CN" w:bidi="ar-SA"/>
    </w:rPr>
  </w:style>
  <w:style w:type="paragraph" w:customStyle="1" w:styleId="49">
    <w:name w:val="dash6b63_658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0">
    <w:name w:val="dash6b63_6587__char"/>
    <w:basedOn w:val="29"/>
    <w:qFormat/>
    <w:uiPriority w:val="0"/>
  </w:style>
  <w:style w:type="character" w:customStyle="1" w:styleId="51">
    <w:name w:val="dash6b63_005f6587_005f_005fchar__char"/>
    <w:basedOn w:val="29"/>
    <w:qFormat/>
    <w:uiPriority w:val="0"/>
  </w:style>
  <w:style w:type="character" w:customStyle="1" w:styleId="52">
    <w:name w:val="纯文本 Char"/>
    <w:basedOn w:val="29"/>
    <w:link w:val="13"/>
    <w:qFormat/>
    <w:uiPriority w:val="0"/>
    <w:rPr>
      <w:rFonts w:ascii="宋体" w:hAnsi="Courier New" w:eastAsia="宋体" w:cs="Courier New"/>
      <w:kern w:val="2"/>
      <w:sz w:val="21"/>
      <w:szCs w:val="21"/>
      <w:lang w:val="en-US" w:eastAsia="zh-CN" w:bidi="ar-SA"/>
    </w:rPr>
  </w:style>
  <w:style w:type="paragraph" w:customStyle="1" w:styleId="53">
    <w:name w:val="p0"/>
    <w:basedOn w:val="1"/>
    <w:qFormat/>
    <w:uiPriority w:val="0"/>
    <w:pPr>
      <w:widowControl/>
    </w:pPr>
    <w:rPr>
      <w:kern w:val="0"/>
      <w:szCs w:val="21"/>
    </w:rPr>
  </w:style>
  <w:style w:type="character" w:customStyle="1" w:styleId="54">
    <w:name w:val="正文文本 2 Char"/>
    <w:link w:val="23"/>
    <w:qFormat/>
    <w:locked/>
    <w:uiPriority w:val="0"/>
    <w:rPr>
      <w:rFonts w:ascii="宋体" w:hAnsi="Courier New" w:eastAsia="宋体"/>
      <w:sz w:val="21"/>
      <w:szCs w:val="21"/>
      <w:lang w:bidi="ar-SA"/>
    </w:rPr>
  </w:style>
  <w:style w:type="paragraph" w:styleId="55">
    <w:name w:val="List Paragraph"/>
    <w:basedOn w:val="1"/>
    <w:link w:val="56"/>
    <w:qFormat/>
    <w:uiPriority w:val="0"/>
    <w:pPr>
      <w:ind w:firstLine="420" w:firstLineChars="200"/>
    </w:pPr>
    <w:rPr>
      <w:szCs w:val="24"/>
    </w:rPr>
  </w:style>
  <w:style w:type="character" w:customStyle="1" w:styleId="56">
    <w:name w:val="列出段落 Char"/>
    <w:link w:val="55"/>
    <w:qFormat/>
    <w:uiPriority w:val="0"/>
    <w:rPr>
      <w:kern w:val="2"/>
      <w:sz w:val="21"/>
      <w:szCs w:val="24"/>
    </w:rPr>
  </w:style>
  <w:style w:type="paragraph" w:customStyle="1" w:styleId="57">
    <w:name w:val="列出段落1"/>
    <w:basedOn w:val="1"/>
    <w:qFormat/>
    <w:uiPriority w:val="0"/>
    <w:pPr>
      <w:ind w:firstLine="420" w:firstLineChars="200"/>
    </w:pPr>
    <w:rPr>
      <w:rFonts w:ascii="Calibri" w:hAnsi="Calibri"/>
      <w:szCs w:val="22"/>
    </w:rPr>
  </w:style>
  <w:style w:type="character" w:customStyle="1" w:styleId="58">
    <w:name w:val="尾注文本 Char"/>
    <w:link w:val="16"/>
    <w:qFormat/>
    <w:locked/>
    <w:uiPriority w:val="0"/>
    <w:rPr>
      <w:rFonts w:eastAsia="宋体"/>
      <w:sz w:val="24"/>
      <w:szCs w:val="24"/>
      <w:lang w:bidi="ar-SA"/>
    </w:rPr>
  </w:style>
  <w:style w:type="character" w:customStyle="1" w:styleId="59">
    <w:name w:val="批注文字 Char"/>
    <w:link w:val="8"/>
    <w:qFormat/>
    <w:locked/>
    <w:uiPriority w:val="0"/>
    <w:rPr>
      <w:rFonts w:eastAsia="宋体"/>
      <w:sz w:val="24"/>
      <w:szCs w:val="24"/>
      <w:lang w:bidi="ar-SA"/>
    </w:rPr>
  </w:style>
  <w:style w:type="paragraph" w:customStyle="1" w:styleId="60">
    <w:name w:val="00正文"/>
    <w:basedOn w:val="1"/>
    <w:qFormat/>
    <w:uiPriority w:val="0"/>
    <w:pPr>
      <w:snapToGrid w:val="0"/>
      <w:spacing w:beforeLines="50" w:afterLines="50" w:line="360" w:lineRule="auto"/>
      <w:ind w:firstLine="200" w:firstLineChars="200"/>
    </w:pPr>
    <w:rPr>
      <w:rFonts w:ascii="宋体" w:hAnsi="宋体"/>
      <w:sz w:val="24"/>
      <w:szCs w:val="24"/>
    </w:rPr>
  </w:style>
  <w:style w:type="paragraph" w:customStyle="1" w:styleId="61">
    <w:name w:val="List Paragraph11"/>
    <w:basedOn w:val="1"/>
    <w:qFormat/>
    <w:uiPriority w:val="0"/>
    <w:pPr>
      <w:ind w:firstLine="420" w:firstLineChars="200"/>
    </w:pPr>
    <w:rPr>
      <w:rFonts w:ascii="Calibri" w:hAnsi="Calibri"/>
      <w:szCs w:val="22"/>
    </w:rPr>
  </w:style>
  <w:style w:type="paragraph" w:customStyle="1" w:styleId="62">
    <w:name w:val="内页正文"/>
    <w:link w:val="63"/>
    <w:qFormat/>
    <w:locked/>
    <w:uiPriority w:val="0"/>
    <w:pPr>
      <w:suppressAutoHyphens/>
      <w:spacing w:after="120"/>
      <w:jc w:val="both"/>
    </w:pPr>
    <w:rPr>
      <w:rFonts w:ascii="Arial" w:hAnsi="Arial" w:eastAsia="汉仪中等线简" w:cs="Times New Roman"/>
      <w:color w:val="000000"/>
      <w:sz w:val="18"/>
      <w:szCs w:val="18"/>
      <w:lang w:val="en-US" w:eastAsia="zh-CN" w:bidi="ar-SA"/>
    </w:rPr>
  </w:style>
  <w:style w:type="character" w:customStyle="1" w:styleId="63">
    <w:name w:val="内页正文 Char"/>
    <w:link w:val="62"/>
    <w:qFormat/>
    <w:uiPriority w:val="0"/>
    <w:rPr>
      <w:rFonts w:ascii="Arial" w:hAnsi="Arial" w:eastAsia="汉仪中等线简"/>
      <w:color w:val="000000"/>
      <w:sz w:val="18"/>
      <w:szCs w:val="18"/>
      <w:lang w:bidi="ar-SA"/>
    </w:rPr>
  </w:style>
  <w:style w:type="paragraph" w:customStyle="1" w:styleId="6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5">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 Char Char15"/>
    <w:basedOn w:val="29"/>
    <w:qFormat/>
    <w:uiPriority w:val="0"/>
    <w:rPr>
      <w:rFonts w:eastAsia="宋体"/>
      <w:b/>
      <w:bCs/>
      <w:kern w:val="44"/>
      <w:sz w:val="44"/>
      <w:szCs w:val="44"/>
      <w:lang w:val="en-US" w:eastAsia="zh-CN" w:bidi="ar-SA"/>
    </w:rPr>
  </w:style>
  <w:style w:type="character" w:customStyle="1" w:styleId="67">
    <w:name w:val=" Char Char14"/>
    <w:basedOn w:val="29"/>
    <w:qFormat/>
    <w:uiPriority w:val="0"/>
    <w:rPr>
      <w:rFonts w:eastAsia="宋体"/>
      <w:b/>
      <w:bCs/>
      <w:kern w:val="2"/>
      <w:sz w:val="32"/>
      <w:szCs w:val="32"/>
      <w:lang w:val="en-US" w:eastAsia="zh-CN" w:bidi="ar-SA"/>
    </w:rPr>
  </w:style>
  <w:style w:type="character" w:customStyle="1" w:styleId="68">
    <w:name w:val=" Char Char13"/>
    <w:basedOn w:val="29"/>
    <w:qFormat/>
    <w:uiPriority w:val="0"/>
    <w:rPr>
      <w:rFonts w:eastAsia="宋体"/>
      <w:kern w:val="2"/>
      <w:sz w:val="18"/>
      <w:szCs w:val="18"/>
      <w:lang w:val="en-US" w:eastAsia="zh-CN" w:bidi="ar-SA"/>
    </w:rPr>
  </w:style>
  <w:style w:type="character" w:customStyle="1" w:styleId="69">
    <w:name w:val=" Char Char12"/>
    <w:basedOn w:val="29"/>
    <w:qFormat/>
    <w:uiPriority w:val="0"/>
    <w:rPr>
      <w:rFonts w:eastAsia="宋体"/>
      <w:kern w:val="2"/>
      <w:sz w:val="18"/>
      <w:szCs w:val="18"/>
      <w:lang w:val="en-US" w:eastAsia="zh-CN" w:bidi="ar-SA"/>
    </w:rPr>
  </w:style>
  <w:style w:type="character" w:customStyle="1" w:styleId="70">
    <w:name w:val="正文文本缩进 Char1"/>
    <w:basedOn w:val="29"/>
    <w:qFormat/>
    <w:uiPriority w:val="0"/>
    <w:rPr>
      <w:kern w:val="2"/>
      <w:sz w:val="21"/>
      <w:szCs w:val="24"/>
    </w:rPr>
  </w:style>
  <w:style w:type="character" w:customStyle="1" w:styleId="71">
    <w:name w:val="日期 Char1"/>
    <w:basedOn w:val="29"/>
    <w:qFormat/>
    <w:uiPriority w:val="0"/>
    <w:rPr>
      <w:kern w:val="2"/>
      <w:sz w:val="21"/>
      <w:szCs w:val="24"/>
    </w:rPr>
  </w:style>
  <w:style w:type="character" w:customStyle="1" w:styleId="72">
    <w:name w:val="正文文本 Char"/>
    <w:basedOn w:val="29"/>
    <w:link w:val="10"/>
    <w:qFormat/>
    <w:uiPriority w:val="0"/>
    <w:rPr>
      <w:rFonts w:eastAsia="Times New Roman"/>
      <w:kern w:val="2"/>
      <w:sz w:val="21"/>
      <w:szCs w:val="24"/>
      <w:lang w:val="en-US" w:eastAsia="zh-CN"/>
    </w:rPr>
  </w:style>
  <w:style w:type="character" w:customStyle="1" w:styleId="73">
    <w:name w:val="正文文本 Char1"/>
    <w:basedOn w:val="29"/>
    <w:qFormat/>
    <w:uiPriority w:val="0"/>
    <w:rPr>
      <w:kern w:val="2"/>
      <w:sz w:val="21"/>
      <w:szCs w:val="24"/>
    </w:rPr>
  </w:style>
  <w:style w:type="character" w:customStyle="1" w:styleId="74">
    <w:name w:val="批注框文本 Char1"/>
    <w:basedOn w:val="29"/>
    <w:qFormat/>
    <w:uiPriority w:val="0"/>
    <w:rPr>
      <w:kern w:val="2"/>
      <w:sz w:val="18"/>
      <w:szCs w:val="18"/>
    </w:rPr>
  </w:style>
  <w:style w:type="character" w:customStyle="1" w:styleId="75">
    <w:name w:val="正文文本缩进 2 Char"/>
    <w:basedOn w:val="29"/>
    <w:link w:val="15"/>
    <w:qFormat/>
    <w:uiPriority w:val="0"/>
    <w:rPr>
      <w:rFonts w:ascii="仿宋_GB2312" w:hAnsi="宋体" w:eastAsia="仿宋_GB2312"/>
      <w:kern w:val="2"/>
      <w:sz w:val="30"/>
      <w:szCs w:val="30"/>
      <w:lang w:val="en-US" w:eastAsia="zh-CN"/>
    </w:rPr>
  </w:style>
  <w:style w:type="character" w:customStyle="1" w:styleId="76">
    <w:name w:val="正文文本缩进 2 Char1"/>
    <w:basedOn w:val="29"/>
    <w:qFormat/>
    <w:uiPriority w:val="0"/>
    <w:rPr>
      <w:kern w:val="2"/>
      <w:sz w:val="21"/>
      <w:szCs w:val="24"/>
    </w:rPr>
  </w:style>
  <w:style w:type="character" w:customStyle="1" w:styleId="77">
    <w:name w:val="正文文本 2 Char1"/>
    <w:basedOn w:val="29"/>
    <w:qFormat/>
    <w:uiPriority w:val="0"/>
    <w:rPr>
      <w:kern w:val="2"/>
      <w:sz w:val="21"/>
      <w:szCs w:val="24"/>
    </w:rPr>
  </w:style>
  <w:style w:type="character" w:customStyle="1" w:styleId="78">
    <w:name w:val="正文文本缩进 3 Char"/>
    <w:basedOn w:val="29"/>
    <w:link w:val="22"/>
    <w:qFormat/>
    <w:uiPriority w:val="0"/>
    <w:rPr>
      <w:rFonts w:ascii="仿宋_GB2312" w:eastAsia="仿宋_GB2312"/>
      <w:sz w:val="30"/>
      <w:szCs w:val="28"/>
      <w:lang w:val="zh-CN" w:eastAsia="zh-CN"/>
    </w:rPr>
  </w:style>
  <w:style w:type="character" w:customStyle="1" w:styleId="79">
    <w:name w:val="正文文本缩进 3 Char1"/>
    <w:basedOn w:val="29"/>
    <w:qFormat/>
    <w:uiPriority w:val="0"/>
    <w:rPr>
      <w:kern w:val="2"/>
      <w:sz w:val="16"/>
      <w:szCs w:val="16"/>
    </w:rPr>
  </w:style>
  <w:style w:type="character" w:customStyle="1" w:styleId="80">
    <w:name w:val="正文文本 3 Char"/>
    <w:basedOn w:val="29"/>
    <w:link w:val="9"/>
    <w:qFormat/>
    <w:uiPriority w:val="0"/>
    <w:rPr>
      <w:rFonts w:ascii="方正大标宋简体" w:hAnsi="宋体" w:eastAsia="方正大标宋简体"/>
      <w:bCs/>
      <w:kern w:val="2"/>
      <w:sz w:val="42"/>
      <w:szCs w:val="42"/>
      <w:lang w:val="en-US" w:eastAsia="zh-CN"/>
    </w:rPr>
  </w:style>
  <w:style w:type="character" w:customStyle="1" w:styleId="81">
    <w:name w:val="正文文本 3 Char1"/>
    <w:basedOn w:val="29"/>
    <w:qFormat/>
    <w:uiPriority w:val="0"/>
    <w:rPr>
      <w:kern w:val="2"/>
      <w:sz w:val="16"/>
      <w:szCs w:val="16"/>
    </w:rPr>
  </w:style>
  <w:style w:type="character" w:customStyle="1" w:styleId="82">
    <w:name w:val="纯文本 Char1"/>
    <w:basedOn w:val="29"/>
    <w:qFormat/>
    <w:uiPriority w:val="0"/>
    <w:rPr>
      <w:rFonts w:ascii="宋体" w:hAnsi="Courier New" w:cs="Courier New"/>
      <w:kern w:val="2"/>
      <w:sz w:val="21"/>
      <w:szCs w:val="21"/>
    </w:rPr>
  </w:style>
  <w:style w:type="character" w:customStyle="1" w:styleId="83">
    <w:name w:val="条款 Char"/>
    <w:link w:val="84"/>
    <w:qFormat/>
    <w:uiPriority w:val="0"/>
    <w:rPr>
      <w:rFonts w:ascii="仿宋_GB2312" w:hAnsi="Calibri" w:eastAsia="仿宋_GB2312"/>
      <w:color w:val="000000"/>
      <w:sz w:val="28"/>
      <w:lang w:bidi="ar-SA"/>
    </w:rPr>
  </w:style>
  <w:style w:type="paragraph" w:customStyle="1" w:styleId="84">
    <w:name w:val="条款"/>
    <w:basedOn w:val="1"/>
    <w:link w:val="83"/>
    <w:qFormat/>
    <w:uiPriority w:val="0"/>
    <w:pPr>
      <w:widowControl/>
      <w:wordWrap w:val="0"/>
      <w:adjustRightInd w:val="0"/>
      <w:spacing w:line="360" w:lineRule="auto"/>
      <w:ind w:right="272" w:firstLine="560" w:firstLineChars="200"/>
    </w:pPr>
    <w:rPr>
      <w:rFonts w:ascii="仿宋_GB2312" w:hAnsi="Calibri" w:eastAsia="仿宋_GB2312"/>
      <w:color w:val="000000"/>
      <w:kern w:val="0"/>
      <w:sz w:val="28"/>
    </w:rPr>
  </w:style>
  <w:style w:type="character" w:customStyle="1" w:styleId="85">
    <w:name w:val="脚注文本 Char"/>
    <w:basedOn w:val="29"/>
    <w:link w:val="21"/>
    <w:qFormat/>
    <w:uiPriority w:val="0"/>
    <w:rPr>
      <w:rFonts w:eastAsia="Times New Roman"/>
      <w:kern w:val="2"/>
      <w:sz w:val="18"/>
      <w:szCs w:val="18"/>
      <w:lang w:val="en-US" w:eastAsia="zh-CN"/>
    </w:rPr>
  </w:style>
  <w:style w:type="character" w:customStyle="1" w:styleId="86">
    <w:name w:val="脚注文本 Char1"/>
    <w:basedOn w:val="29"/>
    <w:qFormat/>
    <w:uiPriority w:val="0"/>
    <w:rPr>
      <w:kern w:val="2"/>
      <w:sz w:val="18"/>
      <w:szCs w:val="18"/>
    </w:rPr>
  </w:style>
  <w:style w:type="character" w:customStyle="1" w:styleId="87">
    <w:name w:val="批注主题 Char"/>
    <w:basedOn w:val="59"/>
    <w:link w:val="26"/>
    <w:qFormat/>
    <w:uiPriority w:val="0"/>
    <w:rPr>
      <w:b/>
      <w:bCs/>
      <w:kern w:val="2"/>
      <w:sz w:val="21"/>
    </w:rPr>
  </w:style>
  <w:style w:type="paragraph" w:customStyle="1" w:styleId="88">
    <w:name w:val="Char3"/>
    <w:basedOn w:val="1"/>
    <w:qFormat/>
    <w:uiPriority w:val="0"/>
    <w:rPr>
      <w:szCs w:val="21"/>
    </w:rPr>
  </w:style>
  <w:style w:type="paragraph" w:customStyle="1" w:styleId="89">
    <w:name w:val="doc-a2"/>
    <w:basedOn w:val="1"/>
    <w:qFormat/>
    <w:uiPriority w:val="0"/>
    <w:pPr>
      <w:widowControl/>
      <w:spacing w:before="225" w:after="100" w:afterAutospacing="1" w:line="450" w:lineRule="atLeast"/>
      <w:ind w:firstLine="480"/>
      <w:jc w:val="left"/>
    </w:pPr>
    <w:rPr>
      <w:rFonts w:ascii="微软雅黑" w:hAnsi="微软雅黑" w:eastAsia="微软雅黑" w:cs="宋体"/>
      <w:kern w:val="0"/>
      <w:szCs w:val="21"/>
    </w:rPr>
  </w:style>
  <w:style w:type="paragraph" w:customStyle="1" w:styleId="90">
    <w:name w:val="样式1"/>
    <w:basedOn w:val="1"/>
    <w:link w:val="91"/>
    <w:qFormat/>
    <w:uiPriority w:val="0"/>
    <w:pPr>
      <w:numPr>
        <w:ilvl w:val="0"/>
        <w:numId w:val="1"/>
      </w:numPr>
      <w:tabs>
        <w:tab w:val="left" w:pos="2127"/>
      </w:tabs>
      <w:adjustRightInd w:val="0"/>
      <w:snapToGrid w:val="0"/>
      <w:spacing w:line="540" w:lineRule="exact"/>
      <w:ind w:left="988"/>
    </w:pPr>
    <w:rPr>
      <w:rFonts w:ascii="仿宋_GB2312" w:hAnsi="宋体" w:eastAsia="仿宋_GB2312"/>
      <w:kern w:val="0"/>
      <w:sz w:val="30"/>
      <w:szCs w:val="30"/>
    </w:rPr>
  </w:style>
  <w:style w:type="character" w:customStyle="1" w:styleId="91">
    <w:name w:val="样式1 Char"/>
    <w:link w:val="90"/>
    <w:qFormat/>
    <w:locked/>
    <w:uiPriority w:val="0"/>
    <w:rPr>
      <w:rFonts w:ascii="仿宋_GB2312" w:hAnsi="宋体" w:eastAsia="仿宋_GB2312"/>
      <w:sz w:val="30"/>
      <w:szCs w:val="30"/>
    </w:rPr>
  </w:style>
  <w:style w:type="paragraph" w:customStyle="1" w:styleId="92">
    <w:name w:val="SSE正文"/>
    <w:basedOn w:val="1"/>
    <w:link w:val="93"/>
    <w:qFormat/>
    <w:uiPriority w:val="0"/>
    <w:pPr>
      <w:ind w:firstLine="200" w:firstLineChars="200"/>
    </w:pPr>
    <w:rPr>
      <w:rFonts w:eastAsia="仿宋_GB2312"/>
      <w:sz w:val="28"/>
      <w:szCs w:val="28"/>
    </w:rPr>
  </w:style>
  <w:style w:type="character" w:customStyle="1" w:styleId="93">
    <w:name w:val="SSE正文 Char"/>
    <w:basedOn w:val="29"/>
    <w:link w:val="92"/>
    <w:qFormat/>
    <w:uiPriority w:val="0"/>
    <w:rPr>
      <w:rFonts w:eastAsia="仿宋_GB2312"/>
      <w:kern w:val="2"/>
      <w:sz w:val="28"/>
      <w:szCs w:val="28"/>
    </w:rPr>
  </w:style>
  <w:style w:type="paragraph" w:customStyle="1" w:styleId="94">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w:cs="Arial Unicode MS"/>
      <w:color w:val="000000"/>
      <w:sz w:val="22"/>
      <w:szCs w:val="22"/>
      <w:lang w:val="zh-CN" w:eastAsia="zh-CN" w:bidi="ar-SA"/>
    </w:rPr>
  </w:style>
  <w:style w:type="paragraph" w:customStyle="1" w:styleId="95">
    <w:name w:val="Message Heading"/>
    <w:basedOn w:val="1"/>
    <w:next w:val="1"/>
    <w:qFormat/>
    <w:uiPriority w:val="0"/>
    <w:pPr>
      <w:widowControl/>
      <w:spacing w:after="120" w:line="320" w:lineRule="atLeast"/>
      <w:jc w:val="left"/>
    </w:pPr>
    <w:rPr>
      <w:rFonts w:ascii="Frutiger 45 Light" w:hAnsi="Frutiger 45 Light" w:eastAsia="华文楷体"/>
      <w:b/>
      <w:color w:val="3783FF"/>
      <w:kern w:val="0"/>
      <w:sz w:val="28"/>
    </w:rPr>
  </w:style>
  <w:style w:type="paragraph" w:customStyle="1" w:styleId="96">
    <w:name w:val="SSE标题1"/>
    <w:basedOn w:val="2"/>
    <w:link w:val="97"/>
    <w:qFormat/>
    <w:uiPriority w:val="0"/>
    <w:pPr>
      <w:spacing w:before="0" w:after="120" w:line="240" w:lineRule="auto"/>
      <w:ind w:left="1232" w:hanging="630"/>
    </w:pPr>
    <w:rPr>
      <w:rFonts w:eastAsia="黑体"/>
      <w:sz w:val="30"/>
      <w:szCs w:val="30"/>
      <w:lang w:val="en-US" w:eastAsia="zh-CN"/>
    </w:rPr>
  </w:style>
  <w:style w:type="character" w:customStyle="1" w:styleId="97">
    <w:name w:val="SSE标题1 Char"/>
    <w:basedOn w:val="29"/>
    <w:link w:val="96"/>
    <w:qFormat/>
    <w:uiPriority w:val="0"/>
    <w:rPr>
      <w:rFonts w:eastAsia="黑体"/>
      <w:b/>
      <w:bCs/>
      <w:kern w:val="44"/>
      <w:sz w:val="30"/>
      <w:szCs w:val="30"/>
    </w:rPr>
  </w:style>
  <w:style w:type="paragraph" w:customStyle="1" w:styleId="98">
    <w:name w:val="SSE标题0"/>
    <w:basedOn w:val="1"/>
    <w:link w:val="99"/>
    <w:qFormat/>
    <w:uiPriority w:val="0"/>
    <w:pPr>
      <w:spacing w:before="100" w:beforeAutospacing="1" w:after="100" w:afterAutospacing="1"/>
      <w:jc w:val="center"/>
    </w:pPr>
    <w:rPr>
      <w:rFonts w:eastAsia="华文中宋"/>
      <w:b/>
      <w:sz w:val="44"/>
      <w:szCs w:val="44"/>
    </w:rPr>
  </w:style>
  <w:style w:type="character" w:customStyle="1" w:styleId="99">
    <w:name w:val="SSE标题0 Char"/>
    <w:basedOn w:val="29"/>
    <w:link w:val="98"/>
    <w:qFormat/>
    <w:uiPriority w:val="0"/>
    <w:rPr>
      <w:rFonts w:eastAsia="华文中宋"/>
      <w:b/>
      <w:kern w:val="2"/>
      <w:sz w:val="44"/>
      <w:szCs w:val="44"/>
    </w:rPr>
  </w:style>
  <w:style w:type="paragraph" w:customStyle="1" w:styleId="100">
    <w:name w:val="Стандартный HTML"/>
    <w:basedOn w:val="1"/>
    <w:qFormat/>
    <w:uiPriority w:val="0"/>
    <w:pPr>
      <w:widowControl/>
      <w:suppressAutoHyphens/>
      <w:jc w:val="left"/>
    </w:pPr>
    <w:rPr>
      <w:rFonts w:ascii="Courier New" w:hAnsi="Courier New" w:cs="Courier New"/>
      <w:kern w:val="1"/>
      <w:sz w:val="20"/>
      <w:lang w:eastAsia="ar-SA"/>
    </w:rPr>
  </w:style>
  <w:style w:type="character" w:customStyle="1" w:styleId="101">
    <w:name w:val="副标题 Char"/>
    <w:basedOn w:val="29"/>
    <w:link w:val="20"/>
    <w:qFormat/>
    <w:uiPriority w:val="0"/>
    <w:rPr>
      <w:rFonts w:ascii="Cambria" w:hAnsi="Cambria" w:cs="Times New Roman"/>
      <w:b/>
      <w:bCs/>
      <w:kern w:val="28"/>
      <w:sz w:val="32"/>
      <w:szCs w:val="32"/>
    </w:rPr>
  </w:style>
  <w:style w:type="character" w:customStyle="1" w:styleId="102">
    <w:name w:val="标题 Char"/>
    <w:basedOn w:val="29"/>
    <w:link w:val="25"/>
    <w:qFormat/>
    <w:uiPriority w:val="10"/>
    <w:rPr>
      <w:rFonts w:ascii="ClassGarmnd BT" w:hAnsi="ClassGarmnd BT" w:eastAsia="宋体" w:cs="ClassGarmnd BT"/>
      <w:b/>
      <w:kern w:val="1"/>
      <w:sz w:val="32"/>
      <w:lang w:val="en-AU" w:eastAsia="ar-SA"/>
    </w:rPr>
  </w:style>
  <w:style w:type="paragraph" w:customStyle="1" w:styleId="103">
    <w:name w:val="Основной текст 2"/>
    <w:basedOn w:val="1"/>
    <w:qFormat/>
    <w:uiPriority w:val="0"/>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104">
    <w:name w:val="List Paragraph1"/>
    <w:basedOn w:val="1"/>
    <w:qFormat/>
    <w:uiPriority w:val="0"/>
    <w:pPr>
      <w:suppressAutoHyphens/>
      <w:ind w:left="720"/>
    </w:pPr>
    <w:rPr>
      <w:kern w:val="1"/>
      <w:sz w:val="32"/>
      <w:szCs w:val="24"/>
      <w:lang w:eastAsia="ar-SA"/>
    </w:rPr>
  </w:style>
  <w:style w:type="paragraph" w:customStyle="1" w:styleId="105">
    <w:name w:val="Style1"/>
    <w:basedOn w:val="1"/>
    <w:qFormat/>
    <w:uiPriority w:val="0"/>
    <w:pPr>
      <w:numPr>
        <w:ilvl w:val="0"/>
        <w:numId w:val="2"/>
      </w:numPr>
      <w:suppressAutoHyphens/>
    </w:pPr>
    <w:rPr>
      <w:kern w:val="1"/>
      <w:szCs w:val="24"/>
      <w:lang w:eastAsia="ar-SA"/>
    </w:rPr>
  </w:style>
  <w:style w:type="character" w:customStyle="1" w:styleId="106">
    <w:name w:val="语句 Char"/>
    <w:link w:val="107"/>
    <w:qFormat/>
    <w:locked/>
    <w:uiPriority w:val="0"/>
    <w:rPr>
      <w:rFonts w:ascii="仿宋_GB2312" w:eastAsia="仿宋_GB2312"/>
      <w:b/>
      <w:i/>
      <w:sz w:val="30"/>
      <w:szCs w:val="30"/>
    </w:rPr>
  </w:style>
  <w:style w:type="paragraph" w:customStyle="1" w:styleId="107">
    <w:name w:val="语句"/>
    <w:basedOn w:val="1"/>
    <w:link w:val="106"/>
    <w:qFormat/>
    <w:uiPriority w:val="0"/>
    <w:pPr>
      <w:widowControl/>
      <w:snapToGrid w:val="0"/>
      <w:spacing w:line="540" w:lineRule="exact"/>
      <w:ind w:firstLine="567" w:firstLineChars="189"/>
    </w:pPr>
    <w:rPr>
      <w:rFonts w:ascii="仿宋_GB2312" w:eastAsia="仿宋_GB2312"/>
      <w:b/>
      <w:i/>
      <w:kern w:val="0"/>
      <w:sz w:val="30"/>
      <w:szCs w:val="30"/>
    </w:rPr>
  </w:style>
  <w:style w:type="character" w:customStyle="1" w:styleId="108">
    <w:name w:val="KK一级 Char"/>
    <w:link w:val="109"/>
    <w:qFormat/>
    <w:locked/>
    <w:uiPriority w:val="0"/>
    <w:rPr>
      <w:rFonts w:ascii="仿宋_GB2312" w:hAnsi="Calibri" w:eastAsia="仿宋_GB2312"/>
      <w:b/>
      <w:bCs/>
      <w:sz w:val="30"/>
      <w:szCs w:val="30"/>
    </w:rPr>
  </w:style>
  <w:style w:type="paragraph" w:customStyle="1" w:styleId="109">
    <w:name w:val="KK一级"/>
    <w:basedOn w:val="1"/>
    <w:link w:val="108"/>
    <w:qFormat/>
    <w:uiPriority w:val="0"/>
    <w:pPr>
      <w:spacing w:line="600" w:lineRule="exact"/>
      <w:jc w:val="left"/>
    </w:pPr>
    <w:rPr>
      <w:rFonts w:ascii="仿宋_GB2312" w:hAnsi="Calibri" w:eastAsia="仿宋_GB2312"/>
      <w:b/>
      <w:bCs/>
      <w:kern w:val="0"/>
      <w:sz w:val="30"/>
      <w:szCs w:val="30"/>
    </w:rPr>
  </w:style>
  <w:style w:type="character" w:customStyle="1" w:styleId="110">
    <w:name w:val="KK二级 Char"/>
    <w:link w:val="111"/>
    <w:qFormat/>
    <w:locked/>
    <w:uiPriority w:val="0"/>
    <w:rPr>
      <w:rFonts w:ascii="仿宋_GB2312" w:hAnsi="Calibri" w:eastAsia="仿宋_GB2312"/>
      <w:b/>
      <w:bCs/>
      <w:sz w:val="30"/>
      <w:szCs w:val="30"/>
    </w:rPr>
  </w:style>
  <w:style w:type="paragraph" w:customStyle="1" w:styleId="111">
    <w:name w:val="KK二级"/>
    <w:basedOn w:val="1"/>
    <w:link w:val="110"/>
    <w:qFormat/>
    <w:uiPriority w:val="0"/>
    <w:pPr>
      <w:spacing w:line="600" w:lineRule="exact"/>
      <w:jc w:val="left"/>
    </w:pPr>
    <w:rPr>
      <w:rFonts w:ascii="仿宋_GB2312" w:hAnsi="Calibri" w:eastAsia="仿宋_GB2312"/>
      <w:b/>
      <w:bCs/>
      <w:kern w:val="0"/>
      <w:sz w:val="30"/>
      <w:szCs w:val="30"/>
    </w:rPr>
  </w:style>
  <w:style w:type="character" w:customStyle="1" w:styleId="112">
    <w:name w:val="eee Char"/>
    <w:link w:val="113"/>
    <w:qFormat/>
    <w:locked/>
    <w:uiPriority w:val="0"/>
    <w:rPr>
      <w:rFonts w:ascii="宋体" w:hAnsi="宋体"/>
      <w:sz w:val="24"/>
      <w:szCs w:val="24"/>
    </w:rPr>
  </w:style>
  <w:style w:type="paragraph" w:customStyle="1" w:styleId="113">
    <w:name w:val="eee"/>
    <w:basedOn w:val="1"/>
    <w:link w:val="112"/>
    <w:qFormat/>
    <w:uiPriority w:val="0"/>
    <w:pPr>
      <w:autoSpaceDE w:val="0"/>
      <w:autoSpaceDN w:val="0"/>
      <w:adjustRightInd w:val="0"/>
      <w:spacing w:line="360" w:lineRule="auto"/>
      <w:ind w:firstLine="480" w:firstLineChars="200"/>
    </w:pPr>
    <w:rPr>
      <w:rFonts w:ascii="宋体" w:hAnsi="宋体"/>
      <w:kern w:val="0"/>
      <w:sz w:val="24"/>
      <w:szCs w:val="24"/>
    </w:rPr>
  </w:style>
  <w:style w:type="character" w:customStyle="1" w:styleId="114">
    <w:name w:val="SSE内容提要正文 Char"/>
    <w:link w:val="115"/>
    <w:qFormat/>
    <w:locked/>
    <w:uiPriority w:val="0"/>
    <w:rPr>
      <w:rFonts w:ascii="仿宋_GB2312" w:eastAsia="仿宋_GB2312"/>
      <w:sz w:val="28"/>
    </w:rPr>
  </w:style>
  <w:style w:type="paragraph" w:customStyle="1" w:styleId="115">
    <w:name w:val="SSE内容提要正文"/>
    <w:basedOn w:val="1"/>
    <w:link w:val="114"/>
    <w:qFormat/>
    <w:uiPriority w:val="0"/>
    <w:pPr>
      <w:ind w:firstLine="560" w:firstLineChars="200"/>
    </w:pPr>
    <w:rPr>
      <w:rFonts w:ascii="仿宋_GB2312" w:eastAsia="仿宋_GB2312"/>
      <w:kern w:val="0"/>
      <w:sz w:val="28"/>
    </w:rPr>
  </w:style>
  <w:style w:type="character" w:customStyle="1" w:styleId="116">
    <w:name w:val="SSE资料来源 Char"/>
    <w:link w:val="117"/>
    <w:qFormat/>
    <w:locked/>
    <w:uiPriority w:val="0"/>
    <w:rPr>
      <w:rFonts w:ascii="仿宋_GB2312" w:eastAsia="仿宋_GB2312"/>
      <w:color w:val="000000"/>
    </w:rPr>
  </w:style>
  <w:style w:type="paragraph" w:customStyle="1" w:styleId="117">
    <w:name w:val="SSE资料来源"/>
    <w:basedOn w:val="1"/>
    <w:link w:val="116"/>
    <w:qFormat/>
    <w:uiPriority w:val="0"/>
    <w:pPr>
      <w:spacing w:after="100" w:afterAutospacing="1"/>
      <w:ind w:firstLine="200" w:firstLineChars="200"/>
    </w:pPr>
    <w:rPr>
      <w:rFonts w:ascii="仿宋_GB2312" w:eastAsia="仿宋_GB2312"/>
      <w:color w:val="000000"/>
      <w:kern w:val="0"/>
      <w:sz w:val="20"/>
    </w:rPr>
  </w:style>
  <w:style w:type="character" w:customStyle="1" w:styleId="118">
    <w:name w:val="SSE标题2 Char"/>
    <w:link w:val="119"/>
    <w:qFormat/>
    <w:locked/>
    <w:uiPriority w:val="0"/>
    <w:rPr>
      <w:rFonts w:ascii="仿宋_GB2312" w:eastAsia="仿宋_GB2312"/>
      <w:b/>
      <w:bCs/>
      <w:sz w:val="28"/>
      <w:szCs w:val="28"/>
    </w:rPr>
  </w:style>
  <w:style w:type="paragraph" w:customStyle="1" w:styleId="119">
    <w:name w:val="SSE标题2"/>
    <w:basedOn w:val="3"/>
    <w:link w:val="118"/>
    <w:qFormat/>
    <w:uiPriority w:val="0"/>
    <w:pPr>
      <w:spacing w:beforeLines="50" w:after="0" w:line="240" w:lineRule="auto"/>
    </w:pPr>
    <w:rPr>
      <w:rFonts w:ascii="仿宋_GB2312" w:hAnsi="Times New Roman" w:eastAsia="仿宋_GB2312"/>
      <w:sz w:val="28"/>
      <w:szCs w:val="28"/>
    </w:rPr>
  </w:style>
  <w:style w:type="character" w:customStyle="1" w:styleId="120">
    <w:name w:val="SSE表格文字 Char"/>
    <w:link w:val="121"/>
    <w:qFormat/>
    <w:locked/>
    <w:uiPriority w:val="0"/>
    <w:rPr>
      <w:rFonts w:ascii="仿宋_GB2312" w:eastAsia="仿宋_GB2312"/>
      <w:color w:val="000000"/>
      <w:sz w:val="24"/>
      <w:szCs w:val="24"/>
    </w:rPr>
  </w:style>
  <w:style w:type="paragraph" w:customStyle="1" w:styleId="121">
    <w:name w:val="SSE表格文字"/>
    <w:basedOn w:val="1"/>
    <w:link w:val="120"/>
    <w:qFormat/>
    <w:uiPriority w:val="0"/>
    <w:pPr>
      <w:widowControl/>
      <w:jc w:val="center"/>
    </w:pPr>
    <w:rPr>
      <w:rFonts w:ascii="仿宋_GB2312" w:eastAsia="仿宋_GB2312"/>
      <w:color w:val="000000"/>
      <w:kern w:val="0"/>
      <w:sz w:val="24"/>
      <w:szCs w:val="24"/>
    </w:rPr>
  </w:style>
  <w:style w:type="character" w:customStyle="1" w:styleId="122">
    <w:name w:val="SSE图表标题 Char"/>
    <w:link w:val="123"/>
    <w:qFormat/>
    <w:locked/>
    <w:uiPriority w:val="0"/>
    <w:rPr>
      <w:rFonts w:ascii="仿宋_GB2312" w:eastAsia="仿宋_GB2312"/>
      <w:b/>
      <w:bCs/>
      <w:color w:val="000000"/>
      <w:sz w:val="24"/>
      <w:szCs w:val="24"/>
    </w:rPr>
  </w:style>
  <w:style w:type="paragraph" w:customStyle="1" w:styleId="123">
    <w:name w:val="SSE图表标题"/>
    <w:basedOn w:val="7"/>
    <w:link w:val="122"/>
    <w:qFormat/>
    <w:uiPriority w:val="0"/>
    <w:pPr>
      <w:spacing w:beforeLines="50" w:after="0" w:line="240" w:lineRule="auto"/>
      <w:jc w:val="center"/>
    </w:pPr>
    <w:rPr>
      <w:rFonts w:ascii="仿宋_GB2312" w:hAnsi="Times New Roman" w:eastAsia="仿宋_GB2312"/>
      <w:color w:val="000000"/>
      <w:kern w:val="0"/>
    </w:rPr>
  </w:style>
  <w:style w:type="character" w:customStyle="1" w:styleId="124">
    <w:name w:val="标题 1 字符"/>
    <w:qFormat/>
    <w:uiPriority w:val="9"/>
    <w:rPr>
      <w:rFonts w:hint="default" w:ascii="Calibri" w:hAnsi="Calibri" w:eastAsia="宋体" w:cs="Times New Roman"/>
      <w:b/>
      <w:bCs/>
      <w:kern w:val="44"/>
      <w:sz w:val="44"/>
      <w:szCs w:val="44"/>
    </w:rPr>
  </w:style>
  <w:style w:type="character" w:customStyle="1" w:styleId="125">
    <w:name w:val="标题 2 字符"/>
    <w:semiHidden/>
    <w:qFormat/>
    <w:uiPriority w:val="9"/>
    <w:rPr>
      <w:rFonts w:hint="default" w:ascii="Cambria" w:hAnsi="Cambria" w:eastAsia="宋体" w:cs="Times New Roman"/>
      <w:b/>
      <w:bCs/>
      <w:sz w:val="32"/>
      <w:szCs w:val="32"/>
    </w:rPr>
  </w:style>
  <w:style w:type="character" w:customStyle="1" w:styleId="126">
    <w:name w:val="标题 3 字符"/>
    <w:semiHidden/>
    <w:qFormat/>
    <w:uiPriority w:val="9"/>
    <w:rPr>
      <w:rFonts w:hint="default" w:ascii="Calibri" w:hAnsi="Calibri" w:eastAsia="宋体" w:cs="Times New Roman"/>
      <w:b/>
      <w:bCs/>
      <w:sz w:val="32"/>
      <w:szCs w:val="32"/>
    </w:rPr>
  </w:style>
  <w:style w:type="character" w:customStyle="1" w:styleId="127">
    <w:name w:val="标题 4 字符"/>
    <w:semiHidden/>
    <w:qFormat/>
    <w:uiPriority w:val="9"/>
    <w:rPr>
      <w:rFonts w:hint="default" w:ascii="Cambria" w:hAnsi="Cambria" w:eastAsia="宋体" w:cs="Times New Roman"/>
      <w:b/>
      <w:bCs/>
      <w:sz w:val="28"/>
      <w:szCs w:val="28"/>
    </w:rPr>
  </w:style>
  <w:style w:type="character" w:customStyle="1" w:styleId="128">
    <w:name w:val="标题 6 字符"/>
    <w:semiHidden/>
    <w:qFormat/>
    <w:uiPriority w:val="9"/>
    <w:rPr>
      <w:rFonts w:hint="default" w:ascii="Cambria" w:hAnsi="Cambria" w:eastAsia="宋体" w:cs="Times New Roman"/>
      <w:b/>
      <w:bCs/>
      <w:sz w:val="24"/>
      <w:szCs w:val="24"/>
    </w:rPr>
  </w:style>
  <w:style w:type="character" w:customStyle="1" w:styleId="129">
    <w:name w:val="页眉 字符"/>
    <w:semiHidden/>
    <w:qFormat/>
    <w:uiPriority w:val="99"/>
    <w:rPr>
      <w:rFonts w:hint="default" w:ascii="Calibri" w:hAnsi="Calibri" w:eastAsia="宋体" w:cs="Times New Roman"/>
      <w:sz w:val="18"/>
      <w:szCs w:val="18"/>
    </w:rPr>
  </w:style>
  <w:style w:type="character" w:customStyle="1" w:styleId="130">
    <w:name w:val="页脚 字符"/>
    <w:semiHidden/>
    <w:qFormat/>
    <w:uiPriority w:val="99"/>
    <w:rPr>
      <w:rFonts w:hint="default" w:ascii="Calibri" w:hAnsi="Calibri" w:eastAsia="宋体" w:cs="Times New Roman"/>
      <w:sz w:val="18"/>
      <w:szCs w:val="18"/>
    </w:rPr>
  </w:style>
  <w:style w:type="character" w:customStyle="1" w:styleId="131">
    <w:name w:val="正文文本缩进 字符"/>
    <w:semiHidden/>
    <w:qFormat/>
    <w:uiPriority w:val="99"/>
    <w:rPr>
      <w:rFonts w:hint="default" w:ascii="Calibri" w:hAnsi="Calibri" w:eastAsia="宋体" w:cs="Times New Roman"/>
    </w:rPr>
  </w:style>
  <w:style w:type="character" w:customStyle="1" w:styleId="132">
    <w:name w:val="批注框文本 字符"/>
    <w:semiHidden/>
    <w:qFormat/>
    <w:uiPriority w:val="99"/>
    <w:rPr>
      <w:rFonts w:hint="default" w:ascii="Calibri" w:hAnsi="Calibri" w:eastAsia="宋体" w:cs="Times New Roman"/>
      <w:sz w:val="18"/>
      <w:szCs w:val="18"/>
    </w:rPr>
  </w:style>
  <w:style w:type="character" w:customStyle="1" w:styleId="133">
    <w:name w:val="日期 字符"/>
    <w:semiHidden/>
    <w:qFormat/>
    <w:uiPriority w:val="99"/>
    <w:rPr>
      <w:rFonts w:hint="default" w:ascii="Calibri" w:hAnsi="Calibri" w:eastAsia="宋体" w:cs="Times New Roman"/>
    </w:rPr>
  </w:style>
  <w:style w:type="character" w:customStyle="1" w:styleId="134">
    <w:name w:val="纯文本 字符"/>
    <w:semiHidden/>
    <w:qFormat/>
    <w:uiPriority w:val="99"/>
    <w:rPr>
      <w:rFonts w:hint="eastAsia" w:ascii="宋体" w:hAnsi="Courier New" w:eastAsia="宋体" w:cs="Courier New"/>
    </w:rPr>
  </w:style>
  <w:style w:type="character" w:customStyle="1" w:styleId="135">
    <w:name w:val="正文文本 2 字符"/>
    <w:semiHidden/>
    <w:qFormat/>
    <w:uiPriority w:val="99"/>
    <w:rPr>
      <w:rFonts w:hint="default" w:ascii="Calibri" w:hAnsi="Calibri" w:eastAsia="宋体" w:cs="Times New Roman"/>
    </w:rPr>
  </w:style>
  <w:style w:type="character" w:customStyle="1" w:styleId="136">
    <w:name w:val="尾注文本 Char1"/>
    <w:basedOn w:val="29"/>
    <w:qFormat/>
    <w:locked/>
    <w:uiPriority w:val="0"/>
    <w:rPr>
      <w:rFonts w:ascii="Times New Roman" w:hAnsi="Times New Roman" w:eastAsia="宋体" w:cs="Times New Roman"/>
      <w:kern w:val="0"/>
      <w:sz w:val="24"/>
      <w:szCs w:val="24"/>
    </w:rPr>
  </w:style>
  <w:style w:type="character" w:customStyle="1" w:styleId="137">
    <w:name w:val="尾注文本 字符"/>
    <w:semiHidden/>
    <w:qFormat/>
    <w:uiPriority w:val="99"/>
    <w:rPr>
      <w:rFonts w:hint="default" w:ascii="Calibri" w:hAnsi="Calibri" w:eastAsia="宋体" w:cs="Times New Roman"/>
    </w:rPr>
  </w:style>
  <w:style w:type="character" w:customStyle="1" w:styleId="138">
    <w:name w:val="批注文字 Char1"/>
    <w:basedOn w:val="29"/>
    <w:qFormat/>
    <w:locked/>
    <w:uiPriority w:val="0"/>
    <w:rPr>
      <w:rFonts w:ascii="Times New Roman" w:hAnsi="Times New Roman" w:eastAsia="宋体" w:cs="Times New Roman"/>
      <w:kern w:val="0"/>
      <w:sz w:val="24"/>
      <w:szCs w:val="24"/>
    </w:rPr>
  </w:style>
  <w:style w:type="character" w:customStyle="1" w:styleId="139">
    <w:name w:val="正文文本 字符"/>
    <w:semiHidden/>
    <w:qFormat/>
    <w:uiPriority w:val="99"/>
    <w:rPr>
      <w:rFonts w:hint="default" w:ascii="Calibri" w:hAnsi="Calibri" w:eastAsia="宋体" w:cs="Times New Roman"/>
    </w:rPr>
  </w:style>
  <w:style w:type="character" w:customStyle="1" w:styleId="140">
    <w:name w:val="正文文本缩进 2 字符"/>
    <w:semiHidden/>
    <w:qFormat/>
    <w:uiPriority w:val="99"/>
    <w:rPr>
      <w:rFonts w:hint="default" w:ascii="Calibri" w:hAnsi="Calibri" w:eastAsia="宋体" w:cs="Times New Roman"/>
    </w:rPr>
  </w:style>
  <w:style w:type="character" w:customStyle="1" w:styleId="141">
    <w:name w:val="正文文本缩进 3 字符"/>
    <w:semiHidden/>
    <w:qFormat/>
    <w:uiPriority w:val="99"/>
    <w:rPr>
      <w:rFonts w:hint="default" w:ascii="Calibri" w:hAnsi="Calibri" w:eastAsia="宋体" w:cs="Times New Roman"/>
      <w:sz w:val="16"/>
      <w:szCs w:val="16"/>
    </w:rPr>
  </w:style>
  <w:style w:type="character" w:customStyle="1" w:styleId="142">
    <w:name w:val="正文文本 3 字符"/>
    <w:semiHidden/>
    <w:qFormat/>
    <w:uiPriority w:val="99"/>
    <w:rPr>
      <w:rFonts w:hint="default" w:ascii="Calibri" w:hAnsi="Calibri" w:eastAsia="宋体" w:cs="Times New Roman"/>
      <w:sz w:val="16"/>
      <w:szCs w:val="16"/>
    </w:rPr>
  </w:style>
  <w:style w:type="character" w:customStyle="1" w:styleId="143">
    <w:name w:val="脚注文本 字符"/>
    <w:semiHidden/>
    <w:qFormat/>
    <w:uiPriority w:val="99"/>
    <w:rPr>
      <w:rFonts w:hint="default" w:ascii="Calibri" w:hAnsi="Calibri" w:eastAsia="宋体" w:cs="Times New Roman"/>
      <w:sz w:val="18"/>
      <w:szCs w:val="18"/>
    </w:rPr>
  </w:style>
  <w:style w:type="character" w:customStyle="1" w:styleId="144">
    <w:name w:val="批注主题 Char1"/>
    <w:basedOn w:val="138"/>
    <w:qFormat/>
    <w:locked/>
    <w:uiPriority w:val="0"/>
    <w:rPr>
      <w:b/>
      <w:bCs/>
    </w:rPr>
  </w:style>
  <w:style w:type="character" w:customStyle="1" w:styleId="145">
    <w:name w:val="批注主题 字符"/>
    <w:semiHidden/>
    <w:qFormat/>
    <w:uiPriority w:val="99"/>
    <w:rPr>
      <w:rFonts w:hint="default" w:ascii="Calibri" w:hAnsi="Calibri" w:eastAsia="宋体" w:cs="Times New Roman"/>
      <w:b/>
      <w:bCs/>
    </w:rPr>
  </w:style>
  <w:style w:type="character" w:customStyle="1" w:styleId="146">
    <w:name w:val="标题 Char1"/>
    <w:basedOn w:val="29"/>
    <w:qFormat/>
    <w:locked/>
    <w:uiPriority w:val="0"/>
    <w:rPr>
      <w:rFonts w:ascii="Arial" w:hAnsi="Arial" w:eastAsia="宋体" w:cs="Times New Roman"/>
      <w:b/>
      <w:bCs/>
      <w:kern w:val="0"/>
      <w:sz w:val="32"/>
      <w:szCs w:val="32"/>
    </w:rPr>
  </w:style>
  <w:style w:type="character" w:customStyle="1" w:styleId="147">
    <w:name w:val="标题 字符"/>
    <w:qFormat/>
    <w:uiPriority w:val="10"/>
    <w:rPr>
      <w:rFonts w:hint="default" w:ascii="Cambria" w:hAnsi="Cambria" w:eastAsia="宋体" w:cs="Times New Roman"/>
      <w:b/>
      <w:bCs/>
      <w:sz w:val="32"/>
      <w:szCs w:val="32"/>
    </w:rPr>
  </w:style>
  <w:style w:type="paragraph" w:customStyle="1" w:styleId="148">
    <w:name w:val="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Cs w:val="21"/>
    </w:rPr>
  </w:style>
  <w:style w:type="paragraph" w:customStyle="1" w:styleId="1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2">
    <w:name w:val="fulltext-wrap_fulltext_TiaoYinV2"/>
    <w:basedOn w:val="1"/>
    <w:qFormat/>
    <w:uiPriority w:val="0"/>
    <w:pPr>
      <w:spacing w:line="384" w:lineRule="auto"/>
    </w:pPr>
    <w:rPr>
      <w:b/>
      <w:bCs/>
      <w:color w:val="218FC4"/>
      <w:sz w:val="21"/>
      <w:szCs w:val="21"/>
    </w:rPr>
  </w:style>
  <w:style w:type="character" w:customStyle="1" w:styleId="153">
    <w:name w:val="fulltext-wrap_navtiao"/>
    <w:basedOn w:val="29"/>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3726</Words>
  <Characters>3739</Characters>
  <Lines>22</Lines>
  <Paragraphs>6</Paragraphs>
  <TotalTime>10</TotalTime>
  <ScaleCrop>false</ScaleCrop>
  <LinksUpToDate>false</LinksUpToDate>
  <CharactersWithSpaces>3748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2022-06-25T13:15:00Z</dcterms:created>
  <dc:creator>sse</dc:creator>
  <cp:lastModifiedBy>Administrator</cp:lastModifiedBy>
  <cp:lastPrinted>2024-12-08T11:21:00Z</cp:lastPrinted>
  <dcterms:modified xsi:type="dcterms:W3CDTF">2025-07-04T07:17:42Z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DDF8AACED6C344278861334083D2BB8B</vt:lpwstr>
  </property>
</Properties>
</file>