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97" w:rsidRPr="000A0F83" w:rsidRDefault="00FA0D97" w:rsidP="00FA0D97">
      <w:pPr>
        <w:spacing w:line="560" w:lineRule="exact"/>
        <w:rPr>
          <w:rFonts w:ascii="仿宋_GB2312" w:eastAsia="仿宋_GB2312" w:hAnsi="仿宋_GB2312" w:cs="仿宋_GB2312"/>
          <w:b/>
          <w:sz w:val="32"/>
          <w:szCs w:val="32"/>
        </w:rPr>
      </w:pPr>
      <w:r w:rsidRPr="000A0F83">
        <w:rPr>
          <w:rFonts w:ascii="仿宋_GB2312" w:eastAsia="仿宋_GB2312" w:hAnsi="仿宋_GB2312" w:cs="仿宋_GB2312" w:hint="eastAsia"/>
          <w:b/>
          <w:sz w:val="32"/>
          <w:szCs w:val="32"/>
        </w:rPr>
        <w:t>附件2</w:t>
      </w:r>
    </w:p>
    <w:p w:rsidR="00FA0D97" w:rsidRDefault="00FA0D97" w:rsidP="00FA0D97">
      <w:pPr>
        <w:spacing w:line="560" w:lineRule="exact"/>
        <w:rPr>
          <w:rFonts w:ascii="仿宋_GB2312" w:eastAsia="仿宋_GB2312" w:hAnsi="仿宋_GB2312" w:cs="仿宋_GB2312"/>
          <w:sz w:val="32"/>
          <w:szCs w:val="32"/>
        </w:rPr>
      </w:pPr>
    </w:p>
    <w:p w:rsidR="000A0F83" w:rsidRDefault="00FA0D97" w:rsidP="00FA0D97">
      <w:pPr>
        <w:spacing w:line="560" w:lineRule="exact"/>
        <w:jc w:val="center"/>
        <w:rPr>
          <w:rFonts w:ascii="方正大标宋简体" w:eastAsia="方正大标宋简体" w:hAnsi="黑体" w:cs="宋体" w:hint="eastAsia"/>
          <w:bCs/>
          <w:sz w:val="42"/>
          <w:szCs w:val="42"/>
        </w:rPr>
      </w:pPr>
      <w:r w:rsidRPr="000A0F83">
        <w:rPr>
          <w:rFonts w:ascii="方正大标宋简体" w:eastAsia="方正大标宋简体" w:hAnsi="黑体" w:cs="宋体" w:hint="eastAsia"/>
          <w:bCs/>
          <w:sz w:val="42"/>
          <w:szCs w:val="42"/>
        </w:rPr>
        <w:t>《上海证券交易所上市公司自律监管指引</w:t>
      </w:r>
    </w:p>
    <w:p w:rsidR="00FA0D97" w:rsidRPr="000A0F83" w:rsidRDefault="00FA0D97" w:rsidP="00FA0D97">
      <w:pPr>
        <w:spacing w:line="560" w:lineRule="exact"/>
        <w:jc w:val="center"/>
        <w:rPr>
          <w:rFonts w:ascii="方正大标宋简体" w:eastAsia="方正大标宋简体" w:hAnsi="黑体" w:cs="宋体" w:hint="eastAsia"/>
          <w:bCs/>
          <w:sz w:val="42"/>
          <w:szCs w:val="42"/>
        </w:rPr>
      </w:pPr>
      <w:r w:rsidRPr="000A0F83">
        <w:rPr>
          <w:rFonts w:ascii="方正大标宋简体" w:eastAsia="方正大标宋简体" w:hAnsi="黑体" w:cs="宋体" w:hint="eastAsia"/>
          <w:bCs/>
          <w:sz w:val="42"/>
          <w:szCs w:val="42"/>
        </w:rPr>
        <w:t>第7号——回购股份（征求意见稿）》</w:t>
      </w:r>
    </w:p>
    <w:p w:rsidR="00FA0D97" w:rsidRPr="000A0F83" w:rsidRDefault="00FA0D97" w:rsidP="00FA0D97">
      <w:pPr>
        <w:spacing w:line="560" w:lineRule="exact"/>
        <w:jc w:val="center"/>
        <w:rPr>
          <w:rFonts w:ascii="方正大标宋简体" w:eastAsia="方正大标宋简体" w:hAnsi="黑体" w:cs="宋体" w:hint="eastAsia"/>
          <w:bCs/>
          <w:sz w:val="42"/>
          <w:szCs w:val="42"/>
        </w:rPr>
      </w:pPr>
      <w:r w:rsidRPr="000A0F83">
        <w:rPr>
          <w:rFonts w:ascii="方正大标宋简体" w:eastAsia="方正大标宋简体" w:hAnsi="黑体" w:cs="宋体" w:hint="eastAsia"/>
          <w:bCs/>
          <w:sz w:val="42"/>
          <w:szCs w:val="42"/>
        </w:rPr>
        <w:t>修订说明</w:t>
      </w:r>
    </w:p>
    <w:p w:rsidR="00FA0D97" w:rsidRDefault="00FA0D97" w:rsidP="00FA0D97">
      <w:pPr>
        <w:spacing w:line="560" w:lineRule="exact"/>
        <w:jc w:val="center"/>
        <w:rPr>
          <w:rFonts w:ascii="宋体" w:hAnsi="宋体" w:cs="宋体"/>
          <w:b/>
          <w:bCs/>
          <w:sz w:val="44"/>
          <w:szCs w:val="44"/>
        </w:rPr>
      </w:pPr>
    </w:p>
    <w:p w:rsidR="00FA0D97" w:rsidRPr="00F73AD9" w:rsidRDefault="00FA0D97" w:rsidP="00FA0D97">
      <w:pPr>
        <w:spacing w:line="560" w:lineRule="exact"/>
        <w:ind w:firstLineChars="200" w:firstLine="600"/>
        <w:rPr>
          <w:rFonts w:ascii="仿宋_GB2312" w:eastAsia="仿宋_GB2312" w:hAnsi="仿宋_GB2312" w:cs="仿宋_GB2312"/>
          <w:sz w:val="30"/>
          <w:szCs w:val="30"/>
        </w:rPr>
      </w:pPr>
      <w:r w:rsidRPr="00F73AD9">
        <w:rPr>
          <w:rFonts w:ascii="仿宋_GB2312" w:eastAsia="仿宋_GB2312" w:hAnsi="仿宋_GB2312" w:cs="仿宋_GB2312" w:hint="eastAsia"/>
          <w:sz w:val="30"/>
          <w:szCs w:val="30"/>
        </w:rPr>
        <w:t>为贯彻落实</w:t>
      </w:r>
      <w:r>
        <w:rPr>
          <w:rFonts w:ascii="仿宋_GB2312" w:eastAsia="仿宋_GB2312" w:hAnsi="仿宋_GB2312" w:cs="仿宋_GB2312" w:hint="eastAsia"/>
          <w:sz w:val="30"/>
          <w:szCs w:val="30"/>
        </w:rPr>
        <w:t>中国证监会</w:t>
      </w:r>
      <w:r w:rsidRPr="00F73AD9">
        <w:rPr>
          <w:rFonts w:ascii="仿宋_GB2312" w:eastAsia="仿宋_GB2312" w:hAnsi="仿宋_GB2312" w:cs="仿宋_GB2312" w:hint="eastAsia"/>
          <w:sz w:val="30"/>
          <w:szCs w:val="30"/>
        </w:rPr>
        <w:t>《上市公司股份回购规则》</w:t>
      </w:r>
      <w:r>
        <w:rPr>
          <w:rFonts w:ascii="仿宋_GB2312" w:eastAsia="仿宋_GB2312" w:hAnsi="仿宋_GB2312" w:cs="仿宋_GB2312" w:hint="eastAsia"/>
          <w:sz w:val="30"/>
          <w:szCs w:val="30"/>
        </w:rPr>
        <w:t>的修</w:t>
      </w:r>
      <w:r w:rsidR="0077088D">
        <w:rPr>
          <w:rFonts w:ascii="仿宋_GB2312" w:eastAsia="仿宋_GB2312" w:hAnsi="仿宋_GB2312" w:cs="仿宋_GB2312" w:hint="eastAsia"/>
          <w:sz w:val="30"/>
          <w:szCs w:val="30"/>
        </w:rPr>
        <w:t>改</w:t>
      </w:r>
      <w:r w:rsidRPr="00F73AD9">
        <w:rPr>
          <w:rFonts w:ascii="仿宋_GB2312" w:eastAsia="仿宋_GB2312" w:hAnsi="仿宋_GB2312" w:cs="仿宋_GB2312" w:hint="eastAsia"/>
          <w:sz w:val="30"/>
          <w:szCs w:val="30"/>
        </w:rPr>
        <w:t>要求，支持上市公司依法合规回购股份，维护市场平稳运行，上海证券交易所（以下简称本所）对《上海证券交易所上市公司自律监管指引第7号——回购股份》（以下简称《回购股份指引》）进行了修订。</w:t>
      </w:r>
      <w:r w:rsidRPr="00F73AD9">
        <w:rPr>
          <w:rFonts w:ascii="仿宋_GB2312" w:eastAsia="仿宋_GB2312" w:hint="eastAsia"/>
          <w:sz w:val="30"/>
          <w:szCs w:val="30"/>
        </w:rPr>
        <w:t>现将有关修订主要情况说明如下</w:t>
      </w:r>
      <w:r w:rsidRPr="00F73AD9">
        <w:rPr>
          <w:rFonts w:ascii="仿宋_GB2312" w:eastAsia="仿宋_GB2312" w:hAnsi="仿宋_GB2312" w:cs="仿宋_GB2312" w:hint="eastAsia"/>
          <w:sz w:val="30"/>
          <w:szCs w:val="30"/>
        </w:rPr>
        <w:t>。</w:t>
      </w:r>
    </w:p>
    <w:p w:rsidR="00FA0D97" w:rsidRPr="007749FE" w:rsidRDefault="00FA0D97" w:rsidP="007749FE">
      <w:pPr>
        <w:spacing w:line="560" w:lineRule="exact"/>
        <w:ind w:firstLineChars="200" w:firstLine="602"/>
        <w:rPr>
          <w:rFonts w:ascii="黑体" w:eastAsia="黑体" w:hAnsi="黑体" w:cs="黑体"/>
          <w:b/>
          <w:sz w:val="30"/>
          <w:szCs w:val="30"/>
        </w:rPr>
      </w:pPr>
      <w:r w:rsidRPr="007749FE">
        <w:rPr>
          <w:rFonts w:ascii="黑体" w:eastAsia="黑体" w:hAnsi="黑体" w:cs="黑体" w:hint="eastAsia"/>
          <w:b/>
          <w:sz w:val="30"/>
          <w:szCs w:val="30"/>
        </w:rPr>
        <w:t>一、修订思路</w:t>
      </w:r>
    </w:p>
    <w:p w:rsidR="00FA0D97" w:rsidRPr="00F73AD9" w:rsidRDefault="00FA0D97" w:rsidP="00FA0D97">
      <w:pPr>
        <w:spacing w:line="560" w:lineRule="exact"/>
        <w:ind w:firstLineChars="200" w:firstLine="600"/>
        <w:rPr>
          <w:rFonts w:ascii="仿宋_GB2312" w:eastAsia="仿宋_GB2312" w:hAnsi="仿宋_GB2312" w:cs="仿宋_GB2312"/>
          <w:sz w:val="30"/>
          <w:szCs w:val="30"/>
        </w:rPr>
      </w:pPr>
      <w:r w:rsidRPr="00F73AD9">
        <w:rPr>
          <w:rFonts w:ascii="仿宋_GB2312" w:eastAsia="仿宋_GB2312" w:hAnsi="仿宋_GB2312" w:cs="仿宋_GB2312" w:hint="eastAsia"/>
          <w:sz w:val="30"/>
          <w:szCs w:val="30"/>
        </w:rPr>
        <w:t>回购股份是资本市场的一项基础性制度安排，在优化资本结构、提升公司投资价值、健全投资者回报机制等方面具有重要作用。从实践来看，回购在提升每股价值</w:t>
      </w:r>
      <w:r w:rsidR="0077088D">
        <w:rPr>
          <w:rFonts w:ascii="仿宋_GB2312" w:eastAsia="仿宋_GB2312" w:hAnsi="仿宋_GB2312" w:cs="仿宋_GB2312" w:hint="eastAsia"/>
          <w:sz w:val="30"/>
          <w:szCs w:val="30"/>
        </w:rPr>
        <w:t>、</w:t>
      </w:r>
      <w:r w:rsidRPr="00F73AD9">
        <w:rPr>
          <w:rFonts w:ascii="仿宋_GB2312" w:eastAsia="仿宋_GB2312" w:hAnsi="仿宋_GB2312" w:cs="仿宋_GB2312" w:hint="eastAsia"/>
          <w:sz w:val="30"/>
          <w:szCs w:val="30"/>
        </w:rPr>
        <w:t>维护市场平稳运行和健康发展方面发挥了一定作用。为进一步增强上市公司回购股份意愿，提升实施回购的便利性，</w:t>
      </w:r>
      <w:r>
        <w:rPr>
          <w:rFonts w:ascii="仿宋_GB2312" w:eastAsia="仿宋_GB2312" w:hAnsi="仿宋_GB2312" w:cs="仿宋_GB2312" w:hint="eastAsia"/>
          <w:sz w:val="30"/>
          <w:szCs w:val="30"/>
        </w:rPr>
        <w:t>本所</w:t>
      </w:r>
      <w:r w:rsidRPr="00F73AD9">
        <w:rPr>
          <w:rFonts w:ascii="仿宋_GB2312" w:eastAsia="仿宋_GB2312" w:hAnsi="仿宋_GB2312" w:cs="仿宋_GB2312" w:hint="eastAsia"/>
          <w:sz w:val="30"/>
          <w:szCs w:val="30"/>
        </w:rPr>
        <w:t>拟对《回购股份指引》予以进一步完善。</w:t>
      </w:r>
    </w:p>
    <w:p w:rsidR="00FA0D97" w:rsidRPr="007749FE" w:rsidRDefault="00FA0D97" w:rsidP="007749FE">
      <w:pPr>
        <w:spacing w:line="560" w:lineRule="exact"/>
        <w:ind w:firstLineChars="200" w:firstLine="602"/>
        <w:rPr>
          <w:rFonts w:ascii="黑体" w:eastAsia="黑体" w:hAnsi="黑体" w:cs="黑体"/>
          <w:b/>
          <w:sz w:val="30"/>
          <w:szCs w:val="30"/>
        </w:rPr>
      </w:pPr>
      <w:r w:rsidRPr="007749FE">
        <w:rPr>
          <w:rFonts w:ascii="黑体" w:eastAsia="黑体" w:hAnsi="黑体" w:cs="黑体" w:hint="eastAsia"/>
          <w:b/>
          <w:sz w:val="30"/>
          <w:szCs w:val="30"/>
        </w:rPr>
        <w:t>二、主要修订内容</w:t>
      </w:r>
    </w:p>
    <w:p w:rsidR="00FA0D97" w:rsidRPr="001E1DB0" w:rsidRDefault="00FA0D97" w:rsidP="00FA0D97">
      <w:pPr>
        <w:spacing w:line="560" w:lineRule="exact"/>
        <w:ind w:firstLine="640"/>
        <w:rPr>
          <w:rFonts w:ascii="仿宋_GB2312" w:eastAsia="仿宋_GB2312" w:hAnsi="仿宋_GB2312" w:cs="仿宋_GB2312"/>
          <w:sz w:val="30"/>
          <w:szCs w:val="30"/>
        </w:rPr>
      </w:pPr>
      <w:r>
        <w:rPr>
          <w:rFonts w:ascii="仿宋_GB2312" w:eastAsia="仿宋_GB2312" w:hAnsi="仿宋_GB2312" w:cs="仿宋_GB2312" w:hint="eastAsia"/>
          <w:sz w:val="30"/>
          <w:szCs w:val="30"/>
        </w:rPr>
        <w:t>本所拟对《回购股份指引》作如下四方面</w:t>
      </w:r>
      <w:r w:rsidR="0077088D">
        <w:rPr>
          <w:rFonts w:ascii="仿宋_GB2312" w:eastAsia="仿宋_GB2312" w:hAnsi="仿宋_GB2312" w:cs="仿宋_GB2312" w:hint="eastAsia"/>
          <w:sz w:val="30"/>
          <w:szCs w:val="30"/>
        </w:rPr>
        <w:t>修订</w:t>
      </w:r>
      <w:r>
        <w:rPr>
          <w:rFonts w:ascii="仿宋_GB2312" w:eastAsia="仿宋_GB2312" w:hAnsi="仿宋_GB2312" w:cs="仿宋_GB2312" w:hint="eastAsia"/>
          <w:sz w:val="30"/>
          <w:szCs w:val="30"/>
        </w:rPr>
        <w:t>。</w:t>
      </w:r>
    </w:p>
    <w:p w:rsidR="00FA0D97" w:rsidRPr="007749FE" w:rsidRDefault="00FA0D97" w:rsidP="00FA0D97">
      <w:pPr>
        <w:spacing w:line="560" w:lineRule="exact"/>
        <w:ind w:firstLine="640"/>
        <w:rPr>
          <w:rFonts w:ascii="仿宋_GB2312" w:eastAsia="仿宋_GB2312" w:hAnsi="仿宋_GB2312" w:cs="仿宋_GB2312"/>
          <w:sz w:val="30"/>
          <w:szCs w:val="30"/>
        </w:rPr>
      </w:pPr>
      <w:r w:rsidRPr="007749FE">
        <w:rPr>
          <w:rFonts w:ascii="仿宋_GB2312" w:eastAsia="仿宋_GB2312" w:hAnsi="仿宋_GB2312" w:cs="仿宋_GB2312" w:hint="eastAsia"/>
          <w:sz w:val="30"/>
          <w:szCs w:val="30"/>
        </w:rPr>
        <w:t>一是优化上市公司回购条件。修订《回购股份指引》第二条，将“为维护公司价值及股东权益所必需”的回购触发条件之一，“连续20个交易日内公司股票收盘价格跌幅累计达到30%”调整为“连续20个交易日内公司股票收盘价格跌幅累计达到25%”。</w:t>
      </w:r>
    </w:p>
    <w:p w:rsidR="00FA0D97" w:rsidRPr="007749FE" w:rsidRDefault="00FA0D97" w:rsidP="007749FE">
      <w:pPr>
        <w:pStyle w:val="NormalIndent"/>
        <w:spacing w:line="560" w:lineRule="exact"/>
        <w:ind w:firstLineChars="200" w:firstLine="600"/>
        <w:rPr>
          <w:rFonts w:ascii="仿宋_GB2312" w:eastAsia="仿宋_GB2312" w:hAnsi="仿宋_GB2312" w:cs="仿宋_GB2312"/>
          <w:sz w:val="30"/>
          <w:szCs w:val="30"/>
        </w:rPr>
      </w:pPr>
      <w:r w:rsidRPr="007749FE">
        <w:rPr>
          <w:rFonts w:ascii="仿宋_GB2312" w:eastAsia="仿宋_GB2312" w:hAnsi="仿宋_GB2312" w:cs="仿宋_GB2312" w:hint="eastAsia"/>
          <w:sz w:val="30"/>
          <w:szCs w:val="30"/>
        </w:rPr>
        <w:lastRenderedPageBreak/>
        <w:t>二是放宽新上市公司回购限制。</w:t>
      </w:r>
      <w:r w:rsidR="0077088D" w:rsidRPr="007749FE">
        <w:rPr>
          <w:rFonts w:ascii="仿宋_GB2312" w:eastAsia="仿宋_GB2312" w:hAnsi="仿宋_GB2312" w:cs="仿宋_GB2312" w:hint="eastAsia"/>
          <w:sz w:val="30"/>
          <w:szCs w:val="30"/>
        </w:rPr>
        <w:t>修订</w:t>
      </w:r>
      <w:r w:rsidRPr="007749FE">
        <w:rPr>
          <w:rFonts w:ascii="仿宋_GB2312" w:eastAsia="仿宋_GB2312" w:hAnsi="仿宋_GB2312" w:cs="仿宋_GB2312" w:hint="eastAsia"/>
          <w:sz w:val="30"/>
          <w:szCs w:val="30"/>
        </w:rPr>
        <w:t>《回购股份指引》第十一条，将新上市公司回购股份实施条件，由“上市满1年”调整为“上市满6个月”。新上市公司拟实施为维护公司价值及股东权益所必需的回购且回购股份用于减资的，仍然不受前述上市期限的约束。</w:t>
      </w:r>
    </w:p>
    <w:p w:rsidR="00FA0D97" w:rsidRPr="007749FE" w:rsidRDefault="00FA0D97" w:rsidP="00FA0D97">
      <w:pPr>
        <w:spacing w:line="560" w:lineRule="exact"/>
        <w:ind w:firstLine="640"/>
        <w:jc w:val="left"/>
        <w:rPr>
          <w:rFonts w:ascii="仿宋_GB2312" w:eastAsia="仿宋_GB2312" w:hAnsi="仿宋_GB2312" w:cs="仿宋_GB2312"/>
          <w:sz w:val="30"/>
          <w:szCs w:val="30"/>
        </w:rPr>
      </w:pPr>
      <w:r w:rsidRPr="007749FE">
        <w:rPr>
          <w:rFonts w:ascii="仿宋_GB2312" w:eastAsia="仿宋_GB2312" w:hAnsi="仿宋_GB2312" w:cs="仿宋_GB2312" w:hint="eastAsia"/>
          <w:sz w:val="30"/>
          <w:szCs w:val="30"/>
        </w:rPr>
        <w:t>三是完善回购股份窗口期。</w:t>
      </w:r>
      <w:r w:rsidR="0077088D" w:rsidRPr="007749FE">
        <w:rPr>
          <w:rFonts w:ascii="仿宋_GB2312" w:eastAsia="仿宋_GB2312" w:hAnsi="仿宋_GB2312" w:cs="仿宋_GB2312" w:hint="eastAsia"/>
          <w:sz w:val="30"/>
          <w:szCs w:val="30"/>
        </w:rPr>
        <w:t>修订</w:t>
      </w:r>
      <w:r w:rsidRPr="007749FE">
        <w:rPr>
          <w:rFonts w:ascii="仿宋_GB2312" w:eastAsia="仿宋_GB2312" w:hAnsi="仿宋_GB2312" w:cs="仿宋_GB2312" w:hint="eastAsia"/>
          <w:sz w:val="30"/>
          <w:szCs w:val="30"/>
        </w:rPr>
        <w:t>《回购股份指引》第十八条，将季度报告、业绩预告和业绩快报的窗口期由公告前10个交易日内调整为公告前5个交易日内，降低窗口期对实施回购的影响。</w:t>
      </w:r>
      <w:r w:rsidR="0077088D" w:rsidRPr="007749FE">
        <w:rPr>
          <w:rFonts w:ascii="仿宋_GB2312" w:eastAsia="仿宋_GB2312" w:hAnsi="仿宋_GB2312" w:cs="仿宋_GB2312" w:hint="eastAsia"/>
          <w:sz w:val="30"/>
          <w:szCs w:val="30"/>
        </w:rPr>
        <w:t>同时，</w:t>
      </w:r>
      <w:r w:rsidR="00E52512" w:rsidRPr="007749FE">
        <w:rPr>
          <w:rFonts w:ascii="仿宋_GB2312" w:eastAsia="仿宋_GB2312" w:hAnsi="仿宋_GB2312" w:cs="仿宋_GB2312" w:hint="eastAsia"/>
          <w:sz w:val="30"/>
          <w:szCs w:val="30"/>
        </w:rPr>
        <w:t>修订</w:t>
      </w:r>
      <w:r w:rsidR="0077088D" w:rsidRPr="007749FE">
        <w:rPr>
          <w:rFonts w:ascii="仿宋_GB2312" w:eastAsia="仿宋_GB2312" w:hAnsi="仿宋_GB2312" w:cs="仿宋_GB2312" w:hint="eastAsia"/>
          <w:sz w:val="30"/>
          <w:szCs w:val="30"/>
        </w:rPr>
        <w:t>第四十五条，</w:t>
      </w:r>
      <w:r w:rsidRPr="007749FE">
        <w:rPr>
          <w:rFonts w:ascii="仿宋_GB2312" w:eastAsia="仿宋_GB2312" w:hAnsi="仿宋_GB2312" w:cs="仿宋_GB2312" w:hint="eastAsia"/>
          <w:sz w:val="30"/>
          <w:szCs w:val="30"/>
        </w:rPr>
        <w:t>相应调整回购股份竞价减持的窗口期，以保持两者一致。</w:t>
      </w:r>
    </w:p>
    <w:p w:rsidR="00FA0D97" w:rsidRPr="007749FE" w:rsidRDefault="00FA0D97" w:rsidP="00FA0D97">
      <w:pPr>
        <w:spacing w:line="560" w:lineRule="exact"/>
        <w:ind w:firstLine="640"/>
        <w:rPr>
          <w:rFonts w:ascii="仿宋_GB2312" w:eastAsia="仿宋_GB2312" w:hAnsi="仿宋_GB2312" w:cs="仿宋_GB2312"/>
          <w:sz w:val="30"/>
          <w:szCs w:val="30"/>
        </w:rPr>
      </w:pPr>
      <w:r w:rsidRPr="007749FE">
        <w:rPr>
          <w:rFonts w:ascii="仿宋_GB2312" w:eastAsia="仿宋_GB2312" w:hAnsi="仿宋_GB2312" w:cs="仿宋_GB2312" w:hint="eastAsia"/>
          <w:sz w:val="30"/>
          <w:szCs w:val="30"/>
        </w:rPr>
        <w:t>四是合理界定股份发行</w:t>
      </w:r>
      <w:r w:rsidR="002220A5" w:rsidRPr="007749FE">
        <w:rPr>
          <w:rFonts w:ascii="仿宋_GB2312" w:eastAsia="仿宋_GB2312" w:hAnsi="仿宋_GB2312" w:cs="仿宋_GB2312" w:hint="eastAsia"/>
          <w:sz w:val="30"/>
          <w:szCs w:val="30"/>
        </w:rPr>
        <w:t>行为</w:t>
      </w:r>
      <w:r w:rsidRPr="007749FE">
        <w:rPr>
          <w:rFonts w:ascii="仿宋_GB2312" w:eastAsia="仿宋_GB2312" w:hAnsi="仿宋_GB2312" w:cs="仿宋_GB2312" w:hint="eastAsia"/>
          <w:sz w:val="30"/>
          <w:szCs w:val="30"/>
        </w:rPr>
        <w:t>。</w:t>
      </w:r>
      <w:r w:rsidR="0077088D" w:rsidRPr="007749FE">
        <w:rPr>
          <w:rFonts w:ascii="仿宋_GB2312" w:eastAsia="仿宋_GB2312" w:hAnsi="仿宋_GB2312" w:cs="仿宋_GB2312" w:hint="eastAsia"/>
          <w:sz w:val="30"/>
          <w:szCs w:val="30"/>
        </w:rPr>
        <w:t>修订</w:t>
      </w:r>
      <w:r w:rsidRPr="007749FE">
        <w:rPr>
          <w:rFonts w:ascii="仿宋_GB2312" w:eastAsia="仿宋_GB2312" w:hAnsi="仿宋_GB2312" w:cs="仿宋_GB2312" w:hint="eastAsia"/>
          <w:sz w:val="30"/>
          <w:szCs w:val="30"/>
        </w:rPr>
        <w:t>《回购股份指引》第二十一条，将现行规则规定的</w:t>
      </w:r>
      <w:r w:rsidRPr="007749FE">
        <w:rPr>
          <w:rFonts w:ascii="仿宋_GB2312" w:eastAsia="仿宋_GB2312" w:hAnsi="Times New Roman" w:hint="eastAsia"/>
          <w:sz w:val="30"/>
          <w:szCs w:val="30"/>
        </w:rPr>
        <w:t>在回购期间不得实施</w:t>
      </w:r>
      <w:r w:rsidR="00AC2A00" w:rsidRPr="007749FE">
        <w:rPr>
          <w:rFonts w:ascii="仿宋_GB2312" w:eastAsia="仿宋_GB2312" w:hAnsi="Times New Roman" w:hint="eastAsia"/>
          <w:sz w:val="30"/>
          <w:szCs w:val="30"/>
        </w:rPr>
        <w:t>的</w:t>
      </w:r>
      <w:r w:rsidRPr="007749FE">
        <w:rPr>
          <w:rFonts w:ascii="仿宋_GB2312" w:eastAsia="仿宋_GB2312" w:hAnsi="Times New Roman" w:hint="eastAsia"/>
          <w:sz w:val="30"/>
          <w:szCs w:val="30"/>
        </w:rPr>
        <w:t>股份发行行为，进一步</w:t>
      </w:r>
      <w:r w:rsidRPr="007749FE">
        <w:rPr>
          <w:rFonts w:ascii="仿宋_GB2312" w:eastAsia="仿宋_GB2312" w:hAnsi="仿宋_GB2312" w:cs="仿宋_GB2312" w:hint="eastAsia"/>
          <w:sz w:val="30"/>
          <w:szCs w:val="30"/>
        </w:rPr>
        <w:t>明确为</w:t>
      </w:r>
      <w:r w:rsidR="0077088D" w:rsidRPr="007749FE">
        <w:rPr>
          <w:rFonts w:ascii="仿宋_GB2312" w:eastAsia="仿宋_GB2312" w:hAnsi="仿宋_GB2312" w:cs="仿宋_GB2312" w:hint="eastAsia"/>
          <w:sz w:val="30"/>
          <w:szCs w:val="30"/>
        </w:rPr>
        <w:t>自股票发行取得</w:t>
      </w:r>
      <w:r w:rsidRPr="007749FE">
        <w:rPr>
          <w:rFonts w:ascii="仿宋_GB2312" w:eastAsia="仿宋_GB2312" w:hAnsi="仿宋_GB2312" w:cs="仿宋_GB2312" w:hint="eastAsia"/>
          <w:sz w:val="30"/>
          <w:szCs w:val="30"/>
        </w:rPr>
        <w:t>核准或注册并启动发行后至新增股份完成登记</w:t>
      </w:r>
      <w:r w:rsidR="0077088D" w:rsidRPr="007749FE">
        <w:rPr>
          <w:rFonts w:ascii="仿宋_GB2312" w:eastAsia="仿宋_GB2312" w:hAnsi="仿宋_GB2312" w:cs="仿宋_GB2312" w:hint="eastAsia"/>
          <w:sz w:val="30"/>
          <w:szCs w:val="30"/>
        </w:rPr>
        <w:t>时止</w:t>
      </w:r>
      <w:r w:rsidRPr="007749FE">
        <w:rPr>
          <w:rFonts w:ascii="仿宋_GB2312" w:eastAsia="仿宋_GB2312" w:hAnsi="仿宋_GB2312" w:cs="仿宋_GB2312" w:hint="eastAsia"/>
          <w:sz w:val="30"/>
          <w:szCs w:val="30"/>
        </w:rPr>
        <w:t>。</w:t>
      </w:r>
    </w:p>
    <w:p w:rsidR="00FA0D97" w:rsidRPr="00F73AD9" w:rsidRDefault="00FA0D97" w:rsidP="00FA0D97">
      <w:pPr>
        <w:spacing w:line="560" w:lineRule="exact"/>
        <w:ind w:firstLine="640"/>
        <w:jc w:val="left"/>
        <w:rPr>
          <w:rFonts w:ascii="仿宋_GB2312" w:eastAsia="仿宋_GB2312" w:hAnsi="仿宋_GB2312" w:cs="仿宋_GB2312"/>
          <w:sz w:val="30"/>
          <w:szCs w:val="30"/>
        </w:rPr>
      </w:pPr>
      <w:r w:rsidRPr="00F73AD9">
        <w:rPr>
          <w:rFonts w:ascii="仿宋_GB2312" w:eastAsia="仿宋_GB2312" w:hAnsi="仿宋_GB2312" w:cs="仿宋_GB2312" w:hint="eastAsia"/>
          <w:sz w:val="30"/>
          <w:szCs w:val="30"/>
        </w:rPr>
        <w:t>特此说明。</w:t>
      </w:r>
    </w:p>
    <w:p w:rsidR="00FA0D97" w:rsidRDefault="00FA0D97" w:rsidP="00FA0D97">
      <w:pPr>
        <w:spacing w:line="560" w:lineRule="exact"/>
        <w:jc w:val="center"/>
        <w:rPr>
          <w:rFonts w:asciiTheme="minorEastAsia" w:hAnsiTheme="minorEastAsia"/>
          <w:b/>
          <w:sz w:val="36"/>
          <w:szCs w:val="36"/>
        </w:rPr>
      </w:pPr>
    </w:p>
    <w:p w:rsidR="007A75EE" w:rsidRDefault="007A75EE"/>
    <w:sectPr w:rsidR="007A75EE" w:rsidSect="002A03B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76A" w:rsidRDefault="00F2076A" w:rsidP="00FA0D97">
      <w:r>
        <w:separator/>
      </w:r>
    </w:p>
  </w:endnote>
  <w:endnote w:type="continuationSeparator" w:id="1">
    <w:p w:rsidR="00F2076A" w:rsidRDefault="00F2076A" w:rsidP="00FA0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0112"/>
      <w:docPartObj>
        <w:docPartGallery w:val="Page Numbers (Bottom of Page)"/>
        <w:docPartUnique/>
      </w:docPartObj>
    </w:sdtPr>
    <w:sdtContent>
      <w:p w:rsidR="00E808FC" w:rsidRDefault="00D662A6">
        <w:pPr>
          <w:pStyle w:val="a4"/>
          <w:jc w:val="center"/>
        </w:pPr>
        <w:r>
          <w:fldChar w:fldCharType="begin"/>
        </w:r>
        <w:r w:rsidR="007A75EE">
          <w:instrText xml:space="preserve"> PAGE   \* MERGEFORMAT </w:instrText>
        </w:r>
        <w:r>
          <w:fldChar w:fldCharType="separate"/>
        </w:r>
        <w:r w:rsidR="00F2076A" w:rsidRPr="00F2076A">
          <w:rPr>
            <w:noProof/>
            <w:lang w:val="zh-CN"/>
          </w:rPr>
          <w:t>1</w:t>
        </w:r>
        <w:r>
          <w:fldChar w:fldCharType="end"/>
        </w:r>
      </w:p>
    </w:sdtContent>
  </w:sdt>
  <w:p w:rsidR="00E808FC" w:rsidRDefault="00F207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76A" w:rsidRDefault="00F2076A" w:rsidP="00FA0D97">
      <w:r>
        <w:separator/>
      </w:r>
    </w:p>
  </w:footnote>
  <w:footnote w:type="continuationSeparator" w:id="1">
    <w:p w:rsidR="00F2076A" w:rsidRDefault="00F2076A" w:rsidP="00FA0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D97"/>
    <w:rsid w:val="000A0F83"/>
    <w:rsid w:val="002220A5"/>
    <w:rsid w:val="005C6E7C"/>
    <w:rsid w:val="0077088D"/>
    <w:rsid w:val="007749FE"/>
    <w:rsid w:val="007A75EE"/>
    <w:rsid w:val="00AC2A00"/>
    <w:rsid w:val="00D662A6"/>
    <w:rsid w:val="00E52512"/>
    <w:rsid w:val="00E95181"/>
    <w:rsid w:val="00F2076A"/>
    <w:rsid w:val="00FA0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9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0D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0D97"/>
    <w:rPr>
      <w:sz w:val="18"/>
      <w:szCs w:val="18"/>
    </w:rPr>
  </w:style>
  <w:style w:type="paragraph" w:styleId="a4">
    <w:name w:val="footer"/>
    <w:basedOn w:val="a"/>
    <w:link w:val="Char0"/>
    <w:uiPriority w:val="99"/>
    <w:unhideWhenUsed/>
    <w:rsid w:val="00FA0D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0D97"/>
    <w:rPr>
      <w:sz w:val="18"/>
      <w:szCs w:val="18"/>
    </w:rPr>
  </w:style>
  <w:style w:type="paragraph" w:customStyle="1" w:styleId="NormalIndent">
    <w:name w:val="NormalIndent"/>
    <w:basedOn w:val="a"/>
    <w:next w:val="a"/>
    <w:qFormat/>
    <w:rsid w:val="00FA0D97"/>
    <w:pPr>
      <w:ind w:firstLine="420"/>
      <w:textAlignment w:val="baseline"/>
    </w:pPr>
    <w:rPr>
      <w:rFonts w:ascii="宋体"/>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费琼(拟稿)</dc:creator>
  <cp:keywords/>
  <dc:description/>
  <cp:lastModifiedBy>费琼(拟稿)</cp:lastModifiedBy>
  <cp:revision>8</cp:revision>
  <dcterms:created xsi:type="dcterms:W3CDTF">2022-10-14T02:11:00Z</dcterms:created>
  <dcterms:modified xsi:type="dcterms:W3CDTF">2022-10-14T03:49:00Z</dcterms:modified>
</cp:coreProperties>
</file>