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AC" w:rsidRDefault="00A55FAC" w:rsidP="00A55FAC">
      <w:pPr>
        <w:widowControl/>
        <w:snapToGrid w:val="0"/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A55FAC" w:rsidRDefault="00A55FAC" w:rsidP="00A55FAC">
      <w:pPr>
        <w:widowControl/>
        <w:snapToGrid w:val="0"/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第四十一期“上交所期权策略顾问培训班（初级班）”</w:t>
      </w:r>
    </w:p>
    <w:p w:rsidR="00A55FAC" w:rsidRDefault="00A55FAC" w:rsidP="00A55FAC">
      <w:pPr>
        <w:widowControl/>
        <w:snapToGrid w:val="0"/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课程安排</w:t>
      </w:r>
    </w:p>
    <w:p w:rsidR="00A55FAC" w:rsidRDefault="00A55FAC" w:rsidP="00A55FAC">
      <w:pPr>
        <w:widowControl/>
        <w:snapToGrid w:val="0"/>
        <w:spacing w:line="500" w:lineRule="exact"/>
        <w:jc w:val="center"/>
        <w:rPr>
          <w:rFonts w:ascii="黑体" w:eastAsia="黑体" w:hAnsi="黑体"/>
          <w:sz w:val="32"/>
          <w:szCs w:val="32"/>
        </w:rPr>
      </w:pPr>
    </w:p>
    <w:p w:rsidR="00A55FAC" w:rsidRPr="00C671DE" w:rsidRDefault="00A55FAC" w:rsidP="00A55FAC">
      <w:pPr>
        <w:jc w:val="left"/>
        <w:rPr>
          <w:rFonts w:ascii="黑体" w:eastAsia="黑体" w:hAnsi="黑体"/>
          <w:sz w:val="20"/>
          <w:szCs w:val="20"/>
        </w:rPr>
      </w:pPr>
      <w:r w:rsidRPr="00C671DE">
        <w:rPr>
          <w:rFonts w:ascii="华文彩云" w:eastAsia="华文彩云" w:hint="eastAsia"/>
          <w:sz w:val="20"/>
          <w:szCs w:val="20"/>
        </w:rPr>
        <w:t>★</w:t>
      </w:r>
      <w:r w:rsidRPr="00C671DE">
        <w:rPr>
          <w:rFonts w:ascii="华文彩云" w:eastAsia="华文彩云" w:hint="eastAsia"/>
          <w:i/>
          <w:sz w:val="20"/>
          <w:szCs w:val="20"/>
        </w:rPr>
        <w:t>上课地点</w:t>
      </w:r>
      <w:r w:rsidRPr="00C671DE">
        <w:rPr>
          <w:rFonts w:ascii="黑体" w:eastAsia="黑体" w:hAnsi="黑体" w:hint="eastAsia"/>
          <w:sz w:val="20"/>
          <w:szCs w:val="20"/>
        </w:rPr>
        <w:t>：</w:t>
      </w:r>
      <w:r w:rsidRPr="00B92F54">
        <w:rPr>
          <w:rFonts w:ascii="黑体" w:eastAsia="黑体" w:hAnsi="黑体" w:hint="eastAsia"/>
          <w:sz w:val="20"/>
          <w:szCs w:val="20"/>
        </w:rPr>
        <w:t>珠海粤财皇冠假日酒店</w:t>
      </w:r>
      <w:r>
        <w:rPr>
          <w:rFonts w:ascii="黑体" w:eastAsia="黑体" w:hAnsi="黑体" w:hint="eastAsia"/>
          <w:sz w:val="20"/>
          <w:szCs w:val="20"/>
        </w:rPr>
        <w:t>4</w:t>
      </w:r>
      <w:r w:rsidRPr="0000222A">
        <w:rPr>
          <w:rFonts w:ascii="黑体" w:eastAsia="黑体" w:hAnsi="黑体" w:hint="eastAsia"/>
          <w:sz w:val="20"/>
          <w:szCs w:val="20"/>
        </w:rPr>
        <w:t>楼</w:t>
      </w:r>
      <w:r>
        <w:rPr>
          <w:rFonts w:ascii="黑体" w:eastAsia="黑体" w:hAnsi="黑体" w:hint="eastAsia"/>
          <w:sz w:val="20"/>
          <w:szCs w:val="20"/>
        </w:rPr>
        <w:t>大</w:t>
      </w:r>
      <w:r w:rsidRPr="0000222A">
        <w:rPr>
          <w:rFonts w:ascii="黑体" w:eastAsia="黑体" w:hAnsi="黑体" w:hint="eastAsia"/>
          <w:sz w:val="20"/>
          <w:szCs w:val="20"/>
        </w:rPr>
        <w:t>宴会厅</w:t>
      </w:r>
    </w:p>
    <w:tbl>
      <w:tblPr>
        <w:tblW w:w="9470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5"/>
        <w:gridCol w:w="1581"/>
        <w:gridCol w:w="1762"/>
        <w:gridCol w:w="5382"/>
      </w:tblGrid>
      <w:tr w:rsidR="00A55FAC" w:rsidTr="00D16DF5">
        <w:trPr>
          <w:trHeight w:val="519"/>
          <w:jc w:val="center"/>
        </w:trPr>
        <w:tc>
          <w:tcPr>
            <w:tcW w:w="74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:rsidR="00A55FAC" w:rsidRDefault="00A55FAC" w:rsidP="00D16DF5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:rsidR="00A55FAC" w:rsidRDefault="00A55FAC" w:rsidP="00A55FAC">
            <w:pPr>
              <w:spacing w:beforeLines="50" w:afterLines="50" w:line="300" w:lineRule="auto"/>
              <w:jc w:val="center"/>
              <w:rPr>
                <w:rFonts w:ascii="宋体" w:hAnsi="宋体" w:cs="宋体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FFFFFF" w:themeColor="background1"/>
                <w:sz w:val="24"/>
                <w:szCs w:val="24"/>
              </w:rPr>
              <w:t>时间</w:t>
            </w:r>
          </w:p>
        </w:tc>
        <w:tc>
          <w:tcPr>
            <w:tcW w:w="176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:rsidR="00A55FAC" w:rsidRDefault="00A55FAC" w:rsidP="00A55FAC">
            <w:pPr>
              <w:spacing w:beforeLines="50" w:afterLines="50" w:line="300" w:lineRule="auto"/>
              <w:jc w:val="center"/>
              <w:rPr>
                <w:rFonts w:ascii="宋体" w:hAnsi="宋体" w:cs="宋体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FFFFFF" w:themeColor="background1"/>
                <w:sz w:val="24"/>
                <w:szCs w:val="24"/>
              </w:rPr>
              <w:t>课程名称</w:t>
            </w:r>
          </w:p>
        </w:tc>
        <w:tc>
          <w:tcPr>
            <w:tcW w:w="53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:rsidR="00A55FAC" w:rsidRDefault="00A55FAC" w:rsidP="00A55FAC">
            <w:pPr>
              <w:spacing w:beforeLines="50" w:afterLines="50" w:line="300" w:lineRule="auto"/>
              <w:jc w:val="center"/>
              <w:rPr>
                <w:rFonts w:ascii="宋体" w:hAnsi="宋体" w:cs="宋体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FFFFFF" w:themeColor="background1"/>
                <w:sz w:val="24"/>
                <w:szCs w:val="24"/>
              </w:rPr>
              <w:t>培训内容</w:t>
            </w:r>
          </w:p>
        </w:tc>
      </w:tr>
      <w:tr w:rsidR="00A55FAC" w:rsidTr="00D16DF5">
        <w:trPr>
          <w:trHeight w:val="444"/>
          <w:jc w:val="center"/>
        </w:trPr>
        <w:tc>
          <w:tcPr>
            <w:tcW w:w="745" w:type="dxa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9</w:t>
            </w:r>
          </w:p>
          <w:p w:rsidR="00A55FAC" w:rsidRDefault="00A55FAC" w:rsidP="00D16DF5">
            <w:pPr>
              <w:spacing w:line="300" w:lineRule="auto"/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月</w:t>
            </w:r>
          </w:p>
          <w:p w:rsidR="00A55FAC" w:rsidRDefault="00A55FAC" w:rsidP="00D16DF5">
            <w:pPr>
              <w:spacing w:line="300" w:lineRule="auto"/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19</w:t>
            </w:r>
          </w:p>
          <w:p w:rsidR="00A55FAC" w:rsidRDefault="00A55FAC" w:rsidP="00D16DF5">
            <w:pPr>
              <w:spacing w:line="30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8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8:30-8:55</w:t>
            </w:r>
          </w:p>
        </w:tc>
        <w:tc>
          <w:tcPr>
            <w:tcW w:w="7144" w:type="dxa"/>
            <w:gridSpan w:val="2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签到</w:t>
            </w:r>
          </w:p>
        </w:tc>
      </w:tr>
      <w:tr w:rsidR="00A55FAC" w:rsidTr="00D16DF5">
        <w:trPr>
          <w:trHeight w:val="102"/>
          <w:jc w:val="center"/>
        </w:trPr>
        <w:tc>
          <w:tcPr>
            <w:tcW w:w="745" w:type="dxa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9:00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—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10:00</w:t>
            </w:r>
          </w:p>
        </w:tc>
        <w:tc>
          <w:tcPr>
            <w:tcW w:w="176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第一讲：</w:t>
            </w:r>
          </w:p>
          <w:p w:rsidR="00A55FAC" w:rsidRDefault="00A55FAC" w:rsidP="00D16DF5"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期权的基础知识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 w:rsidR="00A55FAC" w:rsidRDefault="00A55FAC" w:rsidP="00D16DF5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538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期权的概念与基本功能；期权的合约要素、上交所股票期权的合约设计、期权的价值、影响期权价值的因素、希腊字母简介、涨跌停制度、断路器制度</w:t>
            </w:r>
          </w:p>
        </w:tc>
      </w:tr>
      <w:tr w:rsidR="00A55FAC" w:rsidTr="00D16DF5">
        <w:trPr>
          <w:trHeight w:val="102"/>
          <w:jc w:val="center"/>
        </w:trPr>
        <w:tc>
          <w:tcPr>
            <w:tcW w:w="745" w:type="dxa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10:00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—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10:15</w:t>
            </w:r>
          </w:p>
        </w:tc>
        <w:tc>
          <w:tcPr>
            <w:tcW w:w="7144" w:type="dxa"/>
            <w:gridSpan w:val="2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课间休息</w:t>
            </w:r>
          </w:p>
        </w:tc>
      </w:tr>
      <w:tr w:rsidR="00A55FAC" w:rsidTr="00D16DF5">
        <w:trPr>
          <w:trHeight w:val="102"/>
          <w:jc w:val="center"/>
        </w:trPr>
        <w:tc>
          <w:tcPr>
            <w:tcW w:w="745" w:type="dxa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10:15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—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11:45</w:t>
            </w:r>
          </w:p>
        </w:tc>
        <w:tc>
          <w:tcPr>
            <w:tcW w:w="176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第二讲：</w:t>
            </w:r>
          </w:p>
          <w:p w:rsidR="00A55FAC" w:rsidRDefault="00A55FAC" w:rsidP="00D16DF5"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单腿期权策略</w:t>
            </w:r>
          </w:p>
        </w:tc>
        <w:tc>
          <w:tcPr>
            <w:tcW w:w="538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买认购、卖认购、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买认沽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卖认沽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的盈亏分析；买入开仓的使用场景与风险点、买入开仓的90/10策略、限仓、限购制度；卖出开仓的使用场景与风险点、保证金、强行平仓制度</w:t>
            </w:r>
          </w:p>
        </w:tc>
      </w:tr>
      <w:tr w:rsidR="00A55FAC" w:rsidTr="00D16DF5">
        <w:trPr>
          <w:trHeight w:val="102"/>
          <w:jc w:val="center"/>
        </w:trPr>
        <w:tc>
          <w:tcPr>
            <w:tcW w:w="745" w:type="dxa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11:45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—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13:30</w:t>
            </w:r>
          </w:p>
        </w:tc>
        <w:tc>
          <w:tcPr>
            <w:tcW w:w="7144" w:type="dxa"/>
            <w:gridSpan w:val="2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自助午餐、休息</w:t>
            </w:r>
          </w:p>
        </w:tc>
      </w:tr>
      <w:tr w:rsidR="00A55FAC" w:rsidTr="00D16DF5">
        <w:trPr>
          <w:trHeight w:val="922"/>
          <w:jc w:val="center"/>
        </w:trPr>
        <w:tc>
          <w:tcPr>
            <w:tcW w:w="745" w:type="dxa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13:30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—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14:45</w:t>
            </w:r>
          </w:p>
        </w:tc>
        <w:tc>
          <w:tcPr>
            <w:tcW w:w="176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第三讲：</w:t>
            </w:r>
          </w:p>
          <w:p w:rsidR="00A55FAC" w:rsidRDefault="00A55FAC" w:rsidP="00D16DF5"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保险策略与备兑开仓</w:t>
            </w:r>
          </w:p>
        </w:tc>
        <w:tc>
          <w:tcPr>
            <w:tcW w:w="538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保险策略的使用场景、盈亏分析与风险特征、投资组合的5种保险策略对比；备兑开仓策略的使用场景、盈亏分析、风险特征和收益指标；卖出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认沽买股票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策略的应用</w:t>
            </w:r>
          </w:p>
        </w:tc>
      </w:tr>
      <w:tr w:rsidR="00A55FAC" w:rsidTr="00D16DF5">
        <w:trPr>
          <w:trHeight w:val="102"/>
          <w:jc w:val="center"/>
        </w:trPr>
        <w:tc>
          <w:tcPr>
            <w:tcW w:w="745" w:type="dxa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14:45-15:00</w:t>
            </w:r>
          </w:p>
        </w:tc>
        <w:tc>
          <w:tcPr>
            <w:tcW w:w="7144" w:type="dxa"/>
            <w:gridSpan w:val="2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课间休息</w:t>
            </w:r>
          </w:p>
        </w:tc>
      </w:tr>
      <w:tr w:rsidR="00A55FAC" w:rsidTr="00D16DF5">
        <w:trPr>
          <w:trHeight w:val="102"/>
          <w:jc w:val="center"/>
        </w:trPr>
        <w:tc>
          <w:tcPr>
            <w:tcW w:w="745" w:type="dxa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15:00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—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16:00</w:t>
            </w:r>
          </w:p>
        </w:tc>
        <w:tc>
          <w:tcPr>
            <w:tcW w:w="176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第四讲：</w:t>
            </w:r>
          </w:p>
          <w:p w:rsidR="00A55FAC" w:rsidRDefault="00A55FAC" w:rsidP="00D16DF5"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期权基础组合策略</w:t>
            </w:r>
          </w:p>
        </w:tc>
        <w:tc>
          <w:tcPr>
            <w:tcW w:w="538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牛市价差组合、熊市价差组合、股票修补策略、合成股票策略、跨式、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宽跨式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组合盈亏与案例分析</w:t>
            </w:r>
          </w:p>
        </w:tc>
      </w:tr>
      <w:tr w:rsidR="00A55FAC" w:rsidTr="00D16DF5">
        <w:trPr>
          <w:trHeight w:val="102"/>
          <w:jc w:val="center"/>
        </w:trPr>
        <w:tc>
          <w:tcPr>
            <w:tcW w:w="745" w:type="dxa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16:00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—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16:30</w:t>
            </w:r>
          </w:p>
        </w:tc>
        <w:tc>
          <w:tcPr>
            <w:tcW w:w="176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宋体" w:hAnsi="宋体" w:cs="宋体"/>
                <w:szCs w:val="21"/>
              </w:rPr>
            </w:pPr>
            <w:r w:rsidRPr="00AF774C">
              <w:rPr>
                <w:rFonts w:ascii="宋体" w:hAnsi="宋体" w:cs="宋体" w:hint="eastAsia"/>
                <w:szCs w:val="21"/>
              </w:rPr>
              <w:t>第五讲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A55FAC" w:rsidRDefault="00A55FAC" w:rsidP="00D16DF5">
            <w:pPr>
              <w:spacing w:line="300" w:lineRule="auto"/>
              <w:rPr>
                <w:rFonts w:ascii="宋体" w:hAnsi="宋体" w:cs="宋体"/>
                <w:szCs w:val="21"/>
              </w:rPr>
            </w:pPr>
            <w:r w:rsidRPr="00AF774C">
              <w:rPr>
                <w:rFonts w:ascii="宋体" w:hAnsi="宋体" w:cs="宋体" w:hint="eastAsia"/>
                <w:szCs w:val="21"/>
              </w:rPr>
              <w:t>行权交收及限仓限购制度</w:t>
            </w:r>
          </w:p>
        </w:tc>
        <w:tc>
          <w:tcPr>
            <w:tcW w:w="538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上交所期权行权交收制度、限仓限购制度、当日的知识总结与梳理、考试辅导</w:t>
            </w:r>
          </w:p>
        </w:tc>
      </w:tr>
      <w:tr w:rsidR="00A55FAC" w:rsidTr="00D16DF5">
        <w:trPr>
          <w:trHeight w:val="604"/>
          <w:jc w:val="center"/>
        </w:trPr>
        <w:tc>
          <w:tcPr>
            <w:tcW w:w="745" w:type="dxa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9</w:t>
            </w:r>
          </w:p>
          <w:p w:rsidR="00A55FAC" w:rsidRDefault="00A55FAC" w:rsidP="00D16DF5">
            <w:pPr>
              <w:spacing w:line="300" w:lineRule="auto"/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月</w:t>
            </w:r>
          </w:p>
          <w:p w:rsidR="00A55FAC" w:rsidRDefault="00A55FAC" w:rsidP="00D16DF5">
            <w:pPr>
              <w:spacing w:line="300" w:lineRule="auto"/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20</w:t>
            </w:r>
          </w:p>
          <w:p w:rsidR="00A55FAC" w:rsidRDefault="00A55FAC" w:rsidP="00D16DF5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8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9:00-10:00</w:t>
            </w:r>
          </w:p>
        </w:tc>
        <w:tc>
          <w:tcPr>
            <w:tcW w:w="176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股票期权客户开发之新手篇</w:t>
            </w:r>
          </w:p>
        </w:tc>
        <w:tc>
          <w:tcPr>
            <w:tcW w:w="538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目标人群、营销技巧、投资者适当性管理、介绍客户端使用方法、行情浏览、交易操作、投资者如何起步期权交易</w:t>
            </w:r>
          </w:p>
        </w:tc>
      </w:tr>
      <w:tr w:rsidR="00A55FAC" w:rsidTr="00D16DF5">
        <w:trPr>
          <w:trHeight w:val="440"/>
          <w:jc w:val="center"/>
        </w:trPr>
        <w:tc>
          <w:tcPr>
            <w:tcW w:w="745" w:type="dxa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10:00-11:00</w:t>
            </w:r>
          </w:p>
        </w:tc>
        <w:tc>
          <w:tcPr>
            <w:tcW w:w="176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股票期权客户开发之实战篇</w:t>
            </w:r>
          </w:p>
        </w:tc>
        <w:tc>
          <w:tcPr>
            <w:tcW w:w="538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模拟交易与真实交易的案例分析与讨论</w:t>
            </w:r>
          </w:p>
        </w:tc>
      </w:tr>
      <w:tr w:rsidR="00A55FAC" w:rsidTr="00D16DF5">
        <w:trPr>
          <w:trHeight w:val="440"/>
          <w:jc w:val="center"/>
        </w:trPr>
        <w:tc>
          <w:tcPr>
            <w:tcW w:w="745" w:type="dxa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11:00-12:00</w:t>
            </w:r>
          </w:p>
        </w:tc>
        <w:tc>
          <w:tcPr>
            <w:tcW w:w="176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结业考试</w:t>
            </w:r>
          </w:p>
        </w:tc>
        <w:tc>
          <w:tcPr>
            <w:tcW w:w="538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rPr>
                <w:rFonts w:ascii="宋体" w:hAnsi="宋体" w:cs="宋体"/>
                <w:szCs w:val="21"/>
              </w:rPr>
            </w:pPr>
          </w:p>
        </w:tc>
      </w:tr>
      <w:tr w:rsidR="00A55FAC" w:rsidTr="00D16DF5">
        <w:trPr>
          <w:trHeight w:val="394"/>
          <w:jc w:val="center"/>
        </w:trPr>
        <w:tc>
          <w:tcPr>
            <w:tcW w:w="745" w:type="dxa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A55FAC" w:rsidRDefault="00A55FAC" w:rsidP="00D16DF5"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12:00-13:00</w:t>
            </w:r>
          </w:p>
        </w:tc>
        <w:tc>
          <w:tcPr>
            <w:tcW w:w="7144" w:type="dxa"/>
            <w:gridSpan w:val="2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A55FAC" w:rsidRDefault="00A55FAC" w:rsidP="00D16DF5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自助午餐</w:t>
            </w:r>
          </w:p>
        </w:tc>
      </w:tr>
    </w:tbl>
    <w:p w:rsidR="00D31557" w:rsidRPr="00A55FAC" w:rsidRDefault="00A55FAC" w:rsidP="00A55FAC">
      <w:pPr>
        <w:widowControl/>
        <w:snapToGrid w:val="0"/>
        <w:spacing w:line="500" w:lineRule="exact"/>
        <w:jc w:val="left"/>
        <w:rPr>
          <w:rFonts w:ascii="黑体" w:eastAsia="黑体" w:hAnsi="黑体" w:cs="黑体"/>
          <w:bCs/>
          <w:kern w:val="44"/>
          <w:sz w:val="20"/>
          <w:szCs w:val="20"/>
        </w:rPr>
      </w:pPr>
      <w:r w:rsidRPr="000A3255">
        <w:rPr>
          <w:rFonts w:ascii="黑体" w:eastAsia="黑体" w:hAnsi="黑体" w:cs="黑体" w:hint="eastAsia"/>
          <w:bCs/>
          <w:kern w:val="44"/>
          <w:sz w:val="20"/>
          <w:szCs w:val="20"/>
        </w:rPr>
        <w:t>*具体课程安排请以实际为准</w:t>
      </w:r>
    </w:p>
    <w:sectPr w:rsidR="00D31557" w:rsidRPr="00A55FAC" w:rsidSect="00D31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55FAC"/>
    <w:rsid w:val="00A55FAC"/>
    <w:rsid w:val="00D3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2019-08-12T08:37:00Z</dcterms:created>
  <dcterms:modified xsi:type="dcterms:W3CDTF">2019-08-12T08:38:00Z</dcterms:modified>
</cp:coreProperties>
</file>