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9" w:rsidRDefault="00421C39" w:rsidP="00421C39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/>
          <w:bCs/>
          <w:kern w:val="44"/>
          <w:sz w:val="32"/>
          <w:szCs w:val="32"/>
        </w:rPr>
        <w:t>附件1：</w:t>
      </w:r>
    </w:p>
    <w:p w:rsidR="00421C39" w:rsidRDefault="00421C39" w:rsidP="00421C39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第二十五期债券交易员</w:t>
      </w:r>
      <w:r>
        <w:rPr>
          <w:rFonts w:ascii="Times New Roman" w:eastAsia="黑体" w:hAnsi="黑体" w:cs="Times New Roman"/>
          <w:bCs/>
          <w:kern w:val="44"/>
          <w:sz w:val="32"/>
          <w:szCs w:val="32"/>
        </w:rPr>
        <w:t>培训</w:t>
      </w:r>
      <w:r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课程表</w:t>
      </w:r>
    </w:p>
    <w:tbl>
      <w:tblPr>
        <w:tblpPr w:leftFromText="180" w:rightFromText="180" w:horzAnchor="margin" w:tblpY="106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6902"/>
      </w:tblGrid>
      <w:tr w:rsidR="00421C39" w:rsidTr="001144D1">
        <w:trPr>
          <w:trHeight w:val="439"/>
        </w:trPr>
        <w:tc>
          <w:tcPr>
            <w:tcW w:w="1570" w:type="dxa"/>
            <w:shd w:val="clear" w:color="auto" w:fill="264E84"/>
            <w:vAlign w:val="center"/>
          </w:tcPr>
          <w:p w:rsidR="00421C39" w:rsidRDefault="00421C39" w:rsidP="001144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时间</w:t>
            </w:r>
          </w:p>
        </w:tc>
        <w:tc>
          <w:tcPr>
            <w:tcW w:w="6902" w:type="dxa"/>
            <w:shd w:val="clear" w:color="auto" w:fill="264E84"/>
            <w:vAlign w:val="center"/>
          </w:tcPr>
          <w:p w:rsidR="00421C39" w:rsidRDefault="00421C39" w:rsidP="001144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课程内容</w:t>
            </w:r>
          </w:p>
        </w:tc>
      </w:tr>
      <w:tr w:rsidR="00421C39" w:rsidTr="001144D1">
        <w:trPr>
          <w:trHeight w:val="439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1F497D" w:themeColor="text2"/>
                <w:sz w:val="24"/>
              </w:rPr>
            </w:pP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12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月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16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日（星期一）</w:t>
            </w:r>
          </w:p>
        </w:tc>
      </w:tr>
      <w:tr w:rsidR="00421C39" w:rsidTr="001144D1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09:00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上交所债券市场概况、</w:t>
            </w: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产品业务及</w:t>
            </w:r>
            <w:r w:rsidRPr="000F52B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准入体系</w:t>
            </w:r>
          </w:p>
        </w:tc>
      </w:tr>
      <w:tr w:rsidR="00421C39" w:rsidTr="001144D1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10:20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</w:t>
            </w: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债券现券交易规则</w:t>
            </w:r>
          </w:p>
        </w:tc>
      </w:tr>
      <w:tr w:rsidR="00421C39" w:rsidTr="001144D1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1:20-12:00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上交所债券质押式回购交易规则</w:t>
            </w:r>
          </w:p>
        </w:tc>
      </w:tr>
      <w:tr w:rsidR="00421C39" w:rsidRPr="00F60208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5:00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上交所债券协议回购及三方回购交易规则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7A203E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A203E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7A203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5:00-15:30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上交所债券交易风险监测及管理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ED5F72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D5F7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15:30-17:00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上交所债券及回购结算规则介绍</w:t>
            </w:r>
          </w:p>
        </w:tc>
      </w:tr>
      <w:tr w:rsidR="00421C39" w:rsidTr="001144D1">
        <w:trPr>
          <w:trHeight w:val="450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12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月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17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日（星期二）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9:00-9:40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上交所固定收益平台技术系统介绍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9:40-10:40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上交所担保品处置平台及债券借贷业务介绍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10:40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/>
                <w:sz w:val="24"/>
                <w:szCs w:val="24"/>
              </w:rPr>
              <w:t>上交</w:t>
            </w:r>
            <w:proofErr w:type="gramStart"/>
            <w:r w:rsidRPr="000F52B9">
              <w:rPr>
                <w:rFonts w:ascii="Times New Roman" w:eastAsia="楷体" w:hAnsi="Times New Roman" w:cs="Times New Roman"/>
                <w:sz w:val="24"/>
                <w:szCs w:val="24"/>
              </w:rPr>
              <w:t>所</w:t>
            </w: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利率债</w:t>
            </w:r>
            <w:proofErr w:type="gramEnd"/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招标发行业务介绍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14:00-15</w:t>
            </w: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上交所公司债及</w:t>
            </w: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ABS</w:t>
            </w: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发行业务介绍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B9562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B9562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15:00-16:00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上交所存续期监管体系介绍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B9562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16:00-17</w:t>
            </w:r>
            <w:r w:rsidRPr="00B9562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中证收益率曲线、债券估值及评级介绍</w:t>
            </w:r>
          </w:p>
        </w:tc>
      </w:tr>
      <w:tr w:rsidR="00421C39" w:rsidTr="001144D1">
        <w:trPr>
          <w:trHeight w:val="450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12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月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18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日（星期三）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9:00-10:00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</w:t>
            </w: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ETF</w:t>
            </w: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EE1560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EE1560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10:00-11:40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债券市场宏观及行业形势分析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:</w:t>
            </w: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信用债投资交易策略分析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Pr="00D61086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16:00-17:30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小组圆桌讨论</w:t>
            </w:r>
          </w:p>
        </w:tc>
      </w:tr>
      <w:tr w:rsidR="00421C39" w:rsidTr="001144D1">
        <w:trPr>
          <w:trHeight w:val="450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ind w:firstLineChars="1200" w:firstLine="2891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12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月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19</w:t>
            </w:r>
            <w:r w:rsidRPr="000F52B9">
              <w:rPr>
                <w:rFonts w:ascii="Times New Roman" w:eastAsia="仿宋_GB2312" w:hAnsi="Times New Roman" w:cs="Times New Roman" w:hint="eastAsia"/>
                <w:b/>
                <w:bCs/>
                <w:color w:val="1F497D" w:themeColor="text2"/>
                <w:sz w:val="24"/>
              </w:rPr>
              <w:t>日（星期四）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9:00-9:30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债券经纪业务介绍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9:30-10:30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债券及回购交易实操分享</w:t>
            </w:r>
          </w:p>
        </w:tc>
      </w:tr>
      <w:tr w:rsidR="00421C39" w:rsidTr="001144D1">
        <w:trPr>
          <w:trHeight w:val="450"/>
        </w:trPr>
        <w:tc>
          <w:tcPr>
            <w:tcW w:w="1570" w:type="dxa"/>
            <w:shd w:val="clear" w:color="auto" w:fill="auto"/>
            <w:vAlign w:val="center"/>
          </w:tcPr>
          <w:p w:rsidR="00421C39" w:rsidRDefault="00421C39" w:rsidP="001144D1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10:30-11:30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421C39" w:rsidRPr="000F52B9" w:rsidRDefault="00421C39" w:rsidP="001144D1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结业考试</w:t>
            </w:r>
          </w:p>
        </w:tc>
      </w:tr>
    </w:tbl>
    <w:p w:rsidR="00421C39" w:rsidRDefault="00421C39" w:rsidP="00421C39">
      <w:pPr>
        <w:widowControl/>
        <w:snapToGrid w:val="0"/>
        <w:spacing w:line="500" w:lineRule="exact"/>
        <w:ind w:firstLineChars="50" w:firstLine="160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:rsidR="00421C39" w:rsidRPr="00876AF8" w:rsidRDefault="00421C39" w:rsidP="00421C39">
      <w:pPr>
        <w:widowControl/>
        <w:snapToGrid w:val="0"/>
        <w:spacing w:line="500" w:lineRule="exact"/>
        <w:ind w:firstLineChars="50" w:firstLine="160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:rsidR="004D5E4B" w:rsidRDefault="00421C39"/>
    <w:sectPr w:rsidR="004D5E4B" w:rsidSect="00D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C39"/>
    <w:rsid w:val="00115A71"/>
    <w:rsid w:val="00421C39"/>
    <w:rsid w:val="00DA323A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2019-11-18T03:09:00Z</dcterms:created>
  <dcterms:modified xsi:type="dcterms:W3CDTF">2019-11-18T03:09:00Z</dcterms:modified>
</cp:coreProperties>
</file>