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55" w:rsidRPr="0059698E" w:rsidRDefault="00236D55" w:rsidP="00236D55">
      <w:pPr>
        <w:widowControl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36D55" w:rsidRDefault="00236D55" w:rsidP="00236D55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十</w:t>
      </w:r>
      <w:r w:rsidRPr="00EE1D90">
        <w:rPr>
          <w:rFonts w:ascii="黑体" w:eastAsia="黑体" w:hAnsi="黑体" w:cs="Times New Roman"/>
          <w:sz w:val="32"/>
          <w:szCs w:val="32"/>
        </w:rPr>
        <w:t>期</w:t>
      </w:r>
      <w:r w:rsidRPr="00EE1D90">
        <w:rPr>
          <w:rFonts w:ascii="黑体" w:eastAsia="黑体" w:hAnsi="黑体" w:cs="Times New Roman" w:hint="eastAsia"/>
          <w:sz w:val="32"/>
          <w:szCs w:val="32"/>
        </w:rPr>
        <w:t>公司债及资产证券化</w:t>
      </w:r>
      <w:proofErr w:type="gramStart"/>
      <w:r w:rsidRPr="00EE1D90">
        <w:rPr>
          <w:rFonts w:ascii="黑体" w:eastAsia="黑体" w:hAnsi="黑体" w:cs="Times New Roman" w:hint="eastAsia"/>
          <w:sz w:val="32"/>
          <w:szCs w:val="32"/>
        </w:rPr>
        <w:t>风控合规</w:t>
      </w:r>
      <w:proofErr w:type="gramEnd"/>
      <w:r w:rsidRPr="00EE1D90">
        <w:rPr>
          <w:rFonts w:ascii="黑体" w:eastAsia="黑体" w:hAnsi="黑体" w:cs="Times New Roman" w:hint="eastAsia"/>
          <w:sz w:val="32"/>
          <w:szCs w:val="32"/>
        </w:rPr>
        <w:t>总监</w:t>
      </w:r>
    </w:p>
    <w:p w:rsidR="00236D55" w:rsidRPr="00EE1D90" w:rsidRDefault="00236D55" w:rsidP="00236D55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 w:hint="eastAsia"/>
          <w:sz w:val="32"/>
          <w:szCs w:val="32"/>
        </w:rPr>
        <w:t>及相关人员培训</w:t>
      </w:r>
      <w:r>
        <w:rPr>
          <w:rFonts w:ascii="黑体" w:eastAsia="黑体" w:hAnsi="黑体" w:cs="Times New Roman" w:hint="eastAsia"/>
          <w:sz w:val="32"/>
          <w:szCs w:val="32"/>
        </w:rPr>
        <w:t>课程表</w:t>
      </w:r>
    </w:p>
    <w:tbl>
      <w:tblPr>
        <w:tblW w:w="8416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985"/>
        <w:gridCol w:w="4819"/>
      </w:tblGrid>
      <w:tr w:rsidR="00236D55" w:rsidRPr="00737150" w:rsidTr="00AE0289">
        <w:trPr>
          <w:trHeight w:val="528"/>
          <w:jc w:val="center"/>
        </w:trPr>
        <w:tc>
          <w:tcPr>
            <w:tcW w:w="1612" w:type="dxa"/>
            <w:shd w:val="clear" w:color="auto" w:fill="BFBFBF"/>
            <w:vAlign w:val="center"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4819" w:type="dxa"/>
            <w:shd w:val="clear" w:color="auto" w:fill="BFBFBF"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236D55" w:rsidRPr="00737150" w:rsidTr="00AE0289">
        <w:trPr>
          <w:trHeight w:val="372"/>
          <w:jc w:val="center"/>
        </w:trPr>
        <w:tc>
          <w:tcPr>
            <w:tcW w:w="1612" w:type="dxa"/>
            <w:vMerge w:val="restart"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18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四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36D55" w:rsidRPr="00095767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819" w:type="dxa"/>
            <w:vAlign w:val="center"/>
          </w:tcPr>
          <w:p w:rsidR="00236D55" w:rsidRPr="00095767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236D55" w:rsidRPr="00737150" w:rsidTr="00AE0289">
        <w:trPr>
          <w:trHeight w:val="14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095767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9: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236D55" w:rsidRPr="00095767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</w:p>
        </w:tc>
      </w:tr>
      <w:tr w:rsidR="00236D55" w:rsidRPr="00737150" w:rsidTr="00AE0289">
        <w:trPr>
          <w:trHeight w:val="14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公司债券合</w:t>
            </w:r>
            <w:proofErr w:type="gramStart"/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及风险防控</w:t>
            </w:r>
          </w:p>
        </w:tc>
      </w:tr>
      <w:tr w:rsidR="00236D55" w:rsidRPr="00737150" w:rsidTr="00AE0289">
        <w:trPr>
          <w:trHeight w:val="541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证券公司内控制度建设及风险管理</w:t>
            </w:r>
          </w:p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经验分享</w:t>
            </w:r>
          </w:p>
        </w:tc>
      </w:tr>
      <w:tr w:rsidR="00236D55" w:rsidRPr="00737150" w:rsidTr="00AE0289">
        <w:trPr>
          <w:trHeight w:val="33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4819" w:type="dxa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236D55" w:rsidRPr="00737150" w:rsidTr="00AE0289">
        <w:trPr>
          <w:trHeight w:val="33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236D55" w:rsidRPr="0074270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债券存续期信用风险管理指引解读</w:t>
            </w:r>
          </w:p>
        </w:tc>
      </w:tr>
      <w:tr w:rsidR="00236D55" w:rsidRPr="00737150" w:rsidTr="00AE0289">
        <w:trPr>
          <w:trHeight w:val="14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0-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</w:t>
            </w:r>
          </w:p>
        </w:tc>
        <w:tc>
          <w:tcPr>
            <w:tcW w:w="4819" w:type="dxa"/>
          </w:tcPr>
          <w:p w:rsidR="00236D55" w:rsidRPr="0074270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债券违约处置分析</w:t>
            </w:r>
          </w:p>
        </w:tc>
      </w:tr>
      <w:tr w:rsidR="00236D55" w:rsidRPr="00737150" w:rsidTr="00AE0289">
        <w:trPr>
          <w:trHeight w:val="14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16:00-17:00</w:t>
            </w:r>
          </w:p>
        </w:tc>
        <w:tc>
          <w:tcPr>
            <w:tcW w:w="4819" w:type="dxa"/>
          </w:tcPr>
          <w:p w:rsidR="00236D55" w:rsidRPr="0074270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公司债内核要点及相关政策解读</w:t>
            </w:r>
          </w:p>
        </w:tc>
      </w:tr>
      <w:tr w:rsidR="00236D55" w:rsidRPr="00737150" w:rsidTr="00AE0289">
        <w:trPr>
          <w:trHeight w:val="149"/>
          <w:jc w:val="center"/>
        </w:trPr>
        <w:tc>
          <w:tcPr>
            <w:tcW w:w="1612" w:type="dxa"/>
            <w:vMerge w:val="restart"/>
          </w:tcPr>
          <w:p w:rsidR="00236D55" w:rsidRPr="00737150" w:rsidRDefault="00236D55" w:rsidP="00AE0289">
            <w:pPr>
              <w:spacing w:line="360" w:lineRule="auto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19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五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4819" w:type="dxa"/>
          </w:tcPr>
          <w:p w:rsidR="00236D55" w:rsidRPr="0074270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资产证券化业务尽职调查及合</w:t>
            </w:r>
            <w:proofErr w:type="gramStart"/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规风控要求</w:t>
            </w:r>
            <w:proofErr w:type="gramEnd"/>
          </w:p>
        </w:tc>
      </w:tr>
      <w:tr w:rsidR="00236D55" w:rsidRPr="00737150" w:rsidTr="00AE0289">
        <w:trPr>
          <w:trHeight w:val="14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236D55" w:rsidRPr="0074270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公司债及资产证券化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发行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36D55" w:rsidRPr="00737150" w:rsidTr="00AE0289">
        <w:trPr>
          <w:trHeight w:val="14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1B7086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10:45-11:30</w:t>
            </w:r>
          </w:p>
        </w:tc>
        <w:tc>
          <w:tcPr>
            <w:tcW w:w="4819" w:type="dxa"/>
          </w:tcPr>
          <w:p w:rsidR="00236D55" w:rsidRPr="0074270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公司债及资产证券化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上市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</w:p>
        </w:tc>
      </w:tr>
      <w:tr w:rsidR="00236D55" w:rsidRPr="00737150" w:rsidTr="00AE0289">
        <w:trPr>
          <w:trHeight w:val="14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74270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0-12: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236D55" w:rsidRPr="0074270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及资产证券化后续督导合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36D55" w:rsidRPr="00365F1C" w:rsidTr="00AE0289">
        <w:trPr>
          <w:trHeight w:val="149"/>
          <w:jc w:val="center"/>
        </w:trPr>
        <w:tc>
          <w:tcPr>
            <w:tcW w:w="1612" w:type="dxa"/>
            <w:vMerge/>
          </w:tcPr>
          <w:p w:rsidR="00236D55" w:rsidRPr="00737150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0-14:00</w:t>
            </w:r>
          </w:p>
        </w:tc>
        <w:tc>
          <w:tcPr>
            <w:tcW w:w="4819" w:type="dxa"/>
          </w:tcPr>
          <w:p w:rsidR="00236D55" w:rsidRPr="0022539B" w:rsidRDefault="00236D55" w:rsidP="00AE028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</w:tbl>
    <w:p w:rsidR="00236D55" w:rsidRDefault="00236D55" w:rsidP="00236D55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236D55" w:rsidRDefault="00236D55" w:rsidP="00236D55"/>
    <w:p w:rsidR="00236D55" w:rsidRDefault="00236D55" w:rsidP="00236D55"/>
    <w:p w:rsidR="00523D9F" w:rsidRPr="00236D55" w:rsidRDefault="00523D9F" w:rsidP="00236D55"/>
    <w:sectPr w:rsidR="00523D9F" w:rsidRPr="00236D55" w:rsidSect="0052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59" w:rsidRDefault="00535959" w:rsidP="00452209">
      <w:r>
        <w:separator/>
      </w:r>
    </w:p>
  </w:endnote>
  <w:endnote w:type="continuationSeparator" w:id="0">
    <w:p w:rsidR="00535959" w:rsidRDefault="00535959" w:rsidP="0045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59" w:rsidRDefault="00535959" w:rsidP="00452209">
      <w:r>
        <w:separator/>
      </w:r>
    </w:p>
  </w:footnote>
  <w:footnote w:type="continuationSeparator" w:id="0">
    <w:p w:rsidR="00535959" w:rsidRDefault="00535959" w:rsidP="00452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4B4"/>
    <w:rsid w:val="00055613"/>
    <w:rsid w:val="00236D55"/>
    <w:rsid w:val="00317633"/>
    <w:rsid w:val="00452209"/>
    <w:rsid w:val="00523D9F"/>
    <w:rsid w:val="00535959"/>
    <w:rsid w:val="00983308"/>
    <w:rsid w:val="00A4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434B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434B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452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220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52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52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2019-03-19T02:14:00Z</dcterms:created>
  <dcterms:modified xsi:type="dcterms:W3CDTF">2019-06-24T02:07:00Z</dcterms:modified>
</cp:coreProperties>
</file>