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2F" w:rsidRPr="00012535" w:rsidRDefault="006C212F" w:rsidP="006C212F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012535">
        <w:rPr>
          <w:rFonts w:ascii="Times New Roman" w:eastAsia="黑体" w:hAnsi="Times New Roman" w:cs="Times New Roman"/>
          <w:sz w:val="32"/>
          <w:szCs w:val="32"/>
        </w:rPr>
        <w:t>附件</w:t>
      </w:r>
      <w:r w:rsidRPr="00012535">
        <w:rPr>
          <w:rFonts w:ascii="Times New Roman" w:eastAsia="黑体" w:hAnsi="Times New Roman" w:cs="Times New Roman"/>
          <w:sz w:val="32"/>
          <w:szCs w:val="32"/>
        </w:rPr>
        <w:t>1</w:t>
      </w:r>
      <w:r w:rsidRPr="00012535">
        <w:rPr>
          <w:rFonts w:ascii="Times New Roman" w:eastAsia="黑体" w:hAnsi="Times New Roman" w:cs="Times New Roman"/>
          <w:sz w:val="32"/>
          <w:szCs w:val="32"/>
        </w:rPr>
        <w:t>：</w:t>
      </w:r>
    </w:p>
    <w:p w:rsidR="006C212F" w:rsidRPr="00012535" w:rsidRDefault="006C212F" w:rsidP="006C212F">
      <w:pPr>
        <w:pStyle w:val="a3"/>
        <w:rPr>
          <w:rFonts w:ascii="Times New Roman" w:eastAsia="黑体" w:hAnsi="Times New Roman"/>
          <w:b w:val="0"/>
        </w:rPr>
      </w:pPr>
      <w:r w:rsidRPr="00012535">
        <w:rPr>
          <w:rFonts w:ascii="Times New Roman" w:eastAsia="黑体" w:hAnsi="Times New Roman"/>
          <w:b w:val="0"/>
        </w:rPr>
        <w:t>上交所第七期资产证券化发行及</w:t>
      </w:r>
      <w:proofErr w:type="gramStart"/>
      <w:r w:rsidRPr="00012535">
        <w:rPr>
          <w:rFonts w:ascii="Times New Roman" w:eastAsia="黑体" w:hAnsi="Times New Roman"/>
          <w:b w:val="0"/>
        </w:rPr>
        <w:t>风控合规</w:t>
      </w:r>
      <w:proofErr w:type="gramEnd"/>
      <w:r w:rsidRPr="00012535">
        <w:rPr>
          <w:rFonts w:ascii="Times New Roman" w:eastAsia="黑体" w:hAnsi="Times New Roman"/>
          <w:b w:val="0"/>
        </w:rPr>
        <w:t>培训课程表</w:t>
      </w:r>
    </w:p>
    <w:tbl>
      <w:tblPr>
        <w:tblW w:w="8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1"/>
        <w:gridCol w:w="6176"/>
      </w:tblGrid>
      <w:tr w:rsidR="006C212F" w:rsidRPr="00012535" w:rsidTr="00885A10">
        <w:trPr>
          <w:trHeight w:val="515"/>
          <w:jc w:val="center"/>
        </w:trPr>
        <w:tc>
          <w:tcPr>
            <w:tcW w:w="2691" w:type="dxa"/>
            <w:vAlign w:val="center"/>
          </w:tcPr>
          <w:p w:rsidR="006C212F" w:rsidRPr="00012535" w:rsidRDefault="006C212F" w:rsidP="00885A1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6176" w:type="dxa"/>
            <w:vAlign w:val="center"/>
          </w:tcPr>
          <w:p w:rsidR="006C212F" w:rsidRPr="00012535" w:rsidRDefault="006C212F" w:rsidP="00885A1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课程内容</w:t>
            </w:r>
          </w:p>
        </w:tc>
      </w:tr>
      <w:tr w:rsidR="006C212F" w:rsidRPr="00012535" w:rsidTr="00885A10">
        <w:trPr>
          <w:trHeight w:val="515"/>
          <w:jc w:val="center"/>
        </w:trPr>
        <w:tc>
          <w:tcPr>
            <w:tcW w:w="8867" w:type="dxa"/>
            <w:gridSpan w:val="2"/>
            <w:vAlign w:val="center"/>
          </w:tcPr>
          <w:p w:rsidR="006C212F" w:rsidRPr="00012535" w:rsidRDefault="006C212F" w:rsidP="00885A1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3</w:t>
            </w:r>
            <w:r w:rsidRPr="00012535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月</w:t>
            </w:r>
            <w:r w:rsidRPr="00012535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21</w:t>
            </w:r>
            <w:r w:rsidRPr="00012535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日</w:t>
            </w:r>
          </w:p>
        </w:tc>
      </w:tr>
      <w:tr w:rsidR="006C212F" w:rsidRPr="00012535" w:rsidTr="00885A10">
        <w:trPr>
          <w:trHeight w:val="515"/>
          <w:jc w:val="center"/>
        </w:trPr>
        <w:tc>
          <w:tcPr>
            <w:tcW w:w="2691" w:type="dxa"/>
            <w:vAlign w:val="center"/>
          </w:tcPr>
          <w:p w:rsidR="006C212F" w:rsidRPr="00012535" w:rsidRDefault="006C212F" w:rsidP="00885A1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8:30-8:55</w:t>
            </w:r>
          </w:p>
        </w:tc>
        <w:tc>
          <w:tcPr>
            <w:tcW w:w="6176" w:type="dxa"/>
            <w:vAlign w:val="center"/>
          </w:tcPr>
          <w:p w:rsidR="006C212F" w:rsidRPr="00012535" w:rsidRDefault="006C212F" w:rsidP="00885A1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培训签到</w:t>
            </w:r>
          </w:p>
        </w:tc>
      </w:tr>
      <w:tr w:rsidR="006C212F" w:rsidRPr="00012535" w:rsidTr="00885A10">
        <w:trPr>
          <w:trHeight w:val="515"/>
          <w:jc w:val="center"/>
        </w:trPr>
        <w:tc>
          <w:tcPr>
            <w:tcW w:w="2691" w:type="dxa"/>
            <w:vAlign w:val="center"/>
          </w:tcPr>
          <w:p w:rsidR="006C212F" w:rsidRPr="00012535" w:rsidRDefault="006C212F" w:rsidP="00885A1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9:00-9:30</w:t>
            </w:r>
          </w:p>
        </w:tc>
        <w:tc>
          <w:tcPr>
            <w:tcW w:w="6176" w:type="dxa"/>
            <w:vAlign w:val="center"/>
          </w:tcPr>
          <w:p w:rsidR="006C212F" w:rsidRPr="00012535" w:rsidRDefault="006C212F" w:rsidP="00885A1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上交所债券市场概况</w:t>
            </w:r>
          </w:p>
        </w:tc>
      </w:tr>
      <w:tr w:rsidR="006C212F" w:rsidRPr="00012535" w:rsidTr="00885A10">
        <w:trPr>
          <w:trHeight w:val="515"/>
          <w:jc w:val="center"/>
        </w:trPr>
        <w:tc>
          <w:tcPr>
            <w:tcW w:w="2691" w:type="dxa"/>
            <w:vAlign w:val="center"/>
          </w:tcPr>
          <w:p w:rsidR="006C212F" w:rsidRPr="00012535" w:rsidRDefault="006C212F" w:rsidP="00885A1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9:30-10:30</w:t>
            </w:r>
          </w:p>
        </w:tc>
        <w:tc>
          <w:tcPr>
            <w:tcW w:w="6176" w:type="dxa"/>
            <w:vAlign w:val="center"/>
          </w:tcPr>
          <w:p w:rsidR="006C212F" w:rsidRPr="00012535" w:rsidRDefault="006C212F" w:rsidP="00885A1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资产证券化业务政策解读与监管要求</w:t>
            </w:r>
          </w:p>
        </w:tc>
      </w:tr>
      <w:tr w:rsidR="006C212F" w:rsidRPr="00012535" w:rsidTr="00885A10">
        <w:trPr>
          <w:trHeight w:val="515"/>
          <w:jc w:val="center"/>
        </w:trPr>
        <w:tc>
          <w:tcPr>
            <w:tcW w:w="2691" w:type="dxa"/>
            <w:vAlign w:val="center"/>
          </w:tcPr>
          <w:p w:rsidR="006C212F" w:rsidRPr="00012535" w:rsidRDefault="006C212F" w:rsidP="00885A1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6176" w:type="dxa"/>
            <w:vAlign w:val="center"/>
          </w:tcPr>
          <w:p w:rsidR="006C212F" w:rsidRPr="00012535" w:rsidRDefault="006C212F" w:rsidP="00885A1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上交</w:t>
            </w:r>
            <w:proofErr w:type="gramStart"/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所资产</w:t>
            </w:r>
            <w:proofErr w:type="gramEnd"/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证券化业务流程、申报文件及业务开展要求</w:t>
            </w:r>
          </w:p>
        </w:tc>
      </w:tr>
      <w:tr w:rsidR="006C212F" w:rsidRPr="00012535" w:rsidTr="00885A10">
        <w:trPr>
          <w:trHeight w:val="515"/>
          <w:jc w:val="center"/>
        </w:trPr>
        <w:tc>
          <w:tcPr>
            <w:tcW w:w="2691" w:type="dxa"/>
            <w:vAlign w:val="center"/>
          </w:tcPr>
          <w:p w:rsidR="006C212F" w:rsidRPr="00012535" w:rsidRDefault="006C212F" w:rsidP="00885A1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11:00-13:30</w:t>
            </w:r>
          </w:p>
        </w:tc>
        <w:tc>
          <w:tcPr>
            <w:tcW w:w="6176" w:type="dxa"/>
            <w:vAlign w:val="center"/>
          </w:tcPr>
          <w:p w:rsidR="006C212F" w:rsidRPr="00012535" w:rsidRDefault="006C212F" w:rsidP="00885A1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午餐</w:t>
            </w:r>
          </w:p>
        </w:tc>
      </w:tr>
      <w:tr w:rsidR="006C212F" w:rsidRPr="00012535" w:rsidTr="00885A10">
        <w:trPr>
          <w:trHeight w:val="515"/>
          <w:jc w:val="center"/>
        </w:trPr>
        <w:tc>
          <w:tcPr>
            <w:tcW w:w="2691" w:type="dxa"/>
            <w:vAlign w:val="center"/>
          </w:tcPr>
          <w:p w:rsidR="006C212F" w:rsidRPr="00012535" w:rsidRDefault="006C212F" w:rsidP="00885A1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13:30-15:15</w:t>
            </w:r>
          </w:p>
        </w:tc>
        <w:tc>
          <w:tcPr>
            <w:tcW w:w="6176" w:type="dxa"/>
            <w:vAlign w:val="center"/>
          </w:tcPr>
          <w:p w:rsidR="006C212F" w:rsidRPr="00012535" w:rsidRDefault="006C212F" w:rsidP="00885A1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资产支持证券项目审查</w:t>
            </w:r>
            <w:proofErr w:type="gramStart"/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及尽调风控关注</w:t>
            </w:r>
            <w:proofErr w:type="gramEnd"/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要点</w:t>
            </w:r>
          </w:p>
        </w:tc>
      </w:tr>
      <w:tr w:rsidR="006C212F" w:rsidRPr="00012535" w:rsidTr="00885A10">
        <w:trPr>
          <w:trHeight w:val="450"/>
          <w:jc w:val="center"/>
        </w:trPr>
        <w:tc>
          <w:tcPr>
            <w:tcW w:w="2691" w:type="dxa"/>
            <w:vAlign w:val="center"/>
          </w:tcPr>
          <w:p w:rsidR="006C212F" w:rsidRPr="00012535" w:rsidRDefault="006C212F" w:rsidP="00885A1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15:15-16:00</w:t>
            </w:r>
          </w:p>
        </w:tc>
        <w:tc>
          <w:tcPr>
            <w:tcW w:w="6176" w:type="dxa"/>
            <w:vAlign w:val="center"/>
          </w:tcPr>
          <w:p w:rsidR="006C212F" w:rsidRPr="00012535" w:rsidRDefault="006C212F" w:rsidP="00885A1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资产支持证券挂牌转让操作关注要点</w:t>
            </w:r>
          </w:p>
        </w:tc>
      </w:tr>
      <w:tr w:rsidR="006C212F" w:rsidRPr="00012535" w:rsidTr="00885A10">
        <w:trPr>
          <w:trHeight w:val="483"/>
          <w:jc w:val="center"/>
        </w:trPr>
        <w:tc>
          <w:tcPr>
            <w:tcW w:w="2691" w:type="dxa"/>
            <w:vAlign w:val="center"/>
          </w:tcPr>
          <w:p w:rsidR="006C212F" w:rsidRPr="00012535" w:rsidRDefault="006C212F" w:rsidP="00885A1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6176" w:type="dxa"/>
            <w:vAlign w:val="center"/>
          </w:tcPr>
          <w:p w:rsidR="006C212F" w:rsidRPr="00012535" w:rsidRDefault="006C212F" w:rsidP="00885A1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上交所公告编制软件（</w:t>
            </w:r>
            <w:r w:rsidRPr="00012535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XBRL</w:t>
            </w:r>
            <w:r w:rsidRPr="00012535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）演示与讲解</w:t>
            </w:r>
          </w:p>
        </w:tc>
      </w:tr>
      <w:tr w:rsidR="006C212F" w:rsidRPr="00012535" w:rsidTr="00885A10">
        <w:trPr>
          <w:trHeight w:val="515"/>
          <w:jc w:val="center"/>
        </w:trPr>
        <w:tc>
          <w:tcPr>
            <w:tcW w:w="8867" w:type="dxa"/>
            <w:gridSpan w:val="2"/>
            <w:vAlign w:val="center"/>
          </w:tcPr>
          <w:p w:rsidR="006C212F" w:rsidRPr="00012535" w:rsidRDefault="006C212F" w:rsidP="00885A1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3</w:t>
            </w:r>
            <w:r w:rsidRPr="00012535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月</w:t>
            </w:r>
            <w:r w:rsidRPr="00012535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22</w:t>
            </w:r>
            <w:r w:rsidRPr="00012535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日</w:t>
            </w:r>
          </w:p>
        </w:tc>
      </w:tr>
      <w:tr w:rsidR="006C212F" w:rsidRPr="00012535" w:rsidTr="00885A10">
        <w:trPr>
          <w:trHeight w:val="515"/>
          <w:jc w:val="center"/>
        </w:trPr>
        <w:tc>
          <w:tcPr>
            <w:tcW w:w="2691" w:type="dxa"/>
            <w:vAlign w:val="center"/>
          </w:tcPr>
          <w:p w:rsidR="006C212F" w:rsidRPr="00012535" w:rsidRDefault="006C212F" w:rsidP="00885A1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6176" w:type="dxa"/>
            <w:vAlign w:val="center"/>
          </w:tcPr>
          <w:p w:rsidR="006C212F" w:rsidRPr="00012535" w:rsidRDefault="006C212F" w:rsidP="00885A1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资产支持证券存续期信用风险管理指引解读</w:t>
            </w:r>
          </w:p>
        </w:tc>
      </w:tr>
      <w:tr w:rsidR="006C212F" w:rsidRPr="00012535" w:rsidTr="00885A10">
        <w:trPr>
          <w:trHeight w:val="515"/>
          <w:jc w:val="center"/>
        </w:trPr>
        <w:tc>
          <w:tcPr>
            <w:tcW w:w="2691" w:type="dxa"/>
            <w:vAlign w:val="center"/>
          </w:tcPr>
          <w:p w:rsidR="006C212F" w:rsidRPr="00012535" w:rsidRDefault="006C212F" w:rsidP="00885A1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6176" w:type="dxa"/>
            <w:vAlign w:val="center"/>
          </w:tcPr>
          <w:p w:rsidR="006C212F" w:rsidRPr="00012535" w:rsidRDefault="006C212F" w:rsidP="00885A1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资产支持证券存续期定期报告指引解读及</w:t>
            </w:r>
            <w:proofErr w:type="gramStart"/>
            <w:r w:rsidRPr="00012535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日常信披要求</w:t>
            </w:r>
            <w:proofErr w:type="gramEnd"/>
          </w:p>
        </w:tc>
      </w:tr>
      <w:tr w:rsidR="006C212F" w:rsidRPr="00012535" w:rsidTr="00885A10">
        <w:trPr>
          <w:trHeight w:val="515"/>
          <w:jc w:val="center"/>
        </w:trPr>
        <w:tc>
          <w:tcPr>
            <w:tcW w:w="2691" w:type="dxa"/>
            <w:vAlign w:val="center"/>
          </w:tcPr>
          <w:p w:rsidR="006C212F" w:rsidRPr="00012535" w:rsidRDefault="006C212F" w:rsidP="00885A1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6176" w:type="dxa"/>
            <w:vAlign w:val="center"/>
          </w:tcPr>
          <w:p w:rsidR="006C212F" w:rsidRPr="00012535" w:rsidRDefault="006C212F" w:rsidP="00885A1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资产证券化业务合</w:t>
            </w:r>
            <w:proofErr w:type="gramStart"/>
            <w:r w:rsidRPr="00012535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规</w:t>
            </w:r>
            <w:proofErr w:type="gramEnd"/>
            <w:r w:rsidRPr="00012535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、内控及存续期管理经验分享</w:t>
            </w:r>
          </w:p>
        </w:tc>
      </w:tr>
      <w:tr w:rsidR="006C212F" w:rsidRPr="00012535" w:rsidTr="00885A10">
        <w:trPr>
          <w:trHeight w:val="515"/>
          <w:jc w:val="center"/>
        </w:trPr>
        <w:tc>
          <w:tcPr>
            <w:tcW w:w="2691" w:type="dxa"/>
            <w:vAlign w:val="center"/>
          </w:tcPr>
          <w:p w:rsidR="006C212F" w:rsidRPr="00012535" w:rsidRDefault="006C212F" w:rsidP="00885A1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6176" w:type="dxa"/>
            <w:vAlign w:val="center"/>
          </w:tcPr>
          <w:p w:rsidR="006C212F" w:rsidRPr="00012535" w:rsidRDefault="006C212F" w:rsidP="00885A1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午餐</w:t>
            </w:r>
          </w:p>
        </w:tc>
      </w:tr>
      <w:tr w:rsidR="006C212F" w:rsidRPr="00012535" w:rsidTr="00885A10">
        <w:trPr>
          <w:trHeight w:val="515"/>
          <w:jc w:val="center"/>
        </w:trPr>
        <w:tc>
          <w:tcPr>
            <w:tcW w:w="2691" w:type="dxa"/>
            <w:vAlign w:val="center"/>
          </w:tcPr>
          <w:p w:rsidR="006C212F" w:rsidRPr="00012535" w:rsidRDefault="006C212F" w:rsidP="00885A1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6176" w:type="dxa"/>
            <w:vAlign w:val="center"/>
          </w:tcPr>
          <w:p w:rsidR="006C212F" w:rsidRPr="00012535" w:rsidRDefault="006C212F" w:rsidP="00885A1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资产证券化法律实务操作相关研究及案例分析</w:t>
            </w:r>
          </w:p>
        </w:tc>
      </w:tr>
      <w:tr w:rsidR="006C212F" w:rsidRPr="00012535" w:rsidTr="00885A10">
        <w:trPr>
          <w:trHeight w:val="515"/>
          <w:jc w:val="center"/>
        </w:trPr>
        <w:tc>
          <w:tcPr>
            <w:tcW w:w="2691" w:type="dxa"/>
            <w:vAlign w:val="center"/>
          </w:tcPr>
          <w:p w:rsidR="006C212F" w:rsidRPr="00012535" w:rsidRDefault="006C212F" w:rsidP="00885A1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6176" w:type="dxa"/>
            <w:vAlign w:val="center"/>
          </w:tcPr>
          <w:p w:rsidR="006C212F" w:rsidRPr="00012535" w:rsidRDefault="006C212F" w:rsidP="00885A1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资产证券化业务的会计处理及税务实务</w:t>
            </w:r>
          </w:p>
        </w:tc>
      </w:tr>
      <w:tr w:rsidR="006C212F" w:rsidRPr="00012535" w:rsidTr="00885A10">
        <w:trPr>
          <w:trHeight w:val="515"/>
          <w:jc w:val="center"/>
        </w:trPr>
        <w:tc>
          <w:tcPr>
            <w:tcW w:w="2691" w:type="dxa"/>
            <w:vAlign w:val="center"/>
          </w:tcPr>
          <w:p w:rsidR="006C212F" w:rsidRPr="00012535" w:rsidRDefault="006C212F" w:rsidP="00885A1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16:00-1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6" w:type="dxa"/>
            <w:vAlign w:val="center"/>
          </w:tcPr>
          <w:p w:rsidR="006C212F" w:rsidRPr="00012535" w:rsidRDefault="006C212F" w:rsidP="00885A1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资产证券化业务评级方法及关注要点</w:t>
            </w:r>
          </w:p>
        </w:tc>
      </w:tr>
      <w:tr w:rsidR="006C212F" w:rsidRPr="00012535" w:rsidTr="00885A10">
        <w:trPr>
          <w:trHeight w:val="519"/>
          <w:jc w:val="center"/>
        </w:trPr>
        <w:tc>
          <w:tcPr>
            <w:tcW w:w="2691" w:type="dxa"/>
            <w:vAlign w:val="center"/>
          </w:tcPr>
          <w:p w:rsidR="006C212F" w:rsidRPr="00012535" w:rsidRDefault="006C212F" w:rsidP="00885A1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:4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6" w:type="dxa"/>
            <w:vAlign w:val="center"/>
          </w:tcPr>
          <w:p w:rsidR="006C212F" w:rsidRPr="00012535" w:rsidRDefault="006C212F" w:rsidP="00885A1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考试</w:t>
            </w:r>
          </w:p>
        </w:tc>
      </w:tr>
    </w:tbl>
    <w:p w:rsidR="006C212F" w:rsidRPr="00012535" w:rsidRDefault="006C212F" w:rsidP="006C212F">
      <w:pPr>
        <w:spacing w:line="0" w:lineRule="atLeast"/>
        <w:rPr>
          <w:rFonts w:ascii="Times New Roman" w:eastAsia="黑体" w:hAnsi="Times New Roman" w:cs="Times New Roman"/>
          <w:sz w:val="16"/>
          <w:szCs w:val="21"/>
        </w:rPr>
      </w:pPr>
    </w:p>
    <w:p w:rsidR="006C212F" w:rsidRPr="00012535" w:rsidRDefault="006C212F" w:rsidP="006C212F">
      <w:pPr>
        <w:spacing w:line="0" w:lineRule="atLeast"/>
        <w:rPr>
          <w:rFonts w:ascii="Times New Roman" w:eastAsia="黑体" w:hAnsi="Times New Roman" w:cs="Times New Roman"/>
          <w:sz w:val="16"/>
          <w:szCs w:val="21"/>
        </w:rPr>
      </w:pPr>
      <w:r w:rsidRPr="00012535">
        <w:rPr>
          <w:rFonts w:ascii="Times New Roman" w:eastAsia="黑体" w:hAnsi="Times New Roman" w:cs="Times New Roman"/>
          <w:sz w:val="16"/>
          <w:szCs w:val="21"/>
        </w:rPr>
        <w:t>以培训时课程表为准。</w:t>
      </w:r>
    </w:p>
    <w:p w:rsidR="006C212F" w:rsidRPr="00012535" w:rsidRDefault="006C212F" w:rsidP="006C212F">
      <w:pPr>
        <w:rPr>
          <w:rFonts w:ascii="Times New Roman" w:hAnsi="Times New Roman" w:cs="Times New Roman"/>
        </w:rPr>
      </w:pPr>
    </w:p>
    <w:p w:rsidR="006C212F" w:rsidRPr="00012535" w:rsidRDefault="006C212F" w:rsidP="006C212F">
      <w:pPr>
        <w:rPr>
          <w:rFonts w:ascii="Times New Roman" w:hAnsi="Times New Roman" w:cs="Times New Roman"/>
        </w:rPr>
      </w:pPr>
    </w:p>
    <w:p w:rsidR="006C212F" w:rsidRPr="00012535" w:rsidRDefault="006C212F" w:rsidP="006C212F">
      <w:pPr>
        <w:rPr>
          <w:rFonts w:ascii="Times New Roman" w:hAnsi="Times New Roman" w:cs="Times New Roman"/>
        </w:rPr>
      </w:pPr>
    </w:p>
    <w:p w:rsidR="006C212F" w:rsidRPr="00012535" w:rsidRDefault="006C212F" w:rsidP="006C212F">
      <w:pPr>
        <w:widowControl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 w:rsidRPr="00012535">
        <w:rPr>
          <w:rFonts w:ascii="Times New Roman" w:eastAsia="黑体" w:hAnsi="Times New Roman" w:cs="Times New Roman"/>
          <w:bCs/>
          <w:kern w:val="44"/>
          <w:sz w:val="32"/>
          <w:szCs w:val="32"/>
        </w:rPr>
        <w:br w:type="page"/>
      </w:r>
    </w:p>
    <w:sectPr w:rsidR="006C212F" w:rsidRPr="00012535" w:rsidSect="00EC4B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212F"/>
    <w:rsid w:val="002A6C2A"/>
    <w:rsid w:val="006C212F"/>
    <w:rsid w:val="00EC4B02"/>
    <w:rsid w:val="00F9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C212F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C212F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2019-02-28T02:25:00Z</dcterms:created>
  <dcterms:modified xsi:type="dcterms:W3CDTF">2019-02-28T02:26:00Z</dcterms:modified>
</cp:coreProperties>
</file>