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4B" w:rsidRDefault="00F46C4B" w:rsidP="00F46C4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46C4B" w:rsidRDefault="00F46C4B" w:rsidP="00F46C4B">
      <w:pPr>
        <w:pStyle w:val="a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上交所</w:t>
      </w:r>
      <w:r w:rsidRPr="0049444F">
        <w:rPr>
          <w:rFonts w:ascii="Times New Roman" w:eastAsia="黑体" w:hAnsi="Times New Roman"/>
          <w:b w:val="0"/>
        </w:rPr>
        <w:t>2019</w:t>
      </w:r>
      <w:r w:rsidRPr="00B16A9C">
        <w:rPr>
          <w:rFonts w:ascii="黑体" w:eastAsia="黑体" w:hAnsi="黑体" w:hint="eastAsia"/>
          <w:b w:val="0"/>
        </w:rPr>
        <w:t>年第二期资产</w:t>
      </w:r>
      <w:r>
        <w:rPr>
          <w:rFonts w:ascii="黑体" w:eastAsia="黑体" w:hAnsi="黑体" w:hint="eastAsia"/>
          <w:b w:val="0"/>
        </w:rPr>
        <w:t>证券化原始权益人专题</w:t>
      </w:r>
      <w:r w:rsidRPr="001D65B9">
        <w:rPr>
          <w:rFonts w:ascii="黑体" w:eastAsia="黑体" w:hAnsi="黑体" w:hint="eastAsia"/>
          <w:b w:val="0"/>
        </w:rPr>
        <w:t>培训</w:t>
      </w:r>
    </w:p>
    <w:p w:rsidR="00F46C4B" w:rsidRPr="001D65B9" w:rsidRDefault="00F46C4B" w:rsidP="00F46C4B">
      <w:pPr>
        <w:pStyle w:val="a3"/>
        <w:rPr>
          <w:rFonts w:ascii="黑体" w:eastAsia="黑体" w:hAnsi="黑体"/>
          <w:b w:val="0"/>
        </w:rPr>
      </w:pPr>
      <w:r w:rsidRPr="001D65B9">
        <w:rPr>
          <w:rFonts w:ascii="黑体" w:eastAsia="黑体" w:hAnsi="黑体" w:hint="eastAsia"/>
          <w:b w:val="0"/>
        </w:rPr>
        <w:t>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235F77" w:rsidRDefault="00F46C4B" w:rsidP="00351182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F46C4B" w:rsidRPr="00235F77" w:rsidRDefault="00F46C4B" w:rsidP="00351182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235F77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（远洋宾馆五楼远洋会议厅）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235F77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债券市场宏观形势分析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支持证券市场概况、创新案例及发展趋势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B42D1F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资产支持证券监管政策解读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午休（统一安排午餐）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支持证券监管规则及指南要求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课间休息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15-17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资产支持证券存续期管理经验及案例分享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F46C4B" w:rsidRPr="0049444F" w:rsidRDefault="00F46C4B" w:rsidP="0035118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</w:t>
            </w:r>
            <w:r w:rsidRPr="0049444F">
              <w:rPr>
                <w:rFonts w:ascii="Times New Roman" w:eastAsia="仿宋_GB2312" w:hAnsi="Times New Roman"/>
                <w:b/>
                <w:sz w:val="24"/>
                <w:szCs w:val="24"/>
              </w:rPr>
              <w:t>0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支持证券登记、兑付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息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业务介绍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235F77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资产支持证券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项目审查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及尽调风控关注</w:t>
            </w:r>
            <w:proofErr w:type="gramEnd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要点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Pr="00B42D1F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资产支持证券挂牌转让操作关注要点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午休（统一安排午餐）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资产证券化法律实务操作相关研究及案例分析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课间休息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15-16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235F77" w:rsidRDefault="00F46C4B" w:rsidP="00351182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847B4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资产证券化业务的会计处理及税务实务</w:t>
            </w:r>
          </w:p>
        </w:tc>
      </w:tr>
      <w:tr w:rsidR="00F46C4B" w:rsidRPr="00BF0B56" w:rsidTr="00351182">
        <w:trPr>
          <w:trHeight w:val="515"/>
          <w:jc w:val="center"/>
        </w:trPr>
        <w:tc>
          <w:tcPr>
            <w:tcW w:w="2691" w:type="dxa"/>
            <w:vAlign w:val="center"/>
          </w:tcPr>
          <w:p w:rsidR="00F46C4B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F46C4B" w:rsidRPr="00B42D1F" w:rsidRDefault="00F46C4B" w:rsidP="003511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资产证券化业务评级方法及关注要点</w:t>
            </w:r>
          </w:p>
        </w:tc>
      </w:tr>
    </w:tbl>
    <w:p w:rsidR="00F46C4B" w:rsidRDefault="00F46C4B" w:rsidP="00F46C4B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F46C4B" w:rsidRDefault="00F46C4B" w:rsidP="00F46C4B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F46C4B" w:rsidRDefault="00F46C4B" w:rsidP="00F46C4B"/>
    <w:p w:rsidR="00F46C4B" w:rsidRDefault="00F46C4B" w:rsidP="00F46C4B"/>
    <w:p w:rsidR="00801A8D" w:rsidRDefault="00801A8D"/>
    <w:sectPr w:rsidR="00801A8D" w:rsidSect="00801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C4B"/>
    <w:rsid w:val="00801A8D"/>
    <w:rsid w:val="00F4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46C4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46C4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2019-02-27T06:47:00Z</dcterms:created>
  <dcterms:modified xsi:type="dcterms:W3CDTF">2019-02-27T06:48:00Z</dcterms:modified>
</cp:coreProperties>
</file>