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0B" w:rsidRDefault="00225F0B" w:rsidP="00225F0B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225F0B" w:rsidRDefault="00225F0B" w:rsidP="00225F0B">
      <w:pPr>
        <w:widowControl/>
        <w:snapToGrid w:val="0"/>
        <w:spacing w:line="50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225F0B" w:rsidRDefault="00225F0B" w:rsidP="00225F0B">
      <w:pPr>
        <w:widowControl/>
        <w:snapToGrid w:val="0"/>
        <w:spacing w:line="50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创新创业公司债券（含非公开发行可转换债券）</w:t>
      </w:r>
    </w:p>
    <w:p w:rsidR="00225F0B" w:rsidRDefault="00225F0B" w:rsidP="00225F0B">
      <w:pPr>
        <w:widowControl/>
        <w:snapToGrid w:val="0"/>
        <w:spacing w:line="50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培训课程表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2"/>
        <w:gridCol w:w="1701"/>
        <w:gridCol w:w="1370"/>
        <w:gridCol w:w="5670"/>
      </w:tblGrid>
      <w:tr w:rsidR="00225F0B" w:rsidTr="00C94638">
        <w:trPr>
          <w:trHeight w:val="528"/>
          <w:jc w:val="center"/>
        </w:trPr>
        <w:tc>
          <w:tcPr>
            <w:tcW w:w="1422" w:type="dxa"/>
            <w:shd w:val="clear" w:color="auto" w:fill="BFBFBF"/>
            <w:vAlign w:val="center"/>
          </w:tcPr>
          <w:p w:rsidR="00225F0B" w:rsidRDefault="00225F0B" w:rsidP="00C9463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日期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225F0B" w:rsidRDefault="00225F0B" w:rsidP="00C9463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1370" w:type="dxa"/>
            <w:shd w:val="clear" w:color="auto" w:fill="BFBFBF"/>
          </w:tcPr>
          <w:p w:rsidR="00225F0B" w:rsidRDefault="00225F0B" w:rsidP="00C9463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5670" w:type="dxa"/>
            <w:shd w:val="clear" w:color="auto" w:fill="BFBFBF"/>
          </w:tcPr>
          <w:p w:rsidR="00225F0B" w:rsidRDefault="00225F0B" w:rsidP="00C9463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培训内容</w:t>
            </w:r>
          </w:p>
        </w:tc>
      </w:tr>
      <w:tr w:rsidR="00225F0B" w:rsidTr="00C94638">
        <w:trPr>
          <w:trHeight w:val="372"/>
          <w:jc w:val="center"/>
        </w:trPr>
        <w:tc>
          <w:tcPr>
            <w:tcW w:w="1422" w:type="dxa"/>
            <w:vMerge w:val="restart"/>
          </w:tcPr>
          <w:p w:rsidR="00225F0B" w:rsidRDefault="00225F0B" w:rsidP="00C94638">
            <w:pPr>
              <w:spacing w:line="276" w:lineRule="auto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225F0B" w:rsidRDefault="00225F0B" w:rsidP="00C94638">
            <w:pPr>
              <w:spacing w:line="276" w:lineRule="auto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225F0B" w:rsidRDefault="00225F0B" w:rsidP="00C94638">
            <w:pPr>
              <w:spacing w:line="276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225F0B" w:rsidRDefault="00225F0B" w:rsidP="00C94638">
            <w:pPr>
              <w:spacing w:line="276" w:lineRule="auto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11月2日</w:t>
            </w:r>
          </w:p>
          <w:p w:rsidR="00225F0B" w:rsidRDefault="00225F0B" w:rsidP="00C9463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225F0B" w:rsidRDefault="00225F0B" w:rsidP="00C9463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8:30-9:00</w:t>
            </w:r>
          </w:p>
        </w:tc>
        <w:tc>
          <w:tcPr>
            <w:tcW w:w="1370" w:type="dxa"/>
          </w:tcPr>
          <w:p w:rsidR="00225F0B" w:rsidRDefault="00225F0B" w:rsidP="00C9463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225F0B" w:rsidRDefault="00225F0B" w:rsidP="00C9463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   到</w:t>
            </w:r>
          </w:p>
        </w:tc>
      </w:tr>
      <w:tr w:rsidR="00225F0B" w:rsidTr="00C94638">
        <w:trPr>
          <w:trHeight w:val="149"/>
          <w:jc w:val="center"/>
        </w:trPr>
        <w:tc>
          <w:tcPr>
            <w:tcW w:w="1422" w:type="dxa"/>
            <w:vMerge/>
          </w:tcPr>
          <w:p w:rsidR="00225F0B" w:rsidRDefault="00225F0B" w:rsidP="00C9463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25F0B" w:rsidRDefault="00225F0B" w:rsidP="00C9463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9:00-9:30</w:t>
            </w:r>
          </w:p>
        </w:tc>
        <w:tc>
          <w:tcPr>
            <w:tcW w:w="1370" w:type="dxa"/>
            <w:vAlign w:val="center"/>
          </w:tcPr>
          <w:p w:rsidR="00225F0B" w:rsidRDefault="00225F0B" w:rsidP="00C9463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第一节</w:t>
            </w:r>
          </w:p>
        </w:tc>
        <w:tc>
          <w:tcPr>
            <w:tcW w:w="5670" w:type="dxa"/>
            <w:vAlign w:val="center"/>
          </w:tcPr>
          <w:p w:rsidR="00225F0B" w:rsidRDefault="00225F0B" w:rsidP="00C9463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证监会债券部介绍</w:t>
            </w:r>
            <w:bookmarkStart w:id="0" w:name="OLE_LINK7"/>
            <w:bookmarkStart w:id="1" w:name="OLE_LINK8"/>
            <w:r>
              <w:rPr>
                <w:rFonts w:ascii="仿宋_GB2312" w:eastAsia="仿宋_GB2312" w:hint="eastAsia"/>
                <w:sz w:val="24"/>
              </w:rPr>
              <w:t>《指导意见》内容及非公开发行可转换公司债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券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出台背景</w:t>
            </w:r>
            <w:bookmarkEnd w:id="0"/>
            <w:bookmarkEnd w:id="1"/>
          </w:p>
        </w:tc>
      </w:tr>
      <w:tr w:rsidR="00225F0B" w:rsidTr="00C94638">
        <w:trPr>
          <w:trHeight w:val="327"/>
          <w:jc w:val="center"/>
        </w:trPr>
        <w:tc>
          <w:tcPr>
            <w:tcW w:w="1422" w:type="dxa"/>
            <w:vMerge/>
          </w:tcPr>
          <w:p w:rsidR="00225F0B" w:rsidRDefault="00225F0B" w:rsidP="00C9463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25F0B" w:rsidRDefault="00225F0B" w:rsidP="00C9463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9:30-10:10</w:t>
            </w:r>
          </w:p>
        </w:tc>
        <w:tc>
          <w:tcPr>
            <w:tcW w:w="1370" w:type="dxa"/>
            <w:vAlign w:val="center"/>
          </w:tcPr>
          <w:p w:rsidR="00225F0B" w:rsidRDefault="00225F0B" w:rsidP="00C9463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第二节</w:t>
            </w:r>
          </w:p>
        </w:tc>
        <w:tc>
          <w:tcPr>
            <w:tcW w:w="5670" w:type="dxa"/>
            <w:vAlign w:val="center"/>
          </w:tcPr>
          <w:p w:rsidR="00225F0B" w:rsidRDefault="00225F0B" w:rsidP="00C9463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上交所介绍创新创业公司债券（含非公开发行可转换公司债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券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）申报条件、流程及后续要求等</w:t>
            </w:r>
          </w:p>
        </w:tc>
      </w:tr>
      <w:tr w:rsidR="00225F0B" w:rsidTr="00C94638">
        <w:trPr>
          <w:trHeight w:val="339"/>
          <w:jc w:val="center"/>
        </w:trPr>
        <w:tc>
          <w:tcPr>
            <w:tcW w:w="1422" w:type="dxa"/>
            <w:vMerge/>
          </w:tcPr>
          <w:p w:rsidR="00225F0B" w:rsidRDefault="00225F0B" w:rsidP="00C9463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25F0B" w:rsidRDefault="00225F0B" w:rsidP="00C9463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10:10-10:40</w:t>
            </w:r>
          </w:p>
        </w:tc>
        <w:tc>
          <w:tcPr>
            <w:tcW w:w="1370" w:type="dxa"/>
            <w:vAlign w:val="center"/>
          </w:tcPr>
          <w:p w:rsidR="00225F0B" w:rsidRDefault="00225F0B" w:rsidP="00C9463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第三节</w:t>
            </w:r>
          </w:p>
        </w:tc>
        <w:tc>
          <w:tcPr>
            <w:tcW w:w="5670" w:type="dxa"/>
            <w:vAlign w:val="center"/>
          </w:tcPr>
          <w:p w:rsidR="00225F0B" w:rsidRPr="00D70FA8" w:rsidRDefault="00225F0B" w:rsidP="00C9463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股转公司介绍新三板创新层公司非公开发行可转换公司债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券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的信息披露要求及转股注意事项</w:t>
            </w:r>
          </w:p>
        </w:tc>
      </w:tr>
      <w:tr w:rsidR="00225F0B" w:rsidTr="00C94638">
        <w:trPr>
          <w:trHeight w:val="277"/>
          <w:jc w:val="center"/>
        </w:trPr>
        <w:tc>
          <w:tcPr>
            <w:tcW w:w="1422" w:type="dxa"/>
            <w:vMerge/>
          </w:tcPr>
          <w:p w:rsidR="00225F0B" w:rsidRDefault="00225F0B" w:rsidP="00C9463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25F0B" w:rsidRDefault="00225F0B" w:rsidP="00C9463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10:40-11:10</w:t>
            </w:r>
          </w:p>
        </w:tc>
        <w:tc>
          <w:tcPr>
            <w:tcW w:w="1370" w:type="dxa"/>
            <w:vAlign w:val="center"/>
          </w:tcPr>
          <w:p w:rsidR="00225F0B" w:rsidRDefault="00225F0B" w:rsidP="00C9463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第四节</w:t>
            </w:r>
          </w:p>
        </w:tc>
        <w:tc>
          <w:tcPr>
            <w:tcW w:w="5670" w:type="dxa"/>
          </w:tcPr>
          <w:p w:rsidR="00225F0B" w:rsidRPr="005C6F35" w:rsidRDefault="00225F0B" w:rsidP="00C9463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中国结算介绍非公开发行可转换公司债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券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登记、兑付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息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操作及转股业务</w:t>
            </w:r>
          </w:p>
        </w:tc>
      </w:tr>
      <w:tr w:rsidR="00225F0B" w:rsidTr="00C94638">
        <w:trPr>
          <w:trHeight w:val="149"/>
          <w:jc w:val="center"/>
        </w:trPr>
        <w:tc>
          <w:tcPr>
            <w:tcW w:w="1422" w:type="dxa"/>
            <w:vMerge/>
          </w:tcPr>
          <w:p w:rsidR="00225F0B" w:rsidRDefault="00225F0B" w:rsidP="00C9463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225F0B" w:rsidRDefault="00225F0B" w:rsidP="00C94638">
            <w:pPr>
              <w:spacing w:line="276" w:lineRule="auto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ascii="仿宋_GB2312" w:eastAsia="仿宋_GB2312" w:hint="eastAsia"/>
                <w:sz w:val="24"/>
              </w:rPr>
              <w:t>11:10-11:40</w:t>
            </w:r>
          </w:p>
        </w:tc>
        <w:tc>
          <w:tcPr>
            <w:tcW w:w="1370" w:type="dxa"/>
            <w:tcBorders>
              <w:bottom w:val="single" w:sz="2" w:space="0" w:color="auto"/>
            </w:tcBorders>
            <w:vAlign w:val="center"/>
          </w:tcPr>
          <w:p w:rsidR="00225F0B" w:rsidRDefault="00225F0B" w:rsidP="00C9463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第五节</w:t>
            </w:r>
          </w:p>
        </w:tc>
        <w:tc>
          <w:tcPr>
            <w:tcW w:w="5670" w:type="dxa"/>
            <w:tcBorders>
              <w:bottom w:val="single" w:sz="2" w:space="0" w:color="auto"/>
            </w:tcBorders>
          </w:tcPr>
          <w:p w:rsidR="00225F0B" w:rsidRDefault="00225F0B" w:rsidP="00C9463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ascii="仿宋_GB2312" w:eastAsia="仿宋_GB2312" w:hint="eastAsia"/>
                <w:sz w:val="24"/>
              </w:rPr>
              <w:t>券商代表介绍承做创新创业公司债券（含非公开发行可转换公司债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券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）项目准备及注意事项等</w:t>
            </w:r>
          </w:p>
        </w:tc>
      </w:tr>
    </w:tbl>
    <w:p w:rsidR="00225F0B" w:rsidRDefault="00225F0B" w:rsidP="00225F0B">
      <w:pPr>
        <w:spacing w:line="0" w:lineRule="atLeast"/>
        <w:rPr>
          <w:rFonts w:ascii="黑体" w:eastAsia="黑体" w:hAnsi="黑体"/>
          <w:sz w:val="16"/>
          <w:szCs w:val="21"/>
        </w:rPr>
      </w:pPr>
      <w:r>
        <w:rPr>
          <w:rFonts w:ascii="黑体" w:eastAsia="黑体" w:hAnsi="黑体" w:hint="eastAsia"/>
          <w:sz w:val="16"/>
          <w:szCs w:val="21"/>
        </w:rPr>
        <w:t>以培训时课程表为准。</w:t>
      </w:r>
    </w:p>
    <w:p w:rsidR="00225F0B" w:rsidRDefault="00225F0B" w:rsidP="00225F0B"/>
    <w:p w:rsidR="00225F0B" w:rsidRDefault="00225F0B" w:rsidP="00225F0B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25F0B" w:rsidRDefault="00225F0B" w:rsidP="00225F0B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25F0B" w:rsidRDefault="00225F0B" w:rsidP="00225F0B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25F0B" w:rsidRDefault="00225F0B" w:rsidP="00225F0B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25F0B" w:rsidRDefault="00225F0B" w:rsidP="00225F0B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25F0B" w:rsidRDefault="00225F0B" w:rsidP="00225F0B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25F0B" w:rsidRDefault="00225F0B" w:rsidP="00225F0B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25F0B" w:rsidRDefault="00225F0B" w:rsidP="00225F0B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25F0B" w:rsidRDefault="00225F0B" w:rsidP="00225F0B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25F0B" w:rsidRDefault="00225F0B" w:rsidP="00225F0B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25F0B" w:rsidRDefault="00225F0B" w:rsidP="00225F0B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25F0B" w:rsidRDefault="00225F0B" w:rsidP="00225F0B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25F0B" w:rsidRDefault="00225F0B" w:rsidP="00225F0B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sectPr w:rsidR="00225F0B" w:rsidSect="00043A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25F0B"/>
    <w:rsid w:val="00043A7C"/>
    <w:rsid w:val="0022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2017-10-26T00:02:00Z</dcterms:created>
  <dcterms:modified xsi:type="dcterms:W3CDTF">2017-10-26T00:02:00Z</dcterms:modified>
</cp:coreProperties>
</file>