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四十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基金理财规划师</w:t>
      </w:r>
      <w:r>
        <w:rPr>
          <w:rFonts w:hint="eastAsia" w:ascii="黑体" w:hAnsi="黑体" w:eastAsia="黑体"/>
          <w:sz w:val="32"/>
          <w:szCs w:val="32"/>
        </w:rPr>
        <w:t>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-153" w:rightChars="-73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spacing w:line="0" w:lineRule="atLeast"/>
        <w:rPr>
          <w:rFonts w:ascii="隶书" w:eastAsia="隶书"/>
          <w:b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val="en-US" w:eastAsia="zh-CN"/>
        </w:rPr>
        <w:t>广州阳光酒店七楼一号厅（</w:t>
      </w:r>
      <w:bookmarkStart w:id="0" w:name="OLE_LINK1"/>
      <w:r>
        <w:rPr>
          <w:rFonts w:hint="eastAsia" w:ascii="黑体" w:hAnsi="黑体" w:eastAsia="黑体"/>
          <w:szCs w:val="21"/>
          <w:lang w:val="en-US" w:eastAsia="zh-CN"/>
        </w:rPr>
        <w:t>广州黄埔大道中199号</w:t>
      </w:r>
      <w:bookmarkEnd w:id="0"/>
      <w:r>
        <w:rPr>
          <w:rFonts w:hint="eastAsia" w:ascii="黑体" w:hAnsi="黑体" w:eastAsia="黑体"/>
          <w:szCs w:val="21"/>
          <w:lang w:val="en-US" w:eastAsia="zh-CN"/>
        </w:rPr>
        <w:t>）</w:t>
      </w:r>
      <w:r>
        <w:rPr>
          <w:rFonts w:hint="eastAsia" w:ascii="黑体" w:hAnsi="黑体" w:eastAsia="黑体"/>
          <w:szCs w:val="21"/>
        </w:rPr>
        <w:t xml:space="preserve">        </w:t>
      </w:r>
    </w:p>
    <w:tbl>
      <w:tblPr>
        <w:tblStyle w:val="9"/>
        <w:tblW w:w="1281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6"/>
        <w:gridCol w:w="3555"/>
        <w:gridCol w:w="2595"/>
        <w:gridCol w:w="3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50" w:hRule="atLeast"/>
        </w:trPr>
        <w:tc>
          <w:tcPr>
            <w:tcW w:w="1276" w:type="dxa"/>
            <w:tcBorders>
              <w:top w:val="nil"/>
              <w:left w:val="single" w:color="264E84" w:sz="12" w:space="0"/>
              <w:bottom w:val="single" w:color="264E84" w:sz="8" w:space="0"/>
              <w:right w:val="nil"/>
            </w:tcBorders>
            <w:shd w:val="clear" w:color="000000" w:fill="264E84"/>
          </w:tcPr>
          <w:p>
            <w:pPr>
              <w:widowControl/>
              <w:spacing w:line="36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color="264E84" w:sz="12" w:space="0"/>
              <w:bottom w:val="single" w:color="264E84" w:sz="12" w:space="0"/>
              <w:right w:val="nil"/>
            </w:tcBorders>
            <w:shd w:val="clear" w:color="000000" w:fill="264E84"/>
            <w:vAlign w:val="center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264E84" w:sz="12" w:space="0"/>
              <w:right w:val="nil"/>
            </w:tcBorders>
            <w:shd w:val="clear" w:color="000000" w:fill="264E84"/>
            <w:vAlign w:val="center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264E84" w:sz="12" w:space="0"/>
              <w:right w:val="single" w:color="264E84" w:sz="12" w:space="0"/>
            </w:tcBorders>
            <w:shd w:val="clear" w:color="000000" w:fill="264E84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761" w:hRule="exact"/>
        </w:trPr>
        <w:tc>
          <w:tcPr>
            <w:tcW w:w="1276" w:type="dxa"/>
            <w:vMerge w:val="restart"/>
            <w:tcBorders>
              <w:top w:val="nil"/>
              <w:left w:val="single" w:color="264E84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9</w:t>
            </w:r>
            <w:bookmarkStart w:id="1" w:name="_GoBack"/>
            <w:bookmarkEnd w:id="1"/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266" w:type="dxa"/>
            <w:tcBorders>
              <w:top w:val="single" w:color="264E84" w:sz="12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-09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12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开班致辞</w:t>
            </w:r>
          </w:p>
          <w:p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1-</w:t>
            </w:r>
            <w:r>
              <w:rPr>
                <w:rFonts w:hAnsiTheme="minorEastAsia" w:eastAsiaTheme="minorEastAsia"/>
                <w:sz w:val="24"/>
              </w:rPr>
              <w:t>场内基金发展格局与展望</w:t>
            </w:r>
          </w:p>
        </w:tc>
        <w:tc>
          <w:tcPr>
            <w:tcW w:w="2595" w:type="dxa"/>
            <w:tcBorders>
              <w:top w:val="single" w:color="264E84" w:sz="12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-ETF</w:t>
            </w:r>
            <w:r>
              <w:rPr>
                <w:rFonts w:hAnsiTheme="minorEastAsia" w:eastAsiaTheme="minorEastAsia"/>
                <w:sz w:val="24"/>
              </w:rPr>
              <w:t>的设计机理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AnsiTheme="minorEastAsia" w:eastAsiaTheme="minorEastAsia"/>
                <w:sz w:val="24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1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3</w:t>
            </w:r>
            <w:r>
              <w:rPr>
                <w:rFonts w:eastAsiaTheme="minorEastAsia"/>
                <w:sz w:val="24"/>
              </w:rPr>
              <w:t>-ETF</w:t>
            </w:r>
            <w:r>
              <w:rPr>
                <w:rFonts w:hAnsiTheme="minorEastAsia" w:eastAsiaTheme="minorEastAsia"/>
                <w:sz w:val="24"/>
              </w:rPr>
              <w:t>投资基本策略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11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int="eastAsia" w:eastAsiaTheme="minorEastAsia"/>
                <w:sz w:val="24"/>
              </w:rPr>
              <w:t>13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55" w:leftChars="-74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AnsiTheme="minorEastAsia" w:eastAsiaTheme="minorEastAsia"/>
                <w:sz w:val="24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3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55" w:leftChars="-74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AnsiTheme="minorEastAsia" w:eastAsiaTheme="minorEastAsia"/>
                <w:sz w:val="24"/>
              </w:rPr>
              <w:t>黄金</w:t>
            </w:r>
            <w:r>
              <w:rPr>
                <w:rFonts w:eastAsiaTheme="minorEastAsia"/>
                <w:sz w:val="24"/>
              </w:rPr>
              <w:t>ETF</w:t>
            </w:r>
            <w:r>
              <w:rPr>
                <w:rFonts w:hAnsiTheme="minorEastAsia" w:eastAsiaTheme="minorEastAsia"/>
                <w:sz w:val="24"/>
              </w:rPr>
              <w:t>投资</w:t>
            </w:r>
            <w:r>
              <w:rPr>
                <w:rFonts w:hint="eastAsia" w:hAnsiTheme="minorEastAsia" w:eastAsiaTheme="minorEastAsia"/>
                <w:sz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int="eastAsia" w:eastAsiaTheme="minorEastAsia"/>
                <w:sz w:val="24"/>
              </w:rPr>
              <w:t>债券及</w:t>
            </w:r>
            <w:r>
              <w:rPr>
                <w:rFonts w:hAnsiTheme="minorEastAsia" w:eastAsiaTheme="minorEastAsia"/>
                <w:sz w:val="24"/>
              </w:rPr>
              <w:t>货币</w:t>
            </w:r>
            <w:r>
              <w:rPr>
                <w:rFonts w:eastAsiaTheme="minorEastAsia"/>
                <w:sz w:val="24"/>
              </w:rPr>
              <w:t>ETF</w:t>
            </w:r>
            <w:r>
              <w:rPr>
                <w:rFonts w:hAnsiTheme="minorEastAsia" w:eastAsiaTheme="minorEastAsia"/>
                <w:sz w:val="24"/>
              </w:rPr>
              <w:t>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           </w:t>
            </w:r>
            <w:r>
              <w:rPr>
                <w:rFonts w:hAnsiTheme="minorEastAsia" w:eastAsiaTheme="minorEastAsia"/>
                <w:sz w:val="24"/>
              </w:rPr>
              <w:t>休息</w:t>
            </w:r>
            <w:r>
              <w:rPr>
                <w:rFonts w:hint="eastAsia" w:hAnsiTheme="minorEastAsia" w:eastAsiaTheme="minorEastAsia"/>
                <w:sz w:val="24"/>
              </w:rPr>
              <w:t xml:space="preserve">                        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exact"/>
              <w:rPr>
                <w:rFonts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6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 xml:space="preserve">          </w:t>
            </w:r>
            <w:r>
              <w:rPr>
                <w:rFonts w:hAnsiTheme="minorEastAsia" w:eastAsiaTheme="minorEastAsia"/>
                <w:sz w:val="24"/>
              </w:rPr>
              <w:t>结业考试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    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54" w:hRule="atLeast"/>
        </w:trPr>
        <w:tc>
          <w:tcPr>
            <w:tcW w:w="1276" w:type="dxa"/>
            <w:vMerge w:val="restart"/>
            <w:tcBorders>
              <w:top w:val="single" w:color="264E84" w:sz="12" w:space="0"/>
              <w:left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9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在线课程</w:t>
            </w:r>
          </w:p>
        </w:tc>
        <w:tc>
          <w:tcPr>
            <w:tcW w:w="2266" w:type="dxa"/>
            <w:tcBorders>
              <w:top w:val="single" w:color="264E84" w:sz="12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12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>1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和指数化投资</w:t>
            </w:r>
          </w:p>
        </w:tc>
        <w:tc>
          <w:tcPr>
            <w:tcW w:w="2595" w:type="dxa"/>
            <w:tcBorders>
              <w:top w:val="single" w:color="264E84" w:sz="12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 xml:space="preserve">  2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与</w:t>
            </w:r>
            <w:r>
              <w:rPr>
                <w:rFonts w:hint="eastAsia" w:hAnsiTheme="minorEastAsia" w:eastAsiaTheme="minorEastAsia"/>
                <w:color w:val="FF0000"/>
                <w:sz w:val="24"/>
              </w:rPr>
              <w:t>期权配合投资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>3</w:t>
            </w:r>
            <w:r>
              <w:rPr>
                <w:rFonts w:eastAsiaTheme="minorEastAsia"/>
                <w:color w:val="FF0000"/>
                <w:sz w:val="24"/>
              </w:rPr>
              <w:t>*-</w:t>
            </w:r>
            <w:r>
              <w:rPr>
                <w:rFonts w:hint="eastAsia" w:eastAsiaTheme="minorEastAsia"/>
                <w:color w:val="FF0000"/>
                <w:sz w:val="24"/>
              </w:rPr>
              <w:t>跨境上市基金投资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bottom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 xml:space="preserve">  4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与一生投资计划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</w:tbl>
    <w:p/>
    <w:p>
      <w:pPr>
        <w:spacing w:line="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E55"/>
    <w:rsid w:val="00263B5B"/>
    <w:rsid w:val="00267EB5"/>
    <w:rsid w:val="00271CCC"/>
    <w:rsid w:val="00282364"/>
    <w:rsid w:val="00282658"/>
    <w:rsid w:val="00292B48"/>
    <w:rsid w:val="002A083D"/>
    <w:rsid w:val="002A4709"/>
    <w:rsid w:val="002B0E63"/>
    <w:rsid w:val="002B5A80"/>
    <w:rsid w:val="002C0F4E"/>
    <w:rsid w:val="002C2106"/>
    <w:rsid w:val="002C3FB3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5564C"/>
    <w:rsid w:val="00563A1F"/>
    <w:rsid w:val="00563D75"/>
    <w:rsid w:val="0056547F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D2089"/>
    <w:rsid w:val="006E00C2"/>
    <w:rsid w:val="006E457D"/>
    <w:rsid w:val="006E64E2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3BC03EC4"/>
    <w:rsid w:val="4FF2075A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6B7A1-C082-41C9-8366-8CAC0380B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82</Words>
  <Characters>474</Characters>
  <Lines>3</Lines>
  <Paragraphs>1</Paragraphs>
  <ScaleCrop>false</ScaleCrop>
  <LinksUpToDate>false</LinksUpToDate>
  <CharactersWithSpaces>555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2017-06-15T05:26:00Z</dcterms:created>
  <dc:creator>mfhuang</dc:creator>
  <cp:lastModifiedBy>sse</cp:lastModifiedBy>
  <cp:lastPrinted>2017-03-21T01:17:00Z</cp:lastPrinted>
  <dcterms:modified xsi:type="dcterms:W3CDTF">2017-08-28T02:01:01Z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