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4" w:rsidRDefault="00B85E74" w:rsidP="00B85E74">
      <w:pPr>
        <w:spacing w:line="600" w:lineRule="exact"/>
        <w:jc w:val="center"/>
        <w:rPr>
          <w:rFonts w:ascii="方正大标宋简体" w:eastAsia="方正大标宋简体" w:hAnsi="黑体"/>
          <w:color w:val="000000"/>
          <w:sz w:val="42"/>
          <w:szCs w:val="42"/>
        </w:rPr>
      </w:pPr>
      <w:r w:rsidRPr="00A36E21">
        <w:rPr>
          <w:rFonts w:ascii="方正大标宋简体" w:eastAsia="方正大标宋简体" w:hAnsi="黑体" w:hint="eastAsia"/>
          <w:color w:val="000000"/>
          <w:sz w:val="42"/>
          <w:szCs w:val="42"/>
        </w:rPr>
        <w:t>上海证券交易所上市公司高送转</w:t>
      </w:r>
    </w:p>
    <w:p w:rsidR="00B85E74" w:rsidRPr="00A36E21" w:rsidRDefault="00B85E74" w:rsidP="00B85E74">
      <w:pPr>
        <w:spacing w:line="600" w:lineRule="exact"/>
        <w:jc w:val="center"/>
        <w:rPr>
          <w:rFonts w:ascii="方正大标宋简体" w:eastAsia="方正大标宋简体" w:hAnsi="黑体"/>
          <w:color w:val="000000"/>
          <w:sz w:val="42"/>
          <w:szCs w:val="42"/>
        </w:rPr>
      </w:pPr>
      <w:r w:rsidRPr="00A36E21">
        <w:rPr>
          <w:rFonts w:ascii="方正大标宋简体" w:eastAsia="方正大标宋简体" w:hAnsi="黑体" w:hint="eastAsia"/>
          <w:color w:val="000000"/>
          <w:sz w:val="42"/>
          <w:szCs w:val="42"/>
        </w:rPr>
        <w:t>信息披露指引</w:t>
      </w:r>
    </w:p>
    <w:p w:rsidR="00B85E74" w:rsidRPr="00D0538E" w:rsidRDefault="00B85E74" w:rsidP="00B85E74">
      <w:pPr>
        <w:spacing w:line="600" w:lineRule="exact"/>
        <w:rPr>
          <w:rFonts w:eastAsia="方正小标宋简体"/>
          <w:b/>
          <w:color w:val="000000"/>
          <w:szCs w:val="21"/>
        </w:rPr>
      </w:pP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第一条  为规范上海证券交易所（以下简称本所）上市公司（以下简称上市公司或者公司）高比例送转股份（以下简称</w:t>
      </w:r>
      <w:r>
        <w:rPr>
          <w:rFonts w:ascii="仿宋_GB2312" w:eastAsia="仿宋_GB2312" w:hAnsi="宋体" w:hint="eastAsia"/>
          <w:kern w:val="0"/>
          <w:sz w:val="30"/>
          <w:szCs w:val="30"/>
        </w:rPr>
        <w:t>高送转）的信息披露行为，保护投资者的合法权益，根据法律法规和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《上海证券交易所股票上市规则》等相关规定，制定本指引。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第二条  上市公司披露高送转方案，适用本指引的规定。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本指引所称高送转，</w:t>
      </w:r>
      <w:r w:rsidRPr="00A36E21">
        <w:rPr>
          <w:rFonts w:ascii="仿宋_GB2312" w:eastAsia="仿宋_GB2312" w:hAnsi="宋体" w:hint="eastAsia"/>
          <w:sz w:val="30"/>
          <w:szCs w:val="30"/>
        </w:rPr>
        <w:t>是指公司送红股或以盈余公积金、资本公积金转增股份，合计比例达到每10股送转5股以上。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第三条  上市公司披露高送转方案，应当符合法律法规、《企业会计准则》及公司章程等有关规定，其股份送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转比例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应当与业绩增长相匹配，不得利用高送转方案配合股东减持或限售股解禁，不得利用高送转方案从事内幕交易、市场操纵等违法违规行为。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第四条  上市公司披露高送转方案的，其最近两年同期净利润应当持续增长，且每股送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转比例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不得高于上市公司最近两年同期净利润的复合增长率。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上市公司</w:t>
      </w:r>
      <w:r>
        <w:rPr>
          <w:rFonts w:ascii="仿宋_GB2312" w:eastAsia="仿宋_GB2312" w:hAnsi="宋体" w:hint="eastAsia"/>
          <w:kern w:val="0"/>
          <w:sz w:val="30"/>
          <w:szCs w:val="30"/>
        </w:rPr>
        <w:t>在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报告期内</w:t>
      </w: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实施再融资、并购重组导致净资产有较大变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化</w:t>
      </w:r>
      <w:r>
        <w:rPr>
          <w:rFonts w:ascii="仿宋_GB2312" w:eastAsia="仿宋_GB2312" w:hAnsi="宋体" w:hint="eastAsia"/>
          <w:kern w:val="0"/>
          <w:sz w:val="30"/>
          <w:szCs w:val="30"/>
        </w:rPr>
        <w:t>的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，每股送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转比例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可以不受前款规定的限制，但不得高于上市公司报告期末净资产较之于期初净资产的增长率。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上市公司最近两年净利润持续增长且最近3年</w:t>
      </w: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每股收益均不低于1元，上市公司认为确有必要提出高送转方案的，每股送</w:t>
      </w:r>
      <w:proofErr w:type="gramStart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转比例</w:t>
      </w:r>
      <w:proofErr w:type="gramEnd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可以不受前两款规定的限制，但应当充分披露高送转方案</w:t>
      </w: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的主要考虑及其合理性，向投资者揭示风险，且其送转后每股收益不得低于0.5元。</w:t>
      </w:r>
    </w:p>
    <w:p w:rsidR="00B85E74" w:rsidRPr="00A36E21" w:rsidRDefault="00B85E74" w:rsidP="00B85E74">
      <w:pPr>
        <w:spacing w:line="600" w:lineRule="exact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 xml:space="preserve">    第五条  上市公司送转</w:t>
      </w:r>
      <w:r>
        <w:rPr>
          <w:rFonts w:ascii="仿宋_GB2312" w:eastAsia="仿宋_GB2312" w:hAnsi="宋体" w:hint="eastAsia"/>
          <w:kern w:val="0"/>
          <w:sz w:val="30"/>
          <w:szCs w:val="30"/>
        </w:rPr>
        <w:t>股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方案提出的最近一个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报告期净利润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或预计净利润为负值、净利润同比下降50%以上、或者送转后每股收益低于0.2元的，不得披露高送转方案。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第六条  上市公司</w:t>
      </w: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提议股东、控股股东及其一致行动人、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董事、监事及高级管</w:t>
      </w: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理人员（以下简称相关股东）在前3个月存在减持情形或者后3个月存在减</w:t>
      </w:r>
      <w:proofErr w:type="gramStart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持计划</w:t>
      </w:r>
      <w:proofErr w:type="gramEnd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的，公司不得披露高送转方案。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上市公司披露高送转方案的，应当同时披露向相关股东问询其未来减</w:t>
      </w:r>
      <w:proofErr w:type="gramStart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持计划</w:t>
      </w:r>
      <w:proofErr w:type="gramEnd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的具体过程，包括但不限于未来3个月、未来6个月的减</w:t>
      </w:r>
      <w:proofErr w:type="gramStart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持计划</w:t>
      </w:r>
      <w:proofErr w:type="gramEnd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情况等，并披露相关股东的回复。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 xml:space="preserve">第七条  </w:t>
      </w:r>
      <w:r w:rsidRPr="00245896">
        <w:rPr>
          <w:rFonts w:ascii="仿宋_GB2312" w:eastAsia="仿宋_GB2312" w:hAnsi="宋体" w:hint="eastAsia"/>
          <w:color w:val="000000"/>
          <w:sz w:val="30"/>
          <w:szCs w:val="30"/>
        </w:rPr>
        <w:t>上市公司存在限售股（股权激励限售股除外）的，</w:t>
      </w: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在相关股东所持限售股解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除限售</w:t>
      </w: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前后3个月内，不得披露高送转方案。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第八条  上市公司披露高送转方案时，尚未披露本期业绩预告或业绩快报的，应当同时披露业绩预告或业绩快报。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第九条  上市公司提出高送转方案的，应当经董事会审议通过，独立董事应当就方案的合理性与可行性发表明确意见。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36E21">
        <w:rPr>
          <w:rFonts w:ascii="仿宋_GB2312" w:eastAsia="仿宋_GB2312" w:hAnsi="宋体" w:hint="eastAsia"/>
          <w:sz w:val="30"/>
          <w:szCs w:val="30"/>
        </w:rPr>
        <w:t>单独或合计持有公司3%以上股份的股东及其一致行动人向上市公司</w:t>
      </w:r>
      <w:proofErr w:type="gramStart"/>
      <w:r w:rsidRPr="00A36E21">
        <w:rPr>
          <w:rFonts w:ascii="仿宋_GB2312" w:eastAsia="仿宋_GB2312" w:hAnsi="宋体" w:hint="eastAsia"/>
          <w:sz w:val="30"/>
          <w:szCs w:val="30"/>
        </w:rPr>
        <w:t>提议高</w:t>
      </w:r>
      <w:proofErr w:type="gramEnd"/>
      <w:r w:rsidRPr="00A36E21">
        <w:rPr>
          <w:rFonts w:ascii="仿宋_GB2312" w:eastAsia="仿宋_GB2312" w:hAnsi="宋体" w:hint="eastAsia"/>
          <w:sz w:val="30"/>
          <w:szCs w:val="30"/>
        </w:rPr>
        <w:t>送转方案的，公司应当立即召开董事会审议决定是否同意股东提出的高送转方案，独立董事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应当就方案的合理性与可行性发表明确意见。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上市公司董事会</w:t>
      </w:r>
      <w:proofErr w:type="gramStart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审议高</w:t>
      </w:r>
      <w:proofErr w:type="gramEnd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送转方案时，应当结合公司实际经营业绩情况等因素，审慎</w:t>
      </w:r>
      <w:proofErr w:type="gramStart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评估高</w:t>
      </w:r>
      <w:proofErr w:type="gramEnd"/>
      <w:r w:rsidRPr="00A36E21">
        <w:rPr>
          <w:rFonts w:ascii="仿宋_GB2312" w:eastAsia="仿宋_GB2312" w:hAnsi="宋体" w:hint="eastAsia"/>
          <w:color w:val="000000"/>
          <w:sz w:val="30"/>
          <w:szCs w:val="30"/>
        </w:rPr>
        <w:t>送转方案的合理性与可行性，并对外披露。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第十条  上市公司披露高送转方案的，应当按照本所发布的上市公司董事会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审议高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送转公告格式指引的要求履行信息披露义务。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36E21">
        <w:rPr>
          <w:rFonts w:ascii="仿宋_GB2312" w:eastAsia="仿宋_GB2312" w:hAnsi="宋体" w:hint="eastAsia"/>
          <w:sz w:val="30"/>
          <w:szCs w:val="30"/>
        </w:rPr>
        <w:t>单独或合计持有公司3%以上的股东及其一致行动人直接向股东大会提出高送转议案的，应当适用本指引规定，并参照前款规定的公告格式指引对外披露。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36E21">
        <w:rPr>
          <w:rFonts w:ascii="仿宋_GB2312" w:eastAsia="仿宋_GB2312" w:hAnsi="宋体" w:hint="eastAsia"/>
          <w:sz w:val="30"/>
          <w:szCs w:val="30"/>
        </w:rPr>
        <w:t>公司披露的高送转方案公告中，应当详细说明高送转方案的主要内容、股东</w:t>
      </w:r>
      <w:proofErr w:type="gramStart"/>
      <w:r w:rsidRPr="00A36E21">
        <w:rPr>
          <w:rFonts w:ascii="仿宋_GB2312" w:eastAsia="仿宋_GB2312" w:hAnsi="宋体" w:hint="eastAsia"/>
          <w:sz w:val="30"/>
          <w:szCs w:val="30"/>
        </w:rPr>
        <w:t>提议高</w:t>
      </w:r>
      <w:proofErr w:type="gramEnd"/>
      <w:r w:rsidRPr="00A36E21">
        <w:rPr>
          <w:rFonts w:ascii="仿宋_GB2312" w:eastAsia="仿宋_GB2312" w:hAnsi="宋体" w:hint="eastAsia"/>
          <w:sz w:val="30"/>
          <w:szCs w:val="30"/>
        </w:rPr>
        <w:t>送转方案的情况及理由、董事会</w:t>
      </w:r>
      <w:proofErr w:type="gramStart"/>
      <w:r w:rsidRPr="00A36E21">
        <w:rPr>
          <w:rFonts w:ascii="仿宋_GB2312" w:eastAsia="仿宋_GB2312" w:hAnsi="宋体" w:hint="eastAsia"/>
          <w:sz w:val="30"/>
          <w:szCs w:val="30"/>
        </w:rPr>
        <w:t>审议高</w:t>
      </w:r>
      <w:proofErr w:type="gramEnd"/>
      <w:r w:rsidRPr="00A36E21">
        <w:rPr>
          <w:rFonts w:ascii="仿宋_GB2312" w:eastAsia="仿宋_GB2312" w:hAnsi="宋体" w:hint="eastAsia"/>
          <w:sz w:val="30"/>
          <w:szCs w:val="30"/>
        </w:rPr>
        <w:t>送转方案的情况、董事及提议股东等主体的增减</w:t>
      </w:r>
      <w:proofErr w:type="gramStart"/>
      <w:r w:rsidRPr="00A36E21">
        <w:rPr>
          <w:rFonts w:ascii="仿宋_GB2312" w:eastAsia="仿宋_GB2312" w:hAnsi="宋体" w:hint="eastAsia"/>
          <w:sz w:val="30"/>
          <w:szCs w:val="30"/>
        </w:rPr>
        <w:t>持情况</w:t>
      </w:r>
      <w:proofErr w:type="gramEnd"/>
      <w:r w:rsidRPr="00A36E21">
        <w:rPr>
          <w:rFonts w:ascii="仿宋_GB2312" w:eastAsia="仿宋_GB2312" w:hAnsi="宋体" w:hint="eastAsia"/>
          <w:sz w:val="30"/>
          <w:szCs w:val="30"/>
        </w:rPr>
        <w:t>等，并充分揭示风险。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第十一条  上市公司董事会或股东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筹划高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送转方案的，应当严格履行保密义务，及时登记并向本所报送内幕信息知情人。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第十二条  本所对上市公司披露高送转方案的公告进行事后审核，发现可能引起市场误解的，可以要求公司向投资者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作出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充分解释并对外披露。本所认为必要的，还可以要求公司召开媒体说明会。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上市公司披露高送转方案后，本所发现违规的，视情况采取监管措施或者予以纪律处分，并将内幕交易、操纵市场、违规</w:t>
      </w:r>
      <w:proofErr w:type="gramStart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减持等违法</w:t>
      </w:r>
      <w:proofErr w:type="gramEnd"/>
      <w:r w:rsidRPr="00A36E21">
        <w:rPr>
          <w:rFonts w:ascii="仿宋_GB2312" w:eastAsia="仿宋_GB2312" w:hAnsi="宋体" w:hint="eastAsia"/>
          <w:kern w:val="0"/>
          <w:sz w:val="30"/>
          <w:szCs w:val="30"/>
        </w:rPr>
        <w:t>违规线索及时上报中国证监会。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 xml:space="preserve">第十三条  </w:t>
      </w:r>
      <w:r w:rsidRPr="00A36E21">
        <w:rPr>
          <w:rFonts w:ascii="仿宋_GB2312" w:eastAsia="仿宋_GB2312" w:hAnsi="宋体" w:hint="eastAsia"/>
          <w:sz w:val="30"/>
          <w:szCs w:val="30"/>
        </w:rPr>
        <w:t>本指引有关用语含义如下：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36E21">
        <w:rPr>
          <w:rFonts w:ascii="仿宋_GB2312" w:eastAsia="仿宋_GB2312" w:hAnsi="宋体" w:hint="eastAsia"/>
          <w:sz w:val="30"/>
          <w:szCs w:val="30"/>
        </w:rPr>
        <w:lastRenderedPageBreak/>
        <w:t>（一）</w:t>
      </w:r>
      <w:r w:rsidRPr="00A36E21">
        <w:rPr>
          <w:rFonts w:ascii="仿宋_GB2312" w:eastAsia="仿宋_GB2312" w:hint="eastAsia"/>
          <w:sz w:val="30"/>
          <w:szCs w:val="30"/>
        </w:rPr>
        <w:t>净利润，是指</w:t>
      </w:r>
      <w:r w:rsidRPr="00A36E21">
        <w:rPr>
          <w:rFonts w:ascii="仿宋_GB2312" w:eastAsia="仿宋_GB2312" w:hAnsi="宋体" w:hint="eastAsia"/>
          <w:sz w:val="30"/>
          <w:szCs w:val="30"/>
        </w:rPr>
        <w:t>归属于公司普通股股东的净利润，不包括少数股东损益金额；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36E21">
        <w:rPr>
          <w:rFonts w:ascii="仿宋_GB2312" w:eastAsia="仿宋_GB2312" w:hAnsi="宋体" w:hint="eastAsia"/>
          <w:sz w:val="30"/>
          <w:szCs w:val="30"/>
        </w:rPr>
        <w:t>（二）净资产，是指归属于公司普通股股东的期末净资产，不包括少数股东权益金额；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（三）每股收益，是指根据中国证监会有关规定计算的基本每股收益；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sz w:val="30"/>
          <w:szCs w:val="30"/>
        </w:rPr>
        <w:t>（四）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最近两年同期净利润的复合增长率，是指（第N年净利润/第N-2年净利润绝对值）</w:t>
      </w:r>
      <w:r w:rsidRPr="00A36E21">
        <w:rPr>
          <w:rFonts w:ascii="仿宋_GB2312" w:eastAsia="仿宋_GB2312" w:hAnsi="宋体" w:hint="eastAsia"/>
          <w:kern w:val="0"/>
          <w:sz w:val="30"/>
          <w:szCs w:val="30"/>
          <w:vertAlign w:val="superscript"/>
        </w:rPr>
        <w:t xml:space="preserve">1/2 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-1</w:t>
      </w:r>
      <w:r w:rsidRPr="00A36E21">
        <w:rPr>
          <w:rFonts w:ascii="仿宋_GB2312" w:eastAsia="仿宋_GB2312" w:hAnsi="宋体" w:hint="eastAsia"/>
          <w:sz w:val="30"/>
          <w:szCs w:val="30"/>
        </w:rPr>
        <w:t>;若分子采用第N年中期净利润的，分母相应为第N-2年同期的净利润</w:t>
      </w: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B85E74" w:rsidRPr="00A36E21" w:rsidRDefault="00B85E74" w:rsidP="00B85E74">
      <w:pPr>
        <w:spacing w:line="60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A36E21">
        <w:rPr>
          <w:rFonts w:ascii="仿宋_GB2312" w:eastAsia="仿宋_GB2312" w:hAnsi="宋体" w:hint="eastAsia"/>
          <w:kern w:val="0"/>
          <w:sz w:val="30"/>
          <w:szCs w:val="30"/>
        </w:rPr>
        <w:t>第十四条  本指引自发布之日起施行，由本所负责解释。</w:t>
      </w:r>
    </w:p>
    <w:p w:rsidR="0018504F" w:rsidRPr="00B85E74" w:rsidRDefault="0018504F"/>
    <w:sectPr w:rsidR="0018504F" w:rsidRPr="00B85E74" w:rsidSect="00280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13" w:rsidRDefault="00203D13" w:rsidP="00B85E74">
      <w:r>
        <w:separator/>
      </w:r>
    </w:p>
  </w:endnote>
  <w:endnote w:type="continuationSeparator" w:id="0">
    <w:p w:rsidR="00203D13" w:rsidRDefault="00203D13" w:rsidP="00B8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13" w:rsidRDefault="00203D13" w:rsidP="00B85E74">
      <w:r>
        <w:separator/>
      </w:r>
    </w:p>
  </w:footnote>
  <w:footnote w:type="continuationSeparator" w:id="0">
    <w:p w:rsidR="00203D13" w:rsidRDefault="00203D13" w:rsidP="00B85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E74"/>
    <w:rsid w:val="0018504F"/>
    <w:rsid w:val="00203D13"/>
    <w:rsid w:val="0028072C"/>
    <w:rsid w:val="009E1CF3"/>
    <w:rsid w:val="00B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sse</cp:lastModifiedBy>
  <cp:revision>3</cp:revision>
  <dcterms:created xsi:type="dcterms:W3CDTF">2018-11-23T10:05:00Z</dcterms:created>
  <dcterms:modified xsi:type="dcterms:W3CDTF">2019-05-29T08:33:00Z</dcterms:modified>
</cp:coreProperties>
</file>