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E" w:rsidRDefault="00B229AE">
      <w:pPr>
        <w:pStyle w:val="10"/>
        <w:ind w:firstLine="508"/>
        <w:rPr>
          <w:rFonts w:ascii="宋体"/>
        </w:rPr>
      </w:pPr>
      <w:r w:rsidRPr="00B229AE">
        <w:pict>
          <v:shapetype id="_x0000_t202" coordsize="21600,21600" o:spt="202" path="m,l,21600r21600,l21600,xe">
            <v:stroke joinstyle="miter"/>
            <v:path gradientshapeok="t" o:connecttype="rect"/>
          </v:shapetype>
          <v:shape id="文本框 3" o:spid="_x0000_s1026" type="#_x0000_t202" style="position:absolute;left:0;text-align:left;margin-left:50.25pt;margin-top:12.15pt;width:334.95pt;height:35.8pt;z-index:251658240" o:gfxdata="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ePETL2AAAAAkBAAAPAAAAAAAAAAEAIAAAACIAAABkcnMvZG93bnJldi54bWxQSwEC&#10;FAAUAAAACACHTuJA64jK6LsBAABbAwAADgAAAAAAAAABACAAAAAnAQAAZHJzL2Uyb0RvYy54bWxQ&#10;SwUGAAAAAAYABgBZAQAAVAUAAAAA&#10;" stroked="f">
            <v:textbox inset="0,0,0,0">
              <w:txbxContent>
                <w:p w:rsidR="00B229AE" w:rsidRDefault="00DA3401">
                  <w:pPr>
                    <w:pStyle w:val="a3"/>
                    <w:spacing w:before="156" w:after="156" w:line="100" w:lineRule="atLeast"/>
                    <w:ind w:firstLine="508"/>
                    <w:jc w:val="center"/>
                    <w:rPr>
                      <w:i w:val="0"/>
                      <w:sz w:val="24"/>
                    </w:rPr>
                  </w:pPr>
                  <w:r>
                    <w:rPr>
                      <w:rFonts w:hint="eastAsia"/>
                      <w:i w:val="0"/>
                      <w:sz w:val="24"/>
                    </w:rPr>
                    <w:t>上海证券交易所技术文档</w:t>
                  </w:r>
                </w:p>
                <w:p w:rsidR="00B229AE" w:rsidRDefault="00B229AE">
                  <w:pPr>
                    <w:spacing w:before="48" w:after="48" w:line="100" w:lineRule="atLeast"/>
                    <w:ind w:firstLine="508"/>
                  </w:pPr>
                </w:p>
                <w:p w:rsidR="00B229AE" w:rsidRDefault="00B229AE">
                  <w:pPr>
                    <w:spacing w:before="48" w:after="48" w:line="100" w:lineRule="atLeast"/>
                    <w:ind w:firstLine="508"/>
                    <w:jc w:val="center"/>
                  </w:pPr>
                </w:p>
                <w:p w:rsidR="00B229AE" w:rsidRDefault="00B229AE">
                  <w:pPr>
                    <w:spacing w:before="48" w:after="48" w:line="100" w:lineRule="atLeast"/>
                    <w:ind w:firstLine="508"/>
                    <w:jc w:val="center"/>
                  </w:pPr>
                </w:p>
                <w:p w:rsidR="00B229AE" w:rsidRDefault="00B229AE">
                  <w:pPr>
                    <w:spacing w:before="48" w:after="48" w:line="100" w:lineRule="atLeast"/>
                    <w:ind w:firstLine="508"/>
                    <w:jc w:val="center"/>
                  </w:pPr>
                </w:p>
                <w:p w:rsidR="00B229AE" w:rsidRDefault="00B229AE">
                  <w:pPr>
                    <w:spacing w:before="48" w:after="48" w:line="100" w:lineRule="atLeast"/>
                    <w:ind w:firstLine="508"/>
                    <w:jc w:val="center"/>
                  </w:pPr>
                </w:p>
              </w:txbxContent>
            </v:textbox>
          </v:shape>
        </w:pict>
      </w:r>
    </w:p>
    <w:p w:rsidR="00B229AE" w:rsidRDefault="00B229AE">
      <w:pPr>
        <w:ind w:firstLine="508"/>
        <w:rPr>
          <w:rFonts w:ascii="宋体"/>
        </w:rPr>
      </w:pPr>
    </w:p>
    <w:p w:rsidR="00B229AE" w:rsidRDefault="00B229AE">
      <w:pPr>
        <w:ind w:firstLine="508"/>
        <w:rPr>
          <w:rFonts w:ascii="宋体"/>
        </w:rPr>
      </w:pPr>
    </w:p>
    <w:p w:rsidR="00B229AE" w:rsidRDefault="00DA3401">
      <w:pPr>
        <w:ind w:firstLine="508"/>
        <w:rPr>
          <w:rFonts w:ascii="宋体"/>
        </w:rPr>
      </w:pPr>
      <w:r>
        <w:rPr>
          <w:noProof/>
        </w:rPr>
        <w:drawing>
          <wp:anchor distT="0" distB="0" distL="114935" distR="114935" simplePos="0" relativeHeight="251657216" behindDoc="0" locked="0" layoutInCell="1" allowOverlap="1">
            <wp:simplePos x="0" y="0"/>
            <wp:positionH relativeFrom="column">
              <wp:posOffset>2383155</wp:posOffset>
            </wp:positionH>
            <wp:positionV relativeFrom="paragraph">
              <wp:posOffset>54610</wp:posOffset>
            </wp:positionV>
            <wp:extent cx="593725" cy="639445"/>
            <wp:effectExtent l="19050" t="0" r="0" b="0"/>
            <wp:wrapNone/>
            <wp:docPr id="4"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39"/>
                    <pic:cNvPicPr>
                      <a:picLocks noChangeAspect="1" noChangeArrowheads="1"/>
                    </pic:cNvPicPr>
                  </pic:nvPicPr>
                  <pic:blipFill>
                    <a:blip r:embed="rId8" cstate="print"/>
                    <a:srcRect/>
                    <a:stretch>
                      <a:fillRect/>
                    </a:stretch>
                  </pic:blipFill>
                  <pic:spPr>
                    <a:xfrm>
                      <a:off x="0" y="0"/>
                      <a:ext cx="593725" cy="639445"/>
                    </a:xfrm>
                    <a:prstGeom prst="rect">
                      <a:avLst/>
                    </a:prstGeom>
                    <a:solidFill>
                      <a:srgbClr val="FFFFFF"/>
                    </a:solidFill>
                    <a:ln w="9525">
                      <a:noFill/>
                      <a:miter lim="800000"/>
                      <a:headEnd/>
                      <a:tailEnd/>
                    </a:ln>
                  </pic:spPr>
                </pic:pic>
              </a:graphicData>
            </a:graphic>
          </wp:anchor>
        </w:drawing>
      </w:r>
    </w:p>
    <w:p w:rsidR="00B229AE" w:rsidRDefault="00B229AE">
      <w:pPr>
        <w:pStyle w:val="Normal0"/>
        <w:spacing w:after="120"/>
        <w:rPr>
          <w:rFonts w:ascii="宋体"/>
          <w:b/>
          <w:sz w:val="52"/>
          <w:lang w:eastAsia="zh-CN"/>
        </w:rPr>
      </w:pPr>
    </w:p>
    <w:p w:rsidR="00B229AE" w:rsidRDefault="00B229AE">
      <w:pPr>
        <w:pStyle w:val="Normal0"/>
        <w:spacing w:after="120"/>
        <w:rPr>
          <w:rFonts w:ascii="宋体"/>
          <w:b/>
          <w:sz w:val="52"/>
          <w:lang w:eastAsia="zh-CN"/>
        </w:rPr>
      </w:pPr>
    </w:p>
    <w:p w:rsidR="00B229AE" w:rsidRDefault="00DA3401">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上海证券交易所</w:t>
      </w:r>
      <w:r>
        <w:rPr>
          <w:rFonts w:ascii="黑体" w:eastAsia="黑体" w:hAnsi="黑体" w:hint="eastAsia"/>
          <w:b/>
          <w:bCs/>
          <w:sz w:val="36"/>
          <w:szCs w:val="36"/>
          <w:lang w:eastAsia="zh-CN"/>
        </w:rPr>
        <w:t xml:space="preserve"> </w:t>
      </w:r>
    </w:p>
    <w:p w:rsidR="00B229AE" w:rsidRDefault="00DA3401">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股票期权行权指令合并申报功能优化</w:t>
      </w:r>
    </w:p>
    <w:p w:rsidR="00B229AE" w:rsidRDefault="00DA3401">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市场参与者技术实施指南</w:t>
      </w:r>
    </w:p>
    <w:p w:rsidR="00B229AE" w:rsidRDefault="00DA3401">
      <w:pPr>
        <w:pStyle w:val="Normal0"/>
        <w:spacing w:after="120"/>
        <w:jc w:val="center"/>
        <w:rPr>
          <w:rFonts w:ascii="黑体" w:eastAsia="黑体" w:hAnsi="黑体"/>
          <w:b/>
          <w:bCs/>
          <w:sz w:val="36"/>
          <w:szCs w:val="36"/>
          <w:lang w:eastAsia="zh-CN"/>
        </w:rPr>
      </w:pPr>
      <w:r>
        <w:rPr>
          <w:rFonts w:ascii="黑体" w:eastAsia="黑体" w:hAnsi="黑体"/>
          <w:b/>
          <w:bCs/>
          <w:sz w:val="36"/>
          <w:szCs w:val="36"/>
          <w:lang w:eastAsia="zh-CN"/>
        </w:rPr>
        <w:t>1.</w:t>
      </w:r>
      <w:r>
        <w:rPr>
          <w:rFonts w:ascii="黑体" w:eastAsia="黑体" w:hAnsi="黑体" w:hint="eastAsia"/>
          <w:b/>
          <w:bCs/>
          <w:sz w:val="36"/>
          <w:szCs w:val="36"/>
          <w:lang w:eastAsia="zh-CN"/>
        </w:rPr>
        <w:t>0</w:t>
      </w:r>
      <w:r>
        <w:rPr>
          <w:rFonts w:ascii="黑体" w:eastAsia="黑体" w:hAnsi="黑体" w:hint="eastAsia"/>
          <w:b/>
          <w:bCs/>
          <w:sz w:val="36"/>
          <w:szCs w:val="36"/>
          <w:lang w:eastAsia="zh-CN"/>
        </w:rPr>
        <w:t>版</w:t>
      </w:r>
    </w:p>
    <w:p w:rsidR="00B229AE" w:rsidRDefault="00B229AE">
      <w:pPr>
        <w:pStyle w:val="Normal0"/>
        <w:spacing w:after="120"/>
        <w:jc w:val="center"/>
        <w:rPr>
          <w:rFonts w:ascii="宋体"/>
          <w:sz w:val="30"/>
          <w:lang w:eastAsia="zh-CN"/>
        </w:rPr>
      </w:pPr>
    </w:p>
    <w:p w:rsidR="00B229AE" w:rsidRDefault="00DA3401">
      <w:pPr>
        <w:pStyle w:val="Normal0"/>
        <w:spacing w:after="120"/>
        <w:jc w:val="center"/>
        <w:rPr>
          <w:rFonts w:ascii="宋体"/>
          <w:sz w:val="30"/>
          <w:lang w:eastAsia="zh-CN"/>
        </w:rPr>
      </w:pPr>
      <w:r>
        <w:rPr>
          <w:noProof/>
          <w:lang w:eastAsia="zh-CN"/>
        </w:rPr>
        <w:drawing>
          <wp:anchor distT="0" distB="0" distL="114300" distR="114300" simplePos="0" relativeHeight="251656192" behindDoc="0" locked="0" layoutInCell="1" allowOverlap="1">
            <wp:simplePos x="0" y="0"/>
            <wp:positionH relativeFrom="column">
              <wp:posOffset>1991360</wp:posOffset>
            </wp:positionH>
            <wp:positionV relativeFrom="paragraph">
              <wp:posOffset>323215</wp:posOffset>
            </wp:positionV>
            <wp:extent cx="1897380" cy="2331720"/>
            <wp:effectExtent l="19050" t="0" r="0" b="0"/>
            <wp:wrapNone/>
            <wp:docPr id="3" name="图片 434" descr="sse_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34" descr="sse_building"/>
                    <pic:cNvPicPr>
                      <a:picLocks noChangeAspect="1" noChangeArrowheads="1"/>
                    </pic:cNvPicPr>
                  </pic:nvPicPr>
                  <pic:blipFill>
                    <a:blip r:embed="rId9" cstate="print"/>
                    <a:srcRect/>
                    <a:stretch>
                      <a:fillRect/>
                    </a:stretch>
                  </pic:blipFill>
                  <pic:spPr>
                    <a:xfrm>
                      <a:off x="0" y="0"/>
                      <a:ext cx="1897380" cy="2331720"/>
                    </a:xfrm>
                    <a:prstGeom prst="rect">
                      <a:avLst/>
                    </a:prstGeom>
                    <a:noFill/>
                    <a:ln w="9525">
                      <a:noFill/>
                      <a:miter lim="800000"/>
                      <a:headEnd/>
                      <a:tailEnd/>
                    </a:ln>
                  </pic:spPr>
                </pic:pic>
              </a:graphicData>
            </a:graphic>
          </wp:anchor>
        </w:drawing>
      </w:r>
    </w:p>
    <w:p w:rsidR="00B229AE" w:rsidRDefault="00B229AE">
      <w:pPr>
        <w:pStyle w:val="Normal0"/>
        <w:spacing w:after="120"/>
        <w:jc w:val="center"/>
        <w:rPr>
          <w:rFonts w:ascii="宋体"/>
          <w:sz w:val="30"/>
          <w:lang w:eastAsia="zh-CN"/>
        </w:rPr>
      </w:pPr>
    </w:p>
    <w:p w:rsidR="00B229AE" w:rsidRDefault="00B229AE">
      <w:pPr>
        <w:ind w:firstLine="508"/>
        <w:jc w:val="center"/>
        <w:rPr>
          <w:rFonts w:ascii="宋体"/>
        </w:rPr>
      </w:pPr>
    </w:p>
    <w:p w:rsidR="00B229AE" w:rsidRDefault="00B229AE">
      <w:pPr>
        <w:ind w:firstLine="508"/>
        <w:jc w:val="center"/>
        <w:rPr>
          <w:rFonts w:ascii="宋体"/>
        </w:rPr>
      </w:pPr>
    </w:p>
    <w:p w:rsidR="00B229AE" w:rsidRDefault="00B229AE">
      <w:pPr>
        <w:ind w:firstLine="508"/>
        <w:rPr>
          <w:rFonts w:ascii="宋体"/>
        </w:rPr>
      </w:pPr>
    </w:p>
    <w:p w:rsidR="00B229AE" w:rsidRDefault="00B229AE">
      <w:pPr>
        <w:ind w:firstLine="508"/>
        <w:rPr>
          <w:rFonts w:ascii="宋体"/>
        </w:rPr>
      </w:pPr>
    </w:p>
    <w:p w:rsidR="00B229AE" w:rsidRDefault="00B229AE">
      <w:pPr>
        <w:ind w:firstLine="508"/>
        <w:rPr>
          <w:rFonts w:ascii="宋体"/>
        </w:rPr>
      </w:pPr>
    </w:p>
    <w:p w:rsidR="00B229AE" w:rsidRDefault="00B229AE">
      <w:pPr>
        <w:ind w:firstLine="508"/>
        <w:rPr>
          <w:rFonts w:ascii="宋体"/>
        </w:rPr>
      </w:pPr>
    </w:p>
    <w:p w:rsidR="00B229AE" w:rsidRDefault="00B229AE">
      <w:pPr>
        <w:ind w:firstLine="508"/>
        <w:rPr>
          <w:rFonts w:ascii="宋体"/>
        </w:rPr>
      </w:pPr>
    </w:p>
    <w:p w:rsidR="00B229AE" w:rsidRDefault="00B229AE">
      <w:pPr>
        <w:ind w:firstLine="448"/>
        <w:rPr>
          <w:rFonts w:ascii="宋体"/>
          <w:b/>
          <w:bCs/>
          <w:sz w:val="28"/>
        </w:rPr>
      </w:pPr>
      <w:r w:rsidRPr="00B229AE">
        <w:pict>
          <v:shape id="文本框 2" o:spid="_x0000_s1027" type="#_x0000_t202" style="position:absolute;left:0;text-align:left;margin-left:4.8pt;margin-top:668.2pt;width:414.4pt;height:78.75pt;z-index:251659264;mso-position-vertical-relative:page" o:gfxdata="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uRbm2QAAAAsBAAAPAAAAAAAAAAEAIAAAACIAAABkcnMvZG93bnJldi54bWxQSwEC&#10;FAAUAAAACACHTuJAyGUvXfMBAADOAwAADgAAAAAAAAABACAAAAAoAQAAZHJzL2Uyb0RvYy54bWxQ&#10;SwUGAAAAAAYABgBZAQAAjQUAAAAA&#10;" filled="f" strokecolor="white">
            <v:stroke dashstyle="1 1" endcap="round"/>
            <v:textbox>
              <w:txbxContent>
                <w:p w:rsidR="00B229AE" w:rsidRDefault="00DA3401">
                  <w:pPr>
                    <w:ind w:firstLine="628"/>
                    <w:jc w:val="center"/>
                    <w:rPr>
                      <w:rStyle w:val="smallfont1"/>
                      <w:rFonts w:ascii="黑体" w:eastAsia="黑体"/>
                      <w:sz w:val="30"/>
                    </w:rPr>
                  </w:pPr>
                  <w:r>
                    <w:rPr>
                      <w:rFonts w:ascii="黑体" w:eastAsia="黑体" w:hint="eastAsia"/>
                      <w:sz w:val="30"/>
                    </w:rPr>
                    <w:t>上海证券交易所</w:t>
                  </w:r>
                </w:p>
                <w:p w:rsidR="00B229AE" w:rsidRDefault="00DA3401">
                  <w:pPr>
                    <w:ind w:firstLine="670"/>
                    <w:jc w:val="center"/>
                    <w:rPr>
                      <w:sz w:val="30"/>
                    </w:rPr>
                  </w:pPr>
                  <w:r>
                    <w:rPr>
                      <w:rFonts w:ascii="楷体_GB2312" w:hint="eastAsia"/>
                      <w:b/>
                      <w:sz w:val="32"/>
                    </w:rPr>
                    <w:t>二〇二〇年八月</w:t>
                  </w:r>
                </w:p>
              </w:txbxContent>
            </v:textbox>
            <w10:wrap anchory="page"/>
          </v:shape>
        </w:pict>
      </w:r>
    </w:p>
    <w:p w:rsidR="00B229AE" w:rsidRDefault="00B229AE">
      <w:pPr>
        <w:ind w:firstLine="590"/>
        <w:rPr>
          <w:rFonts w:ascii="宋体"/>
          <w:b/>
          <w:bCs/>
          <w:sz w:val="28"/>
        </w:rPr>
      </w:pPr>
    </w:p>
    <w:p w:rsidR="00B229AE" w:rsidRDefault="00B229AE">
      <w:pPr>
        <w:ind w:firstLine="590"/>
        <w:rPr>
          <w:rFonts w:ascii="宋体"/>
          <w:b/>
          <w:bCs/>
          <w:sz w:val="28"/>
        </w:rPr>
      </w:pPr>
    </w:p>
    <w:p w:rsidR="00B229AE" w:rsidRDefault="00DA3401">
      <w:pPr>
        <w:ind w:firstLine="590"/>
        <w:jc w:val="center"/>
        <w:rPr>
          <w:rFonts w:ascii="仿宋_GB2312" w:eastAsia="仿宋_GB2312"/>
          <w:b/>
          <w:bCs/>
          <w:sz w:val="24"/>
        </w:rPr>
      </w:pPr>
      <w:r>
        <w:rPr>
          <w:rFonts w:ascii="宋体"/>
          <w:b/>
          <w:bCs/>
          <w:sz w:val="28"/>
        </w:rPr>
        <w:br w:type="page"/>
      </w:r>
      <w:r>
        <w:rPr>
          <w:rFonts w:ascii="仿宋_GB2312" w:eastAsia="仿宋_GB2312" w:hAnsi="宋体" w:hint="eastAsia"/>
          <w:b/>
          <w:bCs/>
          <w:sz w:val="24"/>
        </w:rPr>
        <w:lastRenderedPageBreak/>
        <w:t>版本历史</w:t>
      </w:r>
    </w:p>
    <w:p w:rsidR="00B229AE" w:rsidRDefault="00B229AE">
      <w:pPr>
        <w:ind w:firstLine="508"/>
        <w:jc w:val="center"/>
        <w:rPr>
          <w:rFonts w:ascii="仿宋_GB2312" w:eastAsia="仿宋_GB2312"/>
          <w:bCs/>
          <w:sz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911"/>
      </w:tblGrid>
      <w:tr w:rsidR="00B229AE">
        <w:tc>
          <w:tcPr>
            <w:tcW w:w="1809" w:type="dxa"/>
            <w:tcBorders>
              <w:top w:val="single" w:sz="4" w:space="0" w:color="000000"/>
              <w:left w:val="single" w:sz="4" w:space="0" w:color="000000"/>
              <w:bottom w:val="single" w:sz="4" w:space="0" w:color="000000"/>
              <w:right w:val="single" w:sz="4" w:space="0" w:color="000000"/>
            </w:tcBorders>
          </w:tcPr>
          <w:p w:rsidR="00B229AE" w:rsidRDefault="00DA3401">
            <w:pPr>
              <w:ind w:firstLine="509"/>
              <w:jc w:val="center"/>
              <w:rPr>
                <w:rFonts w:ascii="仿宋_GB2312" w:eastAsia="仿宋_GB2312"/>
                <w:b/>
                <w:bCs/>
                <w:sz w:val="24"/>
              </w:rPr>
            </w:pPr>
            <w:r>
              <w:rPr>
                <w:rFonts w:ascii="仿宋_GB2312" w:eastAsia="仿宋_GB2312" w:hAnsi="宋体" w:hint="eastAsia"/>
                <w:b/>
                <w:bCs/>
                <w:sz w:val="24"/>
              </w:rPr>
              <w:t>版本号</w:t>
            </w:r>
          </w:p>
        </w:tc>
        <w:tc>
          <w:tcPr>
            <w:tcW w:w="6911" w:type="dxa"/>
            <w:tcBorders>
              <w:top w:val="single" w:sz="4" w:space="0" w:color="000000"/>
              <w:left w:val="single" w:sz="4" w:space="0" w:color="000000"/>
              <w:bottom w:val="single" w:sz="4" w:space="0" w:color="000000"/>
              <w:right w:val="single" w:sz="4" w:space="0" w:color="000000"/>
            </w:tcBorders>
          </w:tcPr>
          <w:p w:rsidR="00B229AE" w:rsidRDefault="00DA3401">
            <w:pPr>
              <w:ind w:firstLine="509"/>
              <w:jc w:val="center"/>
              <w:rPr>
                <w:rFonts w:ascii="仿宋_GB2312" w:eastAsia="仿宋_GB2312"/>
                <w:b/>
                <w:bCs/>
                <w:sz w:val="24"/>
              </w:rPr>
            </w:pPr>
            <w:r>
              <w:rPr>
                <w:rFonts w:ascii="仿宋_GB2312" w:eastAsia="仿宋_GB2312" w:hAnsi="宋体" w:hint="eastAsia"/>
                <w:b/>
                <w:bCs/>
                <w:sz w:val="24"/>
              </w:rPr>
              <w:t>调整内容</w:t>
            </w:r>
          </w:p>
        </w:tc>
      </w:tr>
      <w:tr w:rsidR="00B229AE">
        <w:tc>
          <w:tcPr>
            <w:tcW w:w="1809" w:type="dxa"/>
            <w:tcBorders>
              <w:top w:val="single" w:sz="4" w:space="0" w:color="000000"/>
              <w:left w:val="single" w:sz="4" w:space="0" w:color="000000"/>
              <w:bottom w:val="single" w:sz="4" w:space="0" w:color="000000"/>
              <w:right w:val="single" w:sz="4" w:space="0" w:color="000000"/>
            </w:tcBorders>
          </w:tcPr>
          <w:p w:rsidR="00B229AE" w:rsidRDefault="00DA3401">
            <w:pPr>
              <w:jc w:val="left"/>
              <w:rPr>
                <w:rFonts w:ascii="仿宋_GB2312" w:eastAsia="仿宋_GB2312"/>
                <w:bCs/>
                <w:sz w:val="24"/>
              </w:rPr>
            </w:pPr>
            <w:r>
              <w:rPr>
                <w:rFonts w:ascii="仿宋_GB2312" w:eastAsia="仿宋_GB2312" w:hAnsi="宋体" w:hint="eastAsia"/>
                <w:bCs/>
                <w:szCs w:val="21"/>
              </w:rPr>
              <w:t>V1.0 20200806</w:t>
            </w:r>
          </w:p>
        </w:tc>
        <w:tc>
          <w:tcPr>
            <w:tcW w:w="6911" w:type="dxa"/>
            <w:tcBorders>
              <w:top w:val="single" w:sz="4" w:space="0" w:color="000000"/>
              <w:left w:val="single" w:sz="4" w:space="0" w:color="000000"/>
              <w:bottom w:val="single" w:sz="4" w:space="0" w:color="000000"/>
              <w:right w:val="single" w:sz="4" w:space="0" w:color="000000"/>
            </w:tcBorders>
          </w:tcPr>
          <w:p w:rsidR="00B229AE" w:rsidRDefault="00DA3401">
            <w:pPr>
              <w:ind w:firstLine="508"/>
              <w:jc w:val="left"/>
              <w:rPr>
                <w:rFonts w:ascii="仿宋_GB2312" w:eastAsia="仿宋_GB2312"/>
                <w:bCs/>
                <w:sz w:val="24"/>
              </w:rPr>
            </w:pPr>
            <w:r>
              <w:rPr>
                <w:rFonts w:ascii="仿宋_GB2312" w:eastAsia="仿宋_GB2312" w:hAnsi="宋体" w:hint="eastAsia"/>
                <w:bCs/>
                <w:szCs w:val="21"/>
              </w:rPr>
              <w:t>根据上交所发布的《</w:t>
            </w:r>
            <w:r w:rsidR="00C5694F">
              <w:rPr>
                <w:rFonts w:ascii="仿宋_GB2312" w:eastAsia="仿宋_GB2312" w:hAnsi="宋体" w:hint="eastAsia"/>
                <w:bCs/>
                <w:szCs w:val="21"/>
              </w:rPr>
              <w:t>关于修订证券公司、期货公司股票期权配套经纪业务指南的通知</w:t>
            </w:r>
            <w:r>
              <w:rPr>
                <w:rFonts w:ascii="仿宋_GB2312" w:eastAsia="仿宋_GB2312" w:hAnsi="宋体" w:hint="eastAsia"/>
                <w:bCs/>
                <w:szCs w:val="21"/>
              </w:rPr>
              <w:t>》制定</w:t>
            </w:r>
          </w:p>
        </w:tc>
      </w:tr>
      <w:tr w:rsidR="00B229AE">
        <w:tc>
          <w:tcPr>
            <w:tcW w:w="1809" w:type="dxa"/>
            <w:tcBorders>
              <w:top w:val="single" w:sz="4" w:space="0" w:color="000000"/>
              <w:left w:val="single" w:sz="4" w:space="0" w:color="000000"/>
              <w:bottom w:val="single" w:sz="4" w:space="0" w:color="000000"/>
              <w:right w:val="single" w:sz="4" w:space="0" w:color="000000"/>
            </w:tcBorders>
          </w:tcPr>
          <w:p w:rsidR="00B229AE" w:rsidRDefault="00B229AE">
            <w:pP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B229AE" w:rsidRDefault="00B229AE">
            <w:pPr>
              <w:ind w:firstLine="508"/>
              <w:jc w:val="left"/>
              <w:rPr>
                <w:rFonts w:ascii="宋体" w:eastAsia="仿宋_GB2312"/>
                <w:bCs/>
                <w:szCs w:val="21"/>
              </w:rPr>
            </w:pPr>
          </w:p>
        </w:tc>
      </w:tr>
      <w:tr w:rsidR="00B229AE">
        <w:tc>
          <w:tcPr>
            <w:tcW w:w="1809" w:type="dxa"/>
            <w:tcBorders>
              <w:top w:val="single" w:sz="4" w:space="0" w:color="000000"/>
              <w:left w:val="single" w:sz="4" w:space="0" w:color="000000"/>
              <w:bottom w:val="single" w:sz="4" w:space="0" w:color="000000"/>
              <w:right w:val="single" w:sz="4" w:space="0" w:color="000000"/>
            </w:tcBorders>
          </w:tcPr>
          <w:p w:rsidR="00B229AE" w:rsidRDefault="00B229AE">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B229AE" w:rsidRDefault="00B229AE">
            <w:pPr>
              <w:ind w:firstLine="508"/>
              <w:jc w:val="left"/>
              <w:rPr>
                <w:rFonts w:ascii="宋体"/>
                <w:bCs/>
                <w:szCs w:val="21"/>
              </w:rPr>
            </w:pPr>
          </w:p>
        </w:tc>
      </w:tr>
      <w:tr w:rsidR="00B229AE">
        <w:tc>
          <w:tcPr>
            <w:tcW w:w="1809" w:type="dxa"/>
            <w:tcBorders>
              <w:top w:val="single" w:sz="4" w:space="0" w:color="000000"/>
              <w:left w:val="single" w:sz="4" w:space="0" w:color="000000"/>
              <w:bottom w:val="single" w:sz="4" w:space="0" w:color="000000"/>
              <w:right w:val="single" w:sz="4" w:space="0" w:color="000000"/>
            </w:tcBorders>
          </w:tcPr>
          <w:p w:rsidR="00B229AE" w:rsidRDefault="00B229AE">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B229AE" w:rsidRDefault="00B229AE">
            <w:pPr>
              <w:ind w:firstLine="508"/>
              <w:jc w:val="left"/>
              <w:rPr>
                <w:rFonts w:ascii="宋体"/>
                <w:bCs/>
                <w:szCs w:val="21"/>
              </w:rPr>
            </w:pPr>
          </w:p>
        </w:tc>
      </w:tr>
    </w:tbl>
    <w:p w:rsidR="00B229AE" w:rsidRDefault="00B229AE">
      <w:pPr>
        <w:ind w:firstLine="508"/>
        <w:rPr>
          <w:rFonts w:ascii="宋体"/>
          <w:bCs/>
          <w:szCs w:val="21"/>
        </w:rPr>
      </w:pPr>
    </w:p>
    <w:p w:rsidR="00B229AE" w:rsidRDefault="00DA3401">
      <w:pPr>
        <w:ind w:firstLine="590"/>
        <w:rPr>
          <w:rFonts w:ascii="仿宋_GB2312" w:eastAsia="仿宋_GB2312"/>
          <w:b/>
          <w:bCs/>
          <w:sz w:val="28"/>
        </w:rPr>
      </w:pPr>
      <w:r>
        <w:rPr>
          <w:rFonts w:ascii="仿宋_GB2312" w:eastAsia="仿宋_GB2312" w:hAnsi="宋体" w:hint="eastAsia"/>
          <w:b/>
          <w:bCs/>
          <w:sz w:val="28"/>
        </w:rPr>
        <w:t>文档摘要</w:t>
      </w:r>
    </w:p>
    <w:p w:rsidR="00B229AE" w:rsidRDefault="00DA3401" w:rsidP="00C5694F">
      <w:pPr>
        <w:ind w:firstLineChars="200" w:firstLine="508"/>
        <w:rPr>
          <w:rFonts w:ascii="仿宋_GB2312" w:eastAsia="仿宋_GB2312"/>
        </w:rPr>
      </w:pPr>
      <w:r>
        <w:rPr>
          <w:rFonts w:ascii="仿宋_GB2312" w:eastAsia="仿宋_GB2312" w:hAnsi="宋体" w:hint="eastAsia"/>
          <w:sz w:val="24"/>
        </w:rPr>
        <w:t>本文档是上海证券交易所（以下简称“本所”）股票期权行权指令合并申报功能优化市场参与者技术实施指南</w:t>
      </w:r>
      <w:r>
        <w:rPr>
          <w:rFonts w:ascii="仿宋_GB2312" w:eastAsia="仿宋_GB2312" w:hAnsi="宋体" w:hint="eastAsia"/>
        </w:rPr>
        <w:t>。</w:t>
      </w:r>
    </w:p>
    <w:p w:rsidR="00B229AE" w:rsidRDefault="00B229AE">
      <w:pPr>
        <w:ind w:firstLine="509"/>
        <w:rPr>
          <w:rFonts w:ascii="仿宋_GB2312" w:eastAsia="仿宋_GB2312"/>
          <w:b/>
          <w:sz w:val="24"/>
        </w:rPr>
      </w:pPr>
    </w:p>
    <w:p w:rsidR="00B229AE" w:rsidRDefault="00DA3401">
      <w:pPr>
        <w:ind w:firstLine="509"/>
        <w:rPr>
          <w:rFonts w:ascii="仿宋_GB2312" w:eastAsia="仿宋_GB2312"/>
          <w:b/>
          <w:sz w:val="24"/>
        </w:rPr>
      </w:pPr>
      <w:r>
        <w:rPr>
          <w:rFonts w:ascii="仿宋_GB2312" w:eastAsia="仿宋_GB2312" w:hAnsi="宋体" w:hint="eastAsia"/>
          <w:b/>
          <w:sz w:val="28"/>
          <w:szCs w:val="28"/>
        </w:rPr>
        <w:t>特别申明</w:t>
      </w:r>
      <w:r>
        <w:rPr>
          <w:rFonts w:ascii="仿宋_GB2312" w:eastAsia="仿宋_GB2312" w:hAnsi="宋体" w:hint="eastAsia"/>
          <w:b/>
          <w:sz w:val="24"/>
        </w:rPr>
        <w:t>：</w:t>
      </w:r>
    </w:p>
    <w:p w:rsidR="00B229AE" w:rsidRDefault="00DA3401">
      <w:pPr>
        <w:pStyle w:val="a9"/>
        <w:numPr>
          <w:ilvl w:val="0"/>
          <w:numId w:val="2"/>
        </w:numPr>
        <w:ind w:firstLineChars="0" w:firstLine="6"/>
        <w:rPr>
          <w:rFonts w:ascii="仿宋_GB2312" w:eastAsia="仿宋_GB2312"/>
          <w:sz w:val="24"/>
        </w:rPr>
      </w:pPr>
      <w:r>
        <w:rPr>
          <w:rFonts w:ascii="仿宋_GB2312" w:eastAsia="仿宋_GB2312" w:hint="eastAsia"/>
          <w:sz w:val="24"/>
        </w:rPr>
        <w:t>本指南为技术实施指南，所涉相关业务规定以本所业务规则为准。</w:t>
      </w:r>
    </w:p>
    <w:p w:rsidR="00B229AE" w:rsidRDefault="00DA3401">
      <w:pPr>
        <w:pStyle w:val="a9"/>
        <w:numPr>
          <w:ilvl w:val="0"/>
          <w:numId w:val="2"/>
        </w:numPr>
        <w:ind w:firstLineChars="0" w:firstLine="6"/>
        <w:rPr>
          <w:rFonts w:ascii="仿宋_GB2312" w:eastAsia="仿宋_GB2312"/>
          <w:sz w:val="24"/>
        </w:rPr>
      </w:pPr>
      <w:r>
        <w:rPr>
          <w:rFonts w:ascii="仿宋_GB2312" w:eastAsia="仿宋_GB2312" w:hint="eastAsia"/>
          <w:sz w:val="24"/>
        </w:rPr>
        <w:t>本指南根据本所相关规则、业务方案、公告通知制定。</w:t>
      </w:r>
    </w:p>
    <w:p w:rsidR="00B229AE" w:rsidRDefault="00DA3401">
      <w:pPr>
        <w:pStyle w:val="a9"/>
        <w:numPr>
          <w:ilvl w:val="0"/>
          <w:numId w:val="2"/>
        </w:numPr>
        <w:ind w:firstLineChars="0" w:firstLine="6"/>
        <w:rPr>
          <w:rFonts w:ascii="仿宋_GB2312" w:eastAsia="仿宋_GB2312"/>
          <w:sz w:val="24"/>
        </w:rPr>
      </w:pPr>
      <w:r>
        <w:rPr>
          <w:rFonts w:ascii="仿宋_GB2312" w:eastAsia="仿宋_GB2312" w:hint="eastAsia"/>
          <w:sz w:val="24"/>
        </w:rPr>
        <w:t>本所保留对本指南的解释与修改权。</w:t>
      </w:r>
    </w:p>
    <w:p w:rsidR="00B229AE" w:rsidRDefault="00B229AE" w:rsidP="00C5694F">
      <w:pPr>
        <w:ind w:firstLineChars="200" w:firstLine="448"/>
        <w:rPr>
          <w:rFonts w:ascii="仿宋_GB2312" w:eastAsia="仿宋_GB2312"/>
        </w:rPr>
      </w:pPr>
    </w:p>
    <w:p w:rsidR="00B229AE" w:rsidRDefault="00DA3401">
      <w:pPr>
        <w:ind w:firstLine="509"/>
        <w:rPr>
          <w:rFonts w:ascii="仿宋_GB2312" w:eastAsia="仿宋_GB2312"/>
          <w:b/>
          <w:sz w:val="28"/>
          <w:szCs w:val="28"/>
        </w:rPr>
      </w:pPr>
      <w:r>
        <w:rPr>
          <w:rFonts w:ascii="仿宋_GB2312" w:eastAsia="仿宋_GB2312" w:hAnsi="宋体" w:hint="eastAsia"/>
          <w:b/>
          <w:sz w:val="28"/>
          <w:szCs w:val="28"/>
        </w:rPr>
        <w:t>联系方式</w:t>
      </w:r>
    </w:p>
    <w:tbl>
      <w:tblPr>
        <w:tblW w:w="5487" w:type="dxa"/>
        <w:jc w:val="center"/>
        <w:tblCellSpacing w:w="15" w:type="dxa"/>
        <w:tblInd w:w="448" w:type="dxa"/>
        <w:tblLayout w:type="fixed"/>
        <w:tblCellMar>
          <w:top w:w="15" w:type="dxa"/>
          <w:left w:w="15" w:type="dxa"/>
          <w:bottom w:w="15" w:type="dxa"/>
          <w:right w:w="15" w:type="dxa"/>
        </w:tblCellMar>
        <w:tblLook w:val="04A0"/>
      </w:tblPr>
      <w:tblGrid>
        <w:gridCol w:w="5487"/>
      </w:tblGrid>
      <w:tr w:rsidR="00B229AE">
        <w:trPr>
          <w:tblCellSpacing w:w="15" w:type="dxa"/>
          <w:jc w:val="center"/>
        </w:trPr>
        <w:tc>
          <w:tcPr>
            <w:tcW w:w="5427" w:type="dxa"/>
            <w:vAlign w:val="center"/>
          </w:tcPr>
          <w:p w:rsidR="00B229AE" w:rsidRDefault="00DA3401">
            <w:pPr>
              <w:rPr>
                <w:rFonts w:ascii="仿宋_GB2312" w:eastAsia="仿宋_GB2312"/>
                <w:sz w:val="24"/>
              </w:rPr>
            </w:pPr>
            <w:r>
              <w:rPr>
                <w:rFonts w:ascii="仿宋_GB2312" w:eastAsia="仿宋_GB2312" w:hint="eastAsia"/>
                <w:sz w:val="24"/>
              </w:rPr>
              <w:t>技术服务</w:t>
            </w:r>
            <w:r>
              <w:rPr>
                <w:rFonts w:ascii="仿宋_GB2312" w:eastAsia="仿宋_GB2312" w:hint="eastAsia"/>
                <w:sz w:val="24"/>
              </w:rPr>
              <w:t>QQ</w:t>
            </w:r>
            <w:r>
              <w:rPr>
                <w:rFonts w:ascii="仿宋_GB2312" w:eastAsia="仿宋_GB2312" w:hint="eastAsia"/>
                <w:sz w:val="24"/>
              </w:rPr>
              <w:t>群：</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298643611</w:t>
            </w:r>
          </w:p>
        </w:tc>
      </w:tr>
      <w:tr w:rsidR="00B229AE">
        <w:trPr>
          <w:tblCellSpacing w:w="15" w:type="dxa"/>
          <w:jc w:val="center"/>
        </w:trPr>
        <w:tc>
          <w:tcPr>
            <w:tcW w:w="5427" w:type="dxa"/>
            <w:vAlign w:val="center"/>
          </w:tcPr>
          <w:p w:rsidR="00B229AE" w:rsidRDefault="00DA3401">
            <w:pPr>
              <w:rPr>
                <w:rFonts w:ascii="仿宋_GB2312" w:eastAsia="仿宋_GB2312"/>
                <w:sz w:val="24"/>
              </w:rPr>
            </w:pPr>
            <w:r>
              <w:rPr>
                <w:rFonts w:ascii="仿宋_GB2312" w:eastAsia="仿宋_GB2312" w:hint="eastAsia"/>
                <w:sz w:val="24"/>
              </w:rPr>
              <w:t>技术服务电话</w:t>
            </w:r>
            <w:r>
              <w:rPr>
                <w:rFonts w:ascii="仿宋_GB2312" w:eastAsia="仿宋_GB2312" w:hint="eastAsia"/>
                <w:sz w:val="24"/>
              </w:rPr>
              <w:t xml:space="preserve">: </w:t>
            </w:r>
            <w:r>
              <w:rPr>
                <w:rFonts w:ascii="仿宋_GB2312" w:eastAsia="仿宋_GB2312" w:hint="eastAsia"/>
                <w:sz w:val="24"/>
              </w:rPr>
              <w:t>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4009003600(8:00-20:00)</w:t>
            </w:r>
          </w:p>
        </w:tc>
      </w:tr>
      <w:tr w:rsidR="00B229AE">
        <w:trPr>
          <w:tblCellSpacing w:w="15" w:type="dxa"/>
          <w:jc w:val="center"/>
        </w:trPr>
        <w:tc>
          <w:tcPr>
            <w:tcW w:w="5427" w:type="dxa"/>
            <w:vAlign w:val="center"/>
          </w:tcPr>
          <w:p w:rsidR="00B229AE" w:rsidRDefault="00DA3401">
            <w:pPr>
              <w:rPr>
                <w:rFonts w:ascii="仿宋_GB2312" w:eastAsia="仿宋_GB2312"/>
                <w:sz w:val="24"/>
              </w:rPr>
            </w:pPr>
            <w:r>
              <w:rPr>
                <w:rFonts w:ascii="仿宋_GB2312" w:eastAsia="仿宋_GB2312" w:hint="eastAsia"/>
                <w:sz w:val="24"/>
              </w:rPr>
              <w:t>电子邮件：</w:t>
            </w:r>
            <w:r>
              <w:rPr>
                <w:rFonts w:ascii="仿宋_GB2312" w:eastAsia="仿宋_GB2312" w:hint="eastAsia"/>
                <w:sz w:val="24"/>
              </w:rPr>
              <w:t xml:space="preserve"> </w:t>
            </w:r>
            <w:r>
              <w:rPr>
                <w:rFonts w:ascii="仿宋_GB2312" w:eastAsia="仿宋_GB2312" w:hint="eastAsia"/>
                <w:sz w:val="24"/>
              </w:rPr>
              <w:t> </w:t>
            </w:r>
            <w:r>
              <w:rPr>
                <w:rFonts w:ascii="仿宋_GB2312" w:eastAsia="仿宋_GB2312" w:hint="eastAsia"/>
                <w:sz w:val="24"/>
              </w:rPr>
              <w:t xml:space="preserve">　　</w:t>
            </w:r>
            <w:r>
              <w:rPr>
                <w:rFonts w:ascii="仿宋_GB2312" w:eastAsia="仿宋_GB2312" w:hint="eastAsia"/>
                <w:sz w:val="24"/>
              </w:rPr>
              <w:t xml:space="preserve">    </w:t>
            </w:r>
            <w:hyperlink r:id="rId10" w:history="1">
              <w:r>
                <w:rPr>
                  <w:rStyle w:val="a8"/>
                  <w:rFonts w:ascii="仿宋_GB2312" w:eastAsia="仿宋_GB2312" w:hint="eastAsia"/>
                  <w:sz w:val="24"/>
                </w:rPr>
                <w:t>tech_support@sse.com.cn</w:t>
              </w:r>
            </w:hyperlink>
          </w:p>
        </w:tc>
      </w:tr>
      <w:tr w:rsidR="00B229AE">
        <w:trPr>
          <w:tblCellSpacing w:w="15" w:type="dxa"/>
          <w:jc w:val="center"/>
        </w:trPr>
        <w:tc>
          <w:tcPr>
            <w:tcW w:w="5427" w:type="dxa"/>
            <w:vAlign w:val="center"/>
          </w:tcPr>
          <w:p w:rsidR="00B229AE" w:rsidRDefault="00DA3401">
            <w:pPr>
              <w:rPr>
                <w:rFonts w:ascii="仿宋_GB2312" w:eastAsia="仿宋_GB2312"/>
                <w:sz w:val="24"/>
              </w:rPr>
            </w:pPr>
            <w:r>
              <w:rPr>
                <w:rFonts w:ascii="仿宋_GB2312" w:eastAsia="仿宋_GB2312" w:hint="eastAsia"/>
                <w:sz w:val="24"/>
              </w:rPr>
              <w:t>技术服务</w:t>
            </w:r>
            <w:proofErr w:type="gramStart"/>
            <w:r>
              <w:rPr>
                <w:rFonts w:ascii="仿宋_GB2312" w:eastAsia="仿宋_GB2312" w:hint="eastAsia"/>
                <w:sz w:val="24"/>
              </w:rPr>
              <w:t>微信公众号</w:t>
            </w:r>
            <w:proofErr w:type="gramEnd"/>
            <w:r>
              <w:rPr>
                <w:rFonts w:ascii="仿宋_GB2312" w:eastAsia="仿宋_GB2312" w:hint="eastAsia"/>
                <w:sz w:val="24"/>
              </w:rPr>
              <w:t>：</w:t>
            </w:r>
            <w:r>
              <w:rPr>
                <w:rFonts w:ascii="仿宋_GB2312" w:eastAsia="仿宋_GB2312" w:hint="eastAsia"/>
                <w:sz w:val="24"/>
              </w:rPr>
              <w:t>SSE-</w:t>
            </w:r>
            <w:proofErr w:type="spellStart"/>
            <w:r>
              <w:rPr>
                <w:rFonts w:ascii="仿宋_GB2312" w:eastAsia="仿宋_GB2312" w:hint="eastAsia"/>
                <w:sz w:val="24"/>
              </w:rPr>
              <w:t>TechService</w:t>
            </w:r>
            <w:proofErr w:type="spellEnd"/>
            <w:r>
              <w:rPr>
                <w:rFonts w:ascii="仿宋_GB2312" w:eastAsia="仿宋_GB2312" w:hint="eastAsia"/>
                <w:sz w:val="24"/>
              </w:rPr>
              <w:t xml:space="preserve"> </w:t>
            </w:r>
          </w:p>
          <w:p w:rsidR="00B229AE" w:rsidRDefault="00DA3401">
            <w:pPr>
              <w:ind w:firstLine="509"/>
              <w:rPr>
                <w:rFonts w:ascii="仿宋_GB2312" w:eastAsia="仿宋_GB2312"/>
                <w:b/>
                <w:sz w:val="24"/>
              </w:rPr>
            </w:pPr>
            <w:r>
              <w:rPr>
                <w:rFonts w:ascii="仿宋_GB2312" w:eastAsia="仿宋_GB2312" w:hint="eastAsia"/>
                <w:b/>
                <w:sz w:val="24"/>
              </w:rPr>
              <w:t xml:space="preserve">　　</w:t>
            </w:r>
            <w:r>
              <w:rPr>
                <w:rFonts w:ascii="仿宋_GB2312" w:eastAsia="仿宋_GB2312" w:hint="eastAsia"/>
                <w:b/>
                <w:noProof/>
                <w:sz w:val="24"/>
              </w:rPr>
              <w:drawing>
                <wp:inline distT="0" distB="0" distL="0" distR="0">
                  <wp:extent cx="1800225" cy="1800225"/>
                  <wp:effectExtent l="19050" t="0" r="9525" b="0"/>
                  <wp:docPr id="2" name="图片 1" descr="3e4dc5951bf0a4ce7754c754c3ef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e4dc5951bf0a4ce7754c754c3ef8087"/>
                          <pic:cNvPicPr>
                            <a:picLocks noChangeAspect="1" noChangeArrowheads="1"/>
                          </pic:cNvPicPr>
                        </pic:nvPicPr>
                        <pic:blipFill>
                          <a:blip r:embed="rId11" cstate="print"/>
                          <a:srcRect/>
                          <a:stretch>
                            <a:fillRect/>
                          </a:stretch>
                        </pic:blipFill>
                        <pic:spPr>
                          <a:xfrm>
                            <a:off x="0" y="0"/>
                            <a:ext cx="1800225" cy="1800225"/>
                          </a:xfrm>
                          <a:prstGeom prst="rect">
                            <a:avLst/>
                          </a:prstGeom>
                          <a:noFill/>
                          <a:ln w="9525">
                            <a:noFill/>
                            <a:miter lim="800000"/>
                            <a:headEnd/>
                            <a:tailEnd/>
                          </a:ln>
                        </pic:spPr>
                      </pic:pic>
                    </a:graphicData>
                  </a:graphic>
                </wp:inline>
              </w:drawing>
            </w:r>
          </w:p>
        </w:tc>
      </w:tr>
    </w:tbl>
    <w:p w:rsidR="00B229AE" w:rsidRDefault="00DA3401">
      <w:pPr>
        <w:pStyle w:val="1"/>
        <w:spacing w:before="175" w:after="175"/>
      </w:pPr>
      <w:bookmarkStart w:id="0" w:name="_Toc523132209"/>
      <w:r>
        <w:rPr>
          <w:rFonts w:hAnsi="宋体" w:hint="eastAsia"/>
        </w:rPr>
        <w:lastRenderedPageBreak/>
        <w:t>简介</w:t>
      </w:r>
      <w:bookmarkEnd w:id="0"/>
    </w:p>
    <w:p w:rsidR="00B229AE" w:rsidRDefault="00DA3401">
      <w:pPr>
        <w:spacing w:line="360" w:lineRule="auto"/>
        <w:ind w:firstLine="420"/>
        <w:rPr>
          <w:rFonts w:ascii="仿宋_GB2312" w:eastAsia="仿宋_GB2312" w:hAnsi="新宋体"/>
          <w:spacing w:val="-4"/>
          <w:szCs w:val="21"/>
        </w:rPr>
      </w:pPr>
      <w:r>
        <w:rPr>
          <w:rFonts w:ascii="仿宋_GB2312" w:eastAsia="仿宋_GB2312" w:hAnsi="宋体" w:hint="eastAsia"/>
          <w:bCs/>
          <w:sz w:val="24"/>
        </w:rPr>
        <w:t>根据本所发布的《</w:t>
      </w:r>
      <w:r w:rsidR="00C5694F">
        <w:rPr>
          <w:rFonts w:ascii="仿宋_GB2312" w:eastAsia="仿宋_GB2312" w:hAnsi="宋体" w:hint="eastAsia"/>
          <w:bCs/>
          <w:sz w:val="24"/>
        </w:rPr>
        <w:t>关于修订证券公司、期货公司股票期权配套经纪业务指南的通知</w:t>
      </w:r>
      <w:r>
        <w:rPr>
          <w:rFonts w:ascii="仿宋_GB2312" w:eastAsia="仿宋_GB2312" w:hAnsi="宋体" w:hint="eastAsia"/>
          <w:bCs/>
          <w:sz w:val="24"/>
        </w:rPr>
        <w:t>》，针对股票期权行权指令合并申报功能优化</w:t>
      </w:r>
      <w:r>
        <w:rPr>
          <w:rFonts w:ascii="仿宋_GB2312" w:eastAsia="仿宋_GB2312" w:hAnsi="新宋体" w:hint="eastAsia"/>
          <w:spacing w:val="-4"/>
          <w:sz w:val="24"/>
        </w:rPr>
        <w:t>制定了《上海证券交易所股票期权行权指令合并申报功能优化市场参与者技术实施指南》，对市场参与者相关的技术实施提出建议</w:t>
      </w:r>
      <w:r>
        <w:rPr>
          <w:rFonts w:ascii="仿宋_GB2312" w:eastAsia="仿宋_GB2312" w:hAnsi="新宋体" w:hint="eastAsia"/>
          <w:spacing w:val="-4"/>
          <w:szCs w:val="21"/>
        </w:rPr>
        <w:t>。</w:t>
      </w:r>
      <w:bookmarkStart w:id="1" w:name="_Toc523132210"/>
    </w:p>
    <w:p w:rsidR="00B229AE" w:rsidRDefault="00B229AE">
      <w:pPr>
        <w:ind w:firstLine="492"/>
        <w:rPr>
          <w:rFonts w:ascii="新宋体" w:eastAsia="新宋体" w:hAnsi="新宋体"/>
          <w:spacing w:val="-4"/>
          <w:sz w:val="24"/>
          <w:szCs w:val="21"/>
        </w:rPr>
      </w:pPr>
    </w:p>
    <w:bookmarkEnd w:id="1"/>
    <w:p w:rsidR="00B229AE" w:rsidRDefault="00DA3401">
      <w:pPr>
        <w:pStyle w:val="1"/>
        <w:spacing w:before="175" w:after="175"/>
      </w:pPr>
      <w:r>
        <w:rPr>
          <w:rFonts w:hint="eastAsia"/>
        </w:rPr>
        <w:t>市场接口调整说明</w:t>
      </w:r>
    </w:p>
    <w:p w:rsidR="00B229AE" w:rsidRDefault="00DA3401">
      <w:pPr>
        <w:spacing w:line="360" w:lineRule="auto"/>
        <w:ind w:firstLine="510"/>
        <w:rPr>
          <w:rFonts w:ascii="仿宋_GB2312" w:eastAsia="仿宋_GB2312" w:hAnsi="新宋体"/>
          <w:spacing w:val="-4"/>
          <w:sz w:val="24"/>
        </w:rPr>
      </w:pPr>
      <w:r>
        <w:rPr>
          <w:rFonts w:ascii="仿宋_GB2312" w:eastAsia="仿宋_GB2312" w:hAnsi="新宋体" w:hint="eastAsia"/>
          <w:spacing w:val="-4"/>
          <w:sz w:val="24"/>
        </w:rPr>
        <w:t>本次股票期权行权指令合并申报功能优化业务不涉及接口变化。</w:t>
      </w:r>
    </w:p>
    <w:p w:rsidR="00B229AE" w:rsidRDefault="00B229AE"/>
    <w:p w:rsidR="00B229AE" w:rsidRDefault="00DA3401">
      <w:pPr>
        <w:pStyle w:val="1"/>
        <w:spacing w:before="175" w:after="175"/>
      </w:pPr>
      <w:bookmarkStart w:id="2" w:name="_Toc364500069"/>
      <w:bookmarkStart w:id="3" w:name="_Toc417895048"/>
      <w:bookmarkStart w:id="4" w:name="_Toc351529835"/>
      <w:r>
        <w:rPr>
          <w:rFonts w:hint="eastAsia"/>
        </w:rPr>
        <w:t>业务调整说明</w:t>
      </w:r>
    </w:p>
    <w:p w:rsidR="00B229AE" w:rsidRDefault="00DA3401" w:rsidP="00C5694F">
      <w:pPr>
        <w:spacing w:line="360" w:lineRule="auto"/>
        <w:ind w:firstLineChars="200" w:firstLine="508"/>
        <w:jc w:val="left"/>
        <w:rPr>
          <w:rFonts w:ascii="仿宋_GB2312" w:eastAsia="仿宋_GB2312" w:hAnsi="宋体"/>
          <w:sz w:val="24"/>
        </w:rPr>
      </w:pPr>
      <w:r>
        <w:rPr>
          <w:rFonts w:ascii="仿宋_GB2312" w:eastAsia="仿宋_GB2312" w:hAnsi="宋体" w:hint="eastAsia"/>
          <w:sz w:val="24"/>
        </w:rPr>
        <w:t>根据《</w:t>
      </w:r>
      <w:r w:rsidR="00C5694F">
        <w:rPr>
          <w:rFonts w:ascii="仿宋_GB2312" w:eastAsia="仿宋_GB2312" w:hAnsi="宋体" w:hint="eastAsia"/>
          <w:bCs/>
          <w:sz w:val="24"/>
        </w:rPr>
        <w:t>关于修订证券公司、期货公司股票期权配套经纪业务指南的通知</w:t>
      </w:r>
      <w:r>
        <w:rPr>
          <w:rFonts w:ascii="仿宋_GB2312" w:eastAsia="仿宋_GB2312" w:hAnsi="宋体" w:hint="eastAsia"/>
          <w:bCs/>
          <w:sz w:val="24"/>
        </w:rPr>
        <w:t>》</w:t>
      </w:r>
      <w:r>
        <w:rPr>
          <w:rFonts w:ascii="仿宋_GB2312" w:eastAsia="仿宋_GB2312" w:hAnsi="宋体" w:hint="eastAsia"/>
          <w:sz w:val="24"/>
        </w:rPr>
        <w:t>安排，对</w:t>
      </w:r>
      <w:r>
        <w:rPr>
          <w:rFonts w:ascii="仿宋_GB2312" w:eastAsia="仿宋_GB2312" w:hAnsi="新宋体" w:hint="eastAsia"/>
          <w:spacing w:val="-4"/>
          <w:sz w:val="24"/>
        </w:rPr>
        <w:t>股票期权行权指令合并申报功能</w:t>
      </w:r>
      <w:r>
        <w:rPr>
          <w:rFonts w:ascii="仿宋_GB2312" w:eastAsia="仿宋_GB2312" w:hAnsi="宋体" w:hint="eastAsia"/>
          <w:sz w:val="24"/>
        </w:rPr>
        <w:t>进行调整优化，主要优化内容如下：</w:t>
      </w:r>
    </w:p>
    <w:p w:rsidR="00B229AE" w:rsidRDefault="00DA3401">
      <w:pPr>
        <w:pStyle w:val="a9"/>
        <w:numPr>
          <w:ilvl w:val="0"/>
          <w:numId w:val="3"/>
        </w:numPr>
        <w:spacing w:line="360" w:lineRule="auto"/>
        <w:ind w:firstLineChars="0"/>
        <w:jc w:val="left"/>
        <w:rPr>
          <w:rFonts w:ascii="仿宋_GB2312" w:eastAsia="仿宋_GB2312"/>
          <w:sz w:val="24"/>
        </w:rPr>
      </w:pPr>
      <w:r>
        <w:rPr>
          <w:rFonts w:ascii="仿宋_GB2312" w:eastAsia="仿宋_GB2312" w:hint="eastAsia"/>
          <w:sz w:val="24"/>
        </w:rPr>
        <w:t>时间调整。将行权指令合并申报的时间由原来的行权日收盘后</w:t>
      </w:r>
      <w:r>
        <w:rPr>
          <w:rFonts w:ascii="仿宋_GB2312" w:eastAsia="仿宋_GB2312" w:hint="eastAsia"/>
          <w:sz w:val="24"/>
        </w:rPr>
        <w:t>15:00</w:t>
      </w:r>
      <w:r>
        <w:rPr>
          <w:rFonts w:ascii="仿宋_GB2312" w:eastAsia="仿宋_GB2312" w:hint="eastAsia"/>
          <w:sz w:val="24"/>
        </w:rPr>
        <w:t>至</w:t>
      </w:r>
      <w:r>
        <w:rPr>
          <w:rFonts w:ascii="仿宋_GB2312" w:eastAsia="仿宋_GB2312" w:hint="eastAsia"/>
          <w:sz w:val="24"/>
        </w:rPr>
        <w:t>15:30</w:t>
      </w:r>
      <w:r>
        <w:rPr>
          <w:rFonts w:ascii="仿宋_GB2312" w:eastAsia="仿宋_GB2312" w:hint="eastAsia"/>
          <w:sz w:val="24"/>
        </w:rPr>
        <w:t>延长为行权日全天交易时间（</w:t>
      </w:r>
      <w:r>
        <w:rPr>
          <w:rFonts w:ascii="仿宋_GB2312" w:eastAsia="仿宋_GB2312" w:hint="eastAsia"/>
          <w:sz w:val="24"/>
        </w:rPr>
        <w:t>9:15</w:t>
      </w:r>
      <w:r>
        <w:rPr>
          <w:rFonts w:ascii="仿宋_GB2312" w:eastAsia="仿宋_GB2312" w:hint="eastAsia"/>
          <w:sz w:val="24"/>
        </w:rPr>
        <w:t>至</w:t>
      </w:r>
      <w:r>
        <w:rPr>
          <w:rFonts w:ascii="仿宋_GB2312" w:eastAsia="仿宋_GB2312" w:hint="eastAsia"/>
          <w:sz w:val="24"/>
        </w:rPr>
        <w:t>9:25</w:t>
      </w:r>
      <w:r>
        <w:rPr>
          <w:rFonts w:ascii="仿宋_GB2312" w:eastAsia="仿宋_GB2312" w:hint="eastAsia"/>
          <w:sz w:val="24"/>
        </w:rPr>
        <w:t>、</w:t>
      </w:r>
      <w:r>
        <w:rPr>
          <w:rFonts w:ascii="仿宋_GB2312" w:eastAsia="仿宋_GB2312" w:hint="eastAsia"/>
          <w:sz w:val="24"/>
        </w:rPr>
        <w:t>9:30</w:t>
      </w:r>
      <w:r>
        <w:rPr>
          <w:rFonts w:ascii="仿宋_GB2312" w:eastAsia="仿宋_GB2312" w:hint="eastAsia"/>
          <w:sz w:val="24"/>
        </w:rPr>
        <w:t>至</w:t>
      </w:r>
      <w:r>
        <w:rPr>
          <w:rFonts w:ascii="仿宋_GB2312" w:eastAsia="仿宋_GB2312" w:hint="eastAsia"/>
          <w:sz w:val="24"/>
        </w:rPr>
        <w:t xml:space="preserve">11:30 </w:t>
      </w:r>
      <w:r>
        <w:rPr>
          <w:rFonts w:ascii="仿宋_GB2312" w:eastAsia="仿宋_GB2312" w:hint="eastAsia"/>
          <w:sz w:val="24"/>
        </w:rPr>
        <w:t>、</w:t>
      </w:r>
      <w:r>
        <w:rPr>
          <w:rFonts w:ascii="仿宋_GB2312" w:eastAsia="仿宋_GB2312" w:hint="eastAsia"/>
          <w:sz w:val="24"/>
        </w:rPr>
        <w:t>13:00</w:t>
      </w:r>
      <w:r>
        <w:rPr>
          <w:rFonts w:ascii="仿宋_GB2312" w:eastAsia="仿宋_GB2312" w:hint="eastAsia"/>
          <w:sz w:val="24"/>
        </w:rPr>
        <w:t>至</w:t>
      </w:r>
      <w:r>
        <w:rPr>
          <w:rFonts w:ascii="仿宋_GB2312" w:eastAsia="仿宋_GB2312" w:hint="eastAsia"/>
          <w:sz w:val="24"/>
        </w:rPr>
        <w:t>15:30</w:t>
      </w:r>
      <w:r>
        <w:rPr>
          <w:rFonts w:ascii="仿宋_GB2312" w:eastAsia="仿宋_GB2312" w:hint="eastAsia"/>
          <w:sz w:val="24"/>
        </w:rPr>
        <w:t>）。</w:t>
      </w:r>
    </w:p>
    <w:p w:rsidR="00B229AE" w:rsidRDefault="00DA3401">
      <w:pPr>
        <w:pStyle w:val="a9"/>
        <w:numPr>
          <w:ilvl w:val="0"/>
          <w:numId w:val="3"/>
        </w:numPr>
        <w:spacing w:line="360" w:lineRule="auto"/>
        <w:ind w:firstLineChars="0"/>
        <w:jc w:val="left"/>
        <w:rPr>
          <w:rFonts w:ascii="仿宋_GB2312" w:eastAsia="仿宋_GB2312"/>
          <w:sz w:val="24"/>
        </w:rPr>
      </w:pPr>
      <w:r>
        <w:rPr>
          <w:rFonts w:ascii="仿宋_GB2312" w:eastAsia="仿宋_GB2312" w:hint="eastAsia"/>
          <w:sz w:val="24"/>
        </w:rPr>
        <w:t>调整行权指令合并申报指令交易所前端检查处理。上交所按照标的证券是否相同、合约单位是否相等、是否为认购合约和认沽期权合约各一张、是否均为当日到期、认沽期权行权价是否高于认购期权进行前端检查</w:t>
      </w:r>
      <w:r>
        <w:rPr>
          <w:rFonts w:ascii="仿宋_GB2312" w:eastAsia="仿宋_GB2312" w:hint="eastAsia"/>
          <w:sz w:val="24"/>
        </w:rPr>
        <w:t>,</w:t>
      </w:r>
      <w:r>
        <w:rPr>
          <w:rFonts w:ascii="仿宋_GB2312" w:eastAsia="仿宋_GB2312" w:hint="eastAsia"/>
          <w:sz w:val="24"/>
        </w:rPr>
        <w:t>不再校验认购和认沽期权累计行权指令合并申报数量与投资者持有的相应合约权利仓的净头寸数值。</w:t>
      </w:r>
    </w:p>
    <w:p w:rsidR="00B229AE" w:rsidRDefault="00DA3401">
      <w:pPr>
        <w:pStyle w:val="a9"/>
        <w:numPr>
          <w:ilvl w:val="0"/>
          <w:numId w:val="3"/>
        </w:numPr>
        <w:spacing w:line="360" w:lineRule="auto"/>
        <w:ind w:firstLineChars="0"/>
        <w:jc w:val="left"/>
        <w:rPr>
          <w:rFonts w:ascii="仿宋_GB2312" w:eastAsia="仿宋_GB2312"/>
          <w:sz w:val="24"/>
        </w:rPr>
      </w:pPr>
      <w:r>
        <w:rPr>
          <w:rFonts w:ascii="仿宋_GB2312" w:eastAsia="仿宋_GB2312" w:hint="eastAsia"/>
          <w:sz w:val="24"/>
        </w:rPr>
        <w:t>调整为允许指令部分生效的逻辑。</w:t>
      </w:r>
      <w:proofErr w:type="gramStart"/>
      <w:r>
        <w:rPr>
          <w:rFonts w:ascii="仿宋_GB2312" w:eastAsia="仿宋_GB2312" w:hint="eastAsia"/>
          <w:sz w:val="24"/>
        </w:rPr>
        <w:t>若行</w:t>
      </w:r>
      <w:proofErr w:type="gramEnd"/>
      <w:r>
        <w:rPr>
          <w:rFonts w:ascii="仿宋_GB2312" w:eastAsia="仿宋_GB2312" w:hint="eastAsia"/>
          <w:sz w:val="24"/>
        </w:rPr>
        <w:t>权指令合并申报数量超过投资</w:t>
      </w:r>
      <w:r>
        <w:rPr>
          <w:rFonts w:ascii="仿宋_GB2312" w:eastAsia="仿宋_GB2312" w:hint="eastAsia"/>
          <w:sz w:val="24"/>
        </w:rPr>
        <w:t>者可用净头寸，则</w:t>
      </w:r>
      <w:proofErr w:type="gramStart"/>
      <w:r>
        <w:rPr>
          <w:rFonts w:ascii="仿宋_GB2312" w:eastAsia="仿宋_GB2312" w:hint="eastAsia"/>
          <w:sz w:val="24"/>
        </w:rPr>
        <w:t>仅权利仓净</w:t>
      </w:r>
      <w:proofErr w:type="gramEnd"/>
      <w:r>
        <w:rPr>
          <w:rFonts w:ascii="仿宋_GB2312" w:eastAsia="仿宋_GB2312" w:hint="eastAsia"/>
          <w:sz w:val="24"/>
        </w:rPr>
        <w:t>头寸部分有效。</w:t>
      </w:r>
    </w:p>
    <w:p w:rsidR="00B229AE" w:rsidRDefault="00DA3401">
      <w:pPr>
        <w:pStyle w:val="1"/>
        <w:spacing w:before="175" w:after="175"/>
      </w:pPr>
      <w:r>
        <w:rPr>
          <w:rFonts w:hint="eastAsia"/>
        </w:rPr>
        <w:lastRenderedPageBreak/>
        <w:t>市场参与者技术实施建议</w:t>
      </w:r>
      <w:bookmarkEnd w:id="2"/>
      <w:bookmarkEnd w:id="3"/>
      <w:r>
        <w:rPr>
          <w:rFonts w:hint="eastAsia"/>
        </w:rPr>
        <w:t>及注意事项</w:t>
      </w:r>
    </w:p>
    <w:p w:rsidR="00B229AE" w:rsidRDefault="00DA3401">
      <w:pPr>
        <w:pStyle w:val="a9"/>
        <w:numPr>
          <w:ilvl w:val="0"/>
          <w:numId w:val="4"/>
        </w:numPr>
        <w:spacing w:line="360" w:lineRule="auto"/>
        <w:ind w:firstLineChars="0"/>
        <w:jc w:val="left"/>
        <w:rPr>
          <w:rFonts w:ascii="仿宋_GB2312" w:eastAsia="仿宋_GB2312"/>
          <w:sz w:val="24"/>
        </w:rPr>
      </w:pPr>
      <w:r>
        <w:rPr>
          <w:rFonts w:ascii="仿宋_GB2312" w:eastAsia="仿宋_GB2312" w:hint="eastAsia"/>
          <w:sz w:val="24"/>
        </w:rPr>
        <w:t>行权指令合并申报的时间延长为行权日全天交易时间</w:t>
      </w:r>
      <w:r>
        <w:rPr>
          <w:rFonts w:ascii="仿宋_GB2312" w:eastAsia="仿宋_GB2312" w:hint="eastAsia"/>
          <w:sz w:val="24"/>
        </w:rPr>
        <w:t>，</w:t>
      </w:r>
      <w:r>
        <w:rPr>
          <w:rFonts w:ascii="仿宋_GB2312" w:eastAsia="仿宋_GB2312" w:hint="eastAsia"/>
          <w:sz w:val="24"/>
        </w:rPr>
        <w:t>市场参与者应</w:t>
      </w:r>
      <w:r>
        <w:rPr>
          <w:rFonts w:ascii="仿宋_GB2312" w:eastAsia="仿宋_GB2312" w:hint="eastAsia"/>
          <w:sz w:val="24"/>
        </w:rPr>
        <w:t>做好申报时间的前端控制工作。</w:t>
      </w:r>
      <w:bookmarkStart w:id="5" w:name="_GoBack"/>
      <w:bookmarkEnd w:id="5"/>
    </w:p>
    <w:p w:rsidR="00B229AE" w:rsidRDefault="00DA3401">
      <w:pPr>
        <w:pStyle w:val="a9"/>
        <w:numPr>
          <w:ilvl w:val="0"/>
          <w:numId w:val="4"/>
        </w:numPr>
        <w:spacing w:line="360" w:lineRule="auto"/>
        <w:ind w:firstLineChars="0"/>
        <w:jc w:val="left"/>
        <w:rPr>
          <w:rFonts w:ascii="仿宋_GB2312" w:eastAsia="仿宋_GB2312"/>
          <w:sz w:val="24"/>
        </w:rPr>
      </w:pPr>
      <w:r>
        <w:rPr>
          <w:rFonts w:ascii="仿宋_GB2312" w:eastAsia="仿宋_GB2312" w:hint="eastAsia"/>
          <w:sz w:val="24"/>
        </w:rPr>
        <w:t>本所调整了前端检查处理逻辑，不再进行净头寸的前端检查。市场参与者应按照</w:t>
      </w:r>
      <w:r>
        <w:rPr>
          <w:rFonts w:ascii="仿宋_GB2312" w:eastAsia="仿宋_GB2312" w:hint="eastAsia"/>
          <w:sz w:val="24"/>
        </w:rPr>
        <w:t>本所</w:t>
      </w:r>
      <w:r>
        <w:rPr>
          <w:rFonts w:ascii="仿宋_GB2312" w:eastAsia="仿宋_GB2312" w:hint="eastAsia"/>
          <w:sz w:val="24"/>
        </w:rPr>
        <w:t>《</w:t>
      </w:r>
      <w:r>
        <w:rPr>
          <w:rFonts w:ascii="仿宋_GB2312" w:eastAsia="仿宋_GB2312" w:hint="eastAsia"/>
          <w:sz w:val="24"/>
        </w:rPr>
        <w:t>股票</w:t>
      </w:r>
      <w:r>
        <w:rPr>
          <w:rFonts w:ascii="仿宋_GB2312" w:eastAsia="仿宋_GB2312" w:hint="eastAsia"/>
          <w:sz w:val="24"/>
        </w:rPr>
        <w:t>期权业务指南》要求，根据客户的行权申报（包括行权指令合并申报和非行权指令合并申报），做好前端控制相关工作。</w:t>
      </w:r>
    </w:p>
    <w:p w:rsidR="00B229AE" w:rsidRDefault="00DA3401">
      <w:pPr>
        <w:pStyle w:val="a9"/>
        <w:numPr>
          <w:ilvl w:val="0"/>
          <w:numId w:val="4"/>
        </w:numPr>
        <w:spacing w:line="360" w:lineRule="auto"/>
        <w:ind w:firstLineChars="0"/>
        <w:jc w:val="left"/>
        <w:rPr>
          <w:rFonts w:ascii="仿宋_GB2312" w:eastAsia="仿宋_GB2312"/>
          <w:sz w:val="24"/>
        </w:rPr>
      </w:pPr>
      <w:r>
        <w:rPr>
          <w:rFonts w:ascii="仿宋_GB2312" w:eastAsia="仿宋_GB2312" w:hint="eastAsia"/>
          <w:sz w:val="24"/>
        </w:rPr>
        <w:t>市场参与者应充分评估业务变更对交易相关技术系统的影响，做好相关技术系统维护、改造工作，保证</w:t>
      </w:r>
      <w:r>
        <w:rPr>
          <w:rFonts w:ascii="仿宋_GB2312" w:eastAsia="仿宋_GB2312" w:hAnsi="宋体" w:hint="eastAsia"/>
          <w:bCs/>
          <w:sz w:val="24"/>
        </w:rPr>
        <w:t>股票期权行权指令合并申报功能优化</w:t>
      </w:r>
      <w:r>
        <w:rPr>
          <w:rFonts w:ascii="仿宋_GB2312" w:eastAsia="仿宋_GB2312" w:hAnsi="新宋体" w:hint="eastAsia"/>
          <w:spacing w:val="-4"/>
          <w:sz w:val="24"/>
        </w:rPr>
        <w:t>业务</w:t>
      </w:r>
      <w:r>
        <w:rPr>
          <w:rFonts w:ascii="仿宋_GB2312" w:eastAsia="仿宋_GB2312" w:hint="eastAsia"/>
          <w:sz w:val="24"/>
        </w:rPr>
        <w:t>的顺利开展，同时保障现有上交所股票、债券、基金、融资融券、港股通、股票期权等各类业务正常运行。</w:t>
      </w:r>
    </w:p>
    <w:p w:rsidR="00B229AE" w:rsidRDefault="00DA3401">
      <w:pPr>
        <w:pStyle w:val="a9"/>
        <w:numPr>
          <w:ilvl w:val="0"/>
          <w:numId w:val="4"/>
        </w:numPr>
        <w:spacing w:line="360" w:lineRule="auto"/>
        <w:ind w:firstLineChars="0"/>
        <w:rPr>
          <w:rFonts w:ascii="仿宋_GB2312" w:eastAsia="仿宋_GB2312"/>
          <w:sz w:val="24"/>
        </w:rPr>
      </w:pPr>
      <w:r>
        <w:rPr>
          <w:rFonts w:ascii="仿宋_GB2312" w:eastAsia="仿宋_GB2312" w:hint="eastAsia"/>
          <w:sz w:val="24"/>
        </w:rPr>
        <w:t>市场参与者应根据本所要求利用本所提供的测试环境进行充分测试验证。</w:t>
      </w:r>
      <w:bookmarkEnd w:id="4"/>
    </w:p>
    <w:p w:rsidR="00B229AE" w:rsidRDefault="00B229AE" w:rsidP="00C5694F">
      <w:pPr>
        <w:spacing w:line="360" w:lineRule="auto"/>
        <w:ind w:firstLineChars="200" w:firstLine="508"/>
        <w:rPr>
          <w:rFonts w:ascii="仿宋_GB2312" w:eastAsia="仿宋_GB2312"/>
          <w:sz w:val="24"/>
        </w:rPr>
      </w:pPr>
    </w:p>
    <w:p w:rsidR="00B229AE" w:rsidRDefault="00DA3401">
      <w:pPr>
        <w:pStyle w:val="1"/>
        <w:spacing w:before="175" w:after="175"/>
      </w:pPr>
      <w:bookmarkStart w:id="6" w:name="_Toc523132213"/>
      <w:r>
        <w:rPr>
          <w:rFonts w:hint="eastAsia"/>
        </w:rPr>
        <w:t>相关技术文档</w:t>
      </w:r>
      <w:bookmarkEnd w:id="6"/>
    </w:p>
    <w:p w:rsidR="00B229AE" w:rsidRDefault="00DA3401" w:rsidP="00C5694F">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本次股票期权行权指令合并申报功能优化业务未涉及市场接口规格变化，相关技术文档无变更。</w:t>
      </w:r>
    </w:p>
    <w:p w:rsidR="00B229AE" w:rsidRDefault="00DA3401" w:rsidP="00C5694F">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本所最新技术文档详见上交所网站交易技术支持专区：</w:t>
      </w:r>
    </w:p>
    <w:p w:rsidR="00B229AE" w:rsidRDefault="00DA3401" w:rsidP="00C5694F">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 xml:space="preserve">IS113 </w:t>
      </w:r>
      <w:r>
        <w:rPr>
          <w:rFonts w:ascii="仿宋_GB2312" w:eastAsia="仿宋_GB2312" w:hAnsi="新宋体" w:hint="eastAsia"/>
          <w:spacing w:val="-4"/>
          <w:sz w:val="24"/>
        </w:rPr>
        <w:t>上海证券交易所股票期权市场参与者接口规格说明书</w:t>
      </w:r>
    </w:p>
    <w:p w:rsidR="00B229AE" w:rsidRDefault="00DA3401" w:rsidP="00C5694F">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 xml:space="preserve">IS111 </w:t>
      </w:r>
      <w:r>
        <w:rPr>
          <w:rFonts w:ascii="仿宋_GB2312" w:eastAsia="仿宋_GB2312" w:hAnsi="新宋体" w:hint="eastAsia"/>
          <w:spacing w:val="-4"/>
          <w:sz w:val="24"/>
        </w:rPr>
        <w:t>上海证券交易所报盘软件错误代码表</w:t>
      </w:r>
    </w:p>
    <w:p w:rsidR="00B229AE" w:rsidRDefault="00DA3401" w:rsidP="00C5694F">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 xml:space="preserve">IS120 </w:t>
      </w:r>
      <w:r>
        <w:rPr>
          <w:rFonts w:ascii="仿宋_GB2312" w:eastAsia="仿宋_GB2312" w:hAnsi="新宋体" w:hint="eastAsia"/>
          <w:spacing w:val="-4"/>
          <w:sz w:val="24"/>
        </w:rPr>
        <w:t>上海证券交易所行情网关</w:t>
      </w:r>
      <w:r>
        <w:rPr>
          <w:rFonts w:ascii="仿宋_GB2312" w:eastAsia="仿宋_GB2312" w:hAnsi="新宋体" w:hint="eastAsia"/>
          <w:spacing w:val="-4"/>
          <w:sz w:val="24"/>
        </w:rPr>
        <w:t>BINARY</w:t>
      </w:r>
      <w:r>
        <w:rPr>
          <w:rFonts w:ascii="仿宋_GB2312" w:eastAsia="仿宋_GB2312" w:hAnsi="新宋体" w:hint="eastAsia"/>
          <w:spacing w:val="-4"/>
          <w:sz w:val="24"/>
        </w:rPr>
        <w:t>数据接口规范</w:t>
      </w:r>
    </w:p>
    <w:p w:rsidR="00B229AE" w:rsidRDefault="00DA3401" w:rsidP="00C5694F">
      <w:pPr>
        <w:spacing w:line="360" w:lineRule="auto"/>
        <w:ind w:firstLineChars="200" w:firstLine="492"/>
      </w:pPr>
      <w:r>
        <w:rPr>
          <w:rFonts w:ascii="仿宋_GB2312" w:eastAsia="仿宋_GB2312" w:hAnsi="新宋体" w:hint="eastAsia"/>
          <w:spacing w:val="-4"/>
          <w:sz w:val="24"/>
        </w:rPr>
        <w:t xml:space="preserve">IS120 </w:t>
      </w:r>
      <w:r>
        <w:rPr>
          <w:rFonts w:ascii="仿宋_GB2312" w:eastAsia="仿宋_GB2312" w:hAnsi="新宋体" w:hint="eastAsia"/>
          <w:spacing w:val="-4"/>
          <w:sz w:val="24"/>
        </w:rPr>
        <w:t>上海证券交易所行情网关</w:t>
      </w:r>
      <w:r>
        <w:rPr>
          <w:rFonts w:ascii="仿宋_GB2312" w:eastAsia="仿宋_GB2312" w:hAnsi="新宋体" w:hint="eastAsia"/>
          <w:spacing w:val="-4"/>
          <w:sz w:val="24"/>
        </w:rPr>
        <w:t>STEP</w:t>
      </w:r>
      <w:r>
        <w:rPr>
          <w:rFonts w:ascii="仿宋_GB2312" w:eastAsia="仿宋_GB2312" w:hAnsi="新宋体" w:hint="eastAsia"/>
          <w:spacing w:val="-4"/>
          <w:sz w:val="24"/>
        </w:rPr>
        <w:t>数据接口规范</w:t>
      </w:r>
    </w:p>
    <w:p w:rsidR="00B229AE" w:rsidRDefault="00B229AE"/>
    <w:p w:rsidR="00B229AE" w:rsidRDefault="00B229AE"/>
    <w:sectPr w:rsidR="00B229AE" w:rsidSect="00B229AE">
      <w:headerReference w:type="even" r:id="rId12"/>
      <w:headerReference w:type="default" r:id="rId13"/>
      <w:footerReference w:type="default" r:id="rId14"/>
      <w:pgSz w:w="11906" w:h="16838"/>
      <w:pgMar w:top="1418" w:right="1701" w:bottom="1418" w:left="1701" w:header="851" w:footer="851" w:gutter="0"/>
      <w:cols w:space="425"/>
      <w:titlePg/>
      <w:docGrid w:type="linesAndChars" w:linePitch="350"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01" w:rsidRDefault="00DA3401" w:rsidP="00B229AE">
      <w:r>
        <w:separator/>
      </w:r>
    </w:p>
  </w:endnote>
  <w:endnote w:type="continuationSeparator" w:id="0">
    <w:p w:rsidR="00DA3401" w:rsidRDefault="00DA3401" w:rsidP="00B22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AE" w:rsidRDefault="00DA3401">
    <w:pPr>
      <w:pStyle w:val="a5"/>
      <w:tabs>
        <w:tab w:val="center" w:pos="4700"/>
        <w:tab w:val="right" w:pos="9600"/>
      </w:tabs>
      <w:ind w:firstLine="360"/>
      <w:rPr>
        <w:rStyle w:val="a7"/>
        <w:rFonts w:ascii="宋体"/>
      </w:rPr>
    </w:pPr>
    <w:r>
      <w:sym w:font="Symbol" w:char="F0D3"/>
    </w:r>
    <w:r>
      <w:rPr>
        <w:rFonts w:hint="eastAsia"/>
      </w:rPr>
      <w:t>上海证券交易所</w:t>
    </w:r>
    <w:r>
      <w:tab/>
      <w:t xml:space="preserve">                  </w:t>
    </w:r>
    <w:r>
      <w:tab/>
    </w:r>
    <w:r>
      <w:rPr>
        <w:rFonts w:hint="eastAsia"/>
      </w:rPr>
      <w:t>第</w:t>
    </w:r>
    <w:r w:rsidR="00B229AE">
      <w:rPr>
        <w:rStyle w:val="a7"/>
      </w:rPr>
      <w:fldChar w:fldCharType="begin"/>
    </w:r>
    <w:r>
      <w:rPr>
        <w:rStyle w:val="a7"/>
      </w:rPr>
      <w:instrText xml:space="preserve"> PAGE </w:instrText>
    </w:r>
    <w:r w:rsidR="00B229AE">
      <w:rPr>
        <w:rStyle w:val="a7"/>
      </w:rPr>
      <w:fldChar w:fldCharType="separate"/>
    </w:r>
    <w:r w:rsidR="00C5694F">
      <w:rPr>
        <w:rStyle w:val="a7"/>
        <w:noProof/>
      </w:rPr>
      <w:t>4</w:t>
    </w:r>
    <w:r w:rsidR="00B229AE">
      <w:rPr>
        <w:rStyle w:val="a7"/>
      </w:rPr>
      <w:fldChar w:fldCharType="end"/>
    </w:r>
    <w:r>
      <w:rPr>
        <w:rStyle w:val="a7"/>
        <w:rFonts w:ascii="宋体" w:hAnsi="宋体" w:hint="eastAsia"/>
      </w:rPr>
      <w:t>页</w:t>
    </w:r>
    <w:r>
      <w:rPr>
        <w:rStyle w:val="a7"/>
        <w:rFonts w:ascii="宋体" w:hAnsi="宋体"/>
      </w:rPr>
      <w:t xml:space="preserve"> </w:t>
    </w:r>
    <w:r>
      <w:rPr>
        <w:rStyle w:val="a7"/>
        <w:rFonts w:ascii="宋体" w:hAnsi="宋体" w:hint="eastAsia"/>
      </w:rPr>
      <w:t>共</w:t>
    </w:r>
    <w:r w:rsidR="00B229AE">
      <w:rPr>
        <w:rStyle w:val="a7"/>
      </w:rPr>
      <w:fldChar w:fldCharType="begin"/>
    </w:r>
    <w:r>
      <w:rPr>
        <w:rStyle w:val="a7"/>
      </w:rPr>
      <w:instrText xml:space="preserve"> NUMPAGES </w:instrText>
    </w:r>
    <w:r w:rsidR="00B229AE">
      <w:rPr>
        <w:rStyle w:val="a7"/>
      </w:rPr>
      <w:fldChar w:fldCharType="separate"/>
    </w:r>
    <w:r w:rsidR="00C5694F">
      <w:rPr>
        <w:rStyle w:val="a7"/>
        <w:noProof/>
      </w:rPr>
      <w:t>4</w:t>
    </w:r>
    <w:r w:rsidR="00B229AE">
      <w:rPr>
        <w:rStyle w:val="a7"/>
      </w:rPr>
      <w:fldChar w:fldCharType="end"/>
    </w:r>
    <w:r>
      <w:rPr>
        <w:rStyle w:val="a7"/>
        <w:rFonts w:ascii="宋体" w:hAnsi="宋体" w:hint="eastAsia"/>
      </w:rPr>
      <w:t>页</w:t>
    </w:r>
  </w:p>
  <w:p w:rsidR="00B229AE" w:rsidRDefault="00B229AE">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01" w:rsidRDefault="00DA3401" w:rsidP="00B229AE">
      <w:r>
        <w:separator/>
      </w:r>
    </w:p>
  </w:footnote>
  <w:footnote w:type="continuationSeparator" w:id="0">
    <w:p w:rsidR="00DA3401" w:rsidRDefault="00DA3401" w:rsidP="00B22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AE" w:rsidRDefault="00B229AE">
    <w:pPr>
      <w:pStyle w:val="a6"/>
      <w:ind w:firstLine="360"/>
    </w:pPr>
    <w:r>
      <w:rPr>
        <w:rStyle w:val="a7"/>
      </w:rPr>
      <w:fldChar w:fldCharType="begin"/>
    </w:r>
    <w:r w:rsidR="00DA3401">
      <w:rPr>
        <w:rStyle w:val="a7"/>
      </w:rPr>
      <w:instrText xml:space="preserve"> NUMPAGES </w:instrText>
    </w:r>
    <w:r>
      <w:rPr>
        <w:rStyle w:val="a7"/>
      </w:rPr>
      <w:fldChar w:fldCharType="separate"/>
    </w:r>
    <w:r w:rsidR="00DA3401">
      <w:rPr>
        <w:rStyle w:val="a7"/>
      </w:rPr>
      <w:t>9</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AE" w:rsidRDefault="00DA3401">
    <w:pPr>
      <w:pStyle w:val="a6"/>
      <w:pBdr>
        <w:bottom w:val="single" w:sz="6" w:space="3" w:color="auto"/>
      </w:pBdr>
      <w:tabs>
        <w:tab w:val="clear" w:pos="4153"/>
        <w:tab w:val="right" w:pos="9600"/>
      </w:tabs>
      <w:ind w:right="-1" w:firstLine="360"/>
      <w:jc w:val="both"/>
      <w:rPr>
        <w:sz w:val="21"/>
        <w:szCs w:val="21"/>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-34290</wp:posOffset>
          </wp:positionV>
          <wp:extent cx="1443355" cy="236855"/>
          <wp:effectExtent l="19050" t="0" r="4445" b="0"/>
          <wp:wrapNone/>
          <wp:docPr id="1" name="图片 8" descr="Sse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Sse_Logo_l"/>
                  <pic:cNvPicPr>
                    <a:picLocks noChangeAspect="1" noChangeArrowheads="1"/>
                  </pic:cNvPicPr>
                </pic:nvPicPr>
                <pic:blipFill>
                  <a:blip r:embed="rId1"/>
                  <a:srcRect/>
                  <a:stretch>
                    <a:fillRect/>
                  </a:stretch>
                </pic:blipFill>
                <pic:spPr>
                  <a:xfrm>
                    <a:off x="0" y="0"/>
                    <a:ext cx="1443355" cy="236855"/>
                  </a:xfrm>
                  <a:prstGeom prst="rect">
                    <a:avLst/>
                  </a:prstGeom>
                  <a:noFill/>
                  <a:ln w="9525">
                    <a:noFill/>
                    <a:miter lim="800000"/>
                    <a:headEnd/>
                    <a:tailEnd/>
                  </a:ln>
                </pic:spPr>
              </pic:pic>
            </a:graphicData>
          </a:graphic>
        </wp:anchor>
      </w:drawing>
    </w:r>
    <w:r>
      <w:rPr>
        <w:sz w:val="21"/>
        <w:szCs w:val="21"/>
      </w:rPr>
      <w:tab/>
    </w:r>
    <w:r>
      <w:rPr>
        <w:rFonts w:hint="eastAsia"/>
        <w:sz w:val="21"/>
        <w:szCs w:val="21"/>
      </w:rPr>
      <w:t>技术文档</w:t>
    </w:r>
  </w:p>
  <w:p w:rsidR="00B229AE" w:rsidRDefault="00B229AE">
    <w:pPr>
      <w:pStyle w:val="a6"/>
      <w:pBdr>
        <w:bottom w:val="single" w:sz="6" w:space="3" w:color="auto"/>
      </w:pBdr>
      <w:tabs>
        <w:tab w:val="center" w:pos="4700"/>
        <w:tab w:val="right" w:pos="9600"/>
      </w:tabs>
      <w:ind w:right="-1" w:firstLine="420"/>
      <w:jc w:val="both"/>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79CE5A"/>
    <w:multiLevelType w:val="multilevel"/>
    <w:tmpl w:val="D379CE5A"/>
    <w:lvl w:ilvl="0">
      <w:start w:val="1"/>
      <w:numFmt w:val="decimal"/>
      <w:lvlText w:val="%1)"/>
      <w:lvlJc w:val="left"/>
      <w:pPr>
        <w:ind w:left="928" w:hanging="420"/>
      </w:pPr>
    </w:lvl>
    <w:lvl w:ilvl="1">
      <w:start w:val="1"/>
      <w:numFmt w:val="lowerLetter"/>
      <w:lvlText w:val="%2)"/>
      <w:lvlJc w:val="left"/>
      <w:pPr>
        <w:ind w:left="1348" w:hanging="420"/>
      </w:pPr>
    </w:lvl>
    <w:lvl w:ilvl="2">
      <w:start w:val="1"/>
      <w:numFmt w:val="lowerRoman"/>
      <w:lvlText w:val="%3."/>
      <w:lvlJc w:val="right"/>
      <w:pPr>
        <w:ind w:left="1768" w:hanging="420"/>
      </w:pPr>
    </w:lvl>
    <w:lvl w:ilvl="3">
      <w:start w:val="1"/>
      <w:numFmt w:val="decimal"/>
      <w:lvlText w:val="%4."/>
      <w:lvlJc w:val="left"/>
      <w:pPr>
        <w:ind w:left="2188" w:hanging="420"/>
      </w:pPr>
    </w:lvl>
    <w:lvl w:ilvl="4">
      <w:start w:val="1"/>
      <w:numFmt w:val="lowerLetter"/>
      <w:lvlText w:val="%5)"/>
      <w:lvlJc w:val="left"/>
      <w:pPr>
        <w:ind w:left="2608" w:hanging="420"/>
      </w:pPr>
    </w:lvl>
    <w:lvl w:ilvl="5">
      <w:start w:val="1"/>
      <w:numFmt w:val="lowerRoman"/>
      <w:lvlText w:val="%6."/>
      <w:lvlJc w:val="right"/>
      <w:pPr>
        <w:ind w:left="3028" w:hanging="420"/>
      </w:pPr>
    </w:lvl>
    <w:lvl w:ilvl="6">
      <w:start w:val="1"/>
      <w:numFmt w:val="decimal"/>
      <w:lvlText w:val="%7."/>
      <w:lvlJc w:val="left"/>
      <w:pPr>
        <w:ind w:left="3448" w:hanging="420"/>
      </w:pPr>
    </w:lvl>
    <w:lvl w:ilvl="7">
      <w:start w:val="1"/>
      <w:numFmt w:val="lowerLetter"/>
      <w:lvlText w:val="%8)"/>
      <w:lvlJc w:val="left"/>
      <w:pPr>
        <w:ind w:left="3868" w:hanging="420"/>
      </w:pPr>
    </w:lvl>
    <w:lvl w:ilvl="8">
      <w:start w:val="1"/>
      <w:numFmt w:val="lowerRoman"/>
      <w:lvlText w:val="%9."/>
      <w:lvlJc w:val="right"/>
      <w:pPr>
        <w:ind w:left="4288" w:hanging="420"/>
      </w:pPr>
    </w:lvl>
  </w:abstractNum>
  <w:abstractNum w:abstractNumId="1">
    <w:nsid w:val="1A527B0B"/>
    <w:multiLevelType w:val="multilevel"/>
    <w:tmpl w:val="1A527B0B"/>
    <w:lvl w:ilvl="0">
      <w:start w:val="1"/>
      <w:numFmt w:val="decimal"/>
      <w:lvlText w:val="%1)"/>
      <w:lvlJc w:val="left"/>
      <w:pPr>
        <w:ind w:left="928" w:hanging="420"/>
      </w:pPr>
    </w:lvl>
    <w:lvl w:ilvl="1">
      <w:start w:val="1"/>
      <w:numFmt w:val="lowerLetter"/>
      <w:lvlText w:val="%2)"/>
      <w:lvlJc w:val="left"/>
      <w:pPr>
        <w:ind w:left="1348" w:hanging="420"/>
      </w:pPr>
    </w:lvl>
    <w:lvl w:ilvl="2">
      <w:start w:val="1"/>
      <w:numFmt w:val="lowerRoman"/>
      <w:lvlText w:val="%3."/>
      <w:lvlJc w:val="right"/>
      <w:pPr>
        <w:ind w:left="1768" w:hanging="420"/>
      </w:pPr>
    </w:lvl>
    <w:lvl w:ilvl="3">
      <w:start w:val="1"/>
      <w:numFmt w:val="decimal"/>
      <w:lvlText w:val="%4."/>
      <w:lvlJc w:val="left"/>
      <w:pPr>
        <w:ind w:left="2188" w:hanging="420"/>
      </w:pPr>
    </w:lvl>
    <w:lvl w:ilvl="4">
      <w:start w:val="1"/>
      <w:numFmt w:val="lowerLetter"/>
      <w:lvlText w:val="%5)"/>
      <w:lvlJc w:val="left"/>
      <w:pPr>
        <w:ind w:left="2608" w:hanging="420"/>
      </w:pPr>
    </w:lvl>
    <w:lvl w:ilvl="5">
      <w:start w:val="1"/>
      <w:numFmt w:val="lowerRoman"/>
      <w:lvlText w:val="%6."/>
      <w:lvlJc w:val="right"/>
      <w:pPr>
        <w:ind w:left="3028" w:hanging="420"/>
      </w:pPr>
    </w:lvl>
    <w:lvl w:ilvl="6">
      <w:start w:val="1"/>
      <w:numFmt w:val="decimal"/>
      <w:lvlText w:val="%7."/>
      <w:lvlJc w:val="left"/>
      <w:pPr>
        <w:ind w:left="3448" w:hanging="420"/>
      </w:pPr>
    </w:lvl>
    <w:lvl w:ilvl="7">
      <w:start w:val="1"/>
      <w:numFmt w:val="lowerLetter"/>
      <w:lvlText w:val="%8)"/>
      <w:lvlJc w:val="left"/>
      <w:pPr>
        <w:ind w:left="3868" w:hanging="420"/>
      </w:pPr>
    </w:lvl>
    <w:lvl w:ilvl="8">
      <w:start w:val="1"/>
      <w:numFmt w:val="lowerRoman"/>
      <w:lvlText w:val="%9."/>
      <w:lvlJc w:val="right"/>
      <w:pPr>
        <w:ind w:left="4288" w:hanging="420"/>
      </w:pPr>
    </w:lvl>
  </w:abstractNum>
  <w:abstractNum w:abstractNumId="2">
    <w:nsid w:val="6C345FD2"/>
    <w:multiLevelType w:val="multilevel"/>
    <w:tmpl w:val="6C345FD2"/>
    <w:lvl w:ilvl="0">
      <w:start w:val="1"/>
      <w:numFmt w:val="decimal"/>
      <w:pStyle w:val="1"/>
      <w:lvlText w:val="%1"/>
      <w:lvlJc w:val="left"/>
      <w:pPr>
        <w:tabs>
          <w:tab w:val="left" w:pos="432"/>
        </w:tabs>
        <w:ind w:left="432" w:hanging="432"/>
      </w:pPr>
      <w:rPr>
        <w:rFonts w:cs="Times New Roman" w:hint="eastAsia"/>
      </w:rPr>
    </w:lvl>
    <w:lvl w:ilvl="1">
      <w:start w:val="1"/>
      <w:numFmt w:val="decimal"/>
      <w:pStyle w:val="2"/>
      <w:lvlText w:val="%1.%2"/>
      <w:lvlJc w:val="left"/>
      <w:pPr>
        <w:tabs>
          <w:tab w:val="left" w:pos="2277"/>
        </w:tabs>
        <w:ind w:left="2277" w:hanging="576"/>
      </w:pPr>
      <w:rPr>
        <w:rFonts w:cs="Times New Roman" w:hint="eastAsia"/>
      </w:rPr>
    </w:lvl>
    <w:lvl w:ilvl="2">
      <w:start w:val="1"/>
      <w:numFmt w:val="decimal"/>
      <w:pStyle w:val="3"/>
      <w:lvlText w:val="%1.%2.%3"/>
      <w:lvlJc w:val="left"/>
      <w:pPr>
        <w:tabs>
          <w:tab w:val="left" w:pos="3839"/>
        </w:tabs>
        <w:ind w:left="3839" w:hanging="720"/>
      </w:pPr>
      <w:rPr>
        <w:rFonts w:cs="Times New Roman" w:hint="eastAsia"/>
      </w:rPr>
    </w:lvl>
    <w:lvl w:ilvl="3">
      <w:start w:val="1"/>
      <w:numFmt w:val="decimal"/>
      <w:pStyle w:val="4"/>
      <w:lvlText w:val="%1.%2.%3.%4"/>
      <w:lvlJc w:val="left"/>
      <w:pPr>
        <w:tabs>
          <w:tab w:val="left" w:pos="864"/>
        </w:tabs>
        <w:ind w:left="864" w:hanging="864"/>
      </w:pPr>
      <w:rPr>
        <w:rFonts w:cs="Times New Roman" w:hint="eastAsia"/>
      </w:rPr>
    </w:lvl>
    <w:lvl w:ilvl="4">
      <w:start w:val="1"/>
      <w:numFmt w:val="decimal"/>
      <w:pStyle w:val="5"/>
      <w:lvlText w:val="%1.%2.%3.%4.%5"/>
      <w:lvlJc w:val="left"/>
      <w:pPr>
        <w:tabs>
          <w:tab w:val="left" w:pos="1008"/>
        </w:tabs>
        <w:ind w:left="1008" w:hanging="1008"/>
      </w:pPr>
      <w:rPr>
        <w:rFonts w:cs="Times New Roman" w:hint="eastAsia"/>
      </w:rPr>
    </w:lvl>
    <w:lvl w:ilvl="5">
      <w:start w:val="1"/>
      <w:numFmt w:val="decimal"/>
      <w:pStyle w:val="6"/>
      <w:lvlText w:val="%1.%2.%3.%4.%5.%6"/>
      <w:lvlJc w:val="left"/>
      <w:pPr>
        <w:tabs>
          <w:tab w:val="left" w:pos="1152"/>
        </w:tabs>
        <w:ind w:left="1152" w:hanging="1152"/>
      </w:pPr>
      <w:rPr>
        <w:rFonts w:cs="Times New Roman" w:hint="eastAsia"/>
      </w:rPr>
    </w:lvl>
    <w:lvl w:ilvl="6">
      <w:start w:val="1"/>
      <w:numFmt w:val="decimal"/>
      <w:pStyle w:val="7"/>
      <w:lvlText w:val="%1.%2.%3.%4.%5.%6.%7"/>
      <w:lvlJc w:val="left"/>
      <w:pPr>
        <w:tabs>
          <w:tab w:val="left" w:pos="1296"/>
        </w:tabs>
        <w:ind w:left="1296" w:hanging="1296"/>
      </w:pPr>
      <w:rPr>
        <w:rFonts w:cs="Times New Roman" w:hint="eastAsia"/>
      </w:rPr>
    </w:lvl>
    <w:lvl w:ilvl="7">
      <w:start w:val="1"/>
      <w:numFmt w:val="decimal"/>
      <w:pStyle w:val="8"/>
      <w:lvlText w:val="%1.%2.%3.%4.%5.%6.%7.%8"/>
      <w:lvlJc w:val="left"/>
      <w:pPr>
        <w:tabs>
          <w:tab w:val="left" w:pos="1440"/>
        </w:tabs>
        <w:ind w:left="1440" w:hanging="1440"/>
      </w:pPr>
      <w:rPr>
        <w:rFonts w:cs="Times New Roman" w:hint="eastAsia"/>
      </w:rPr>
    </w:lvl>
    <w:lvl w:ilvl="8">
      <w:start w:val="1"/>
      <w:numFmt w:val="decimal"/>
      <w:pStyle w:val="9"/>
      <w:lvlText w:val="%1.%2.%3.%4.%5.%6.%7.%8.%9"/>
      <w:lvlJc w:val="left"/>
      <w:pPr>
        <w:tabs>
          <w:tab w:val="left" w:pos="1584"/>
        </w:tabs>
        <w:ind w:left="1584" w:hanging="1584"/>
      </w:pPr>
      <w:rPr>
        <w:rFonts w:cs="Times New Roman" w:hint="eastAsia"/>
      </w:rPr>
    </w:lvl>
  </w:abstractNum>
  <w:abstractNum w:abstractNumId="3">
    <w:nsid w:val="772C36D5"/>
    <w:multiLevelType w:val="multilevel"/>
    <w:tmpl w:val="772C36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386E"/>
    <w:rsid w:val="00237A80"/>
    <w:rsid w:val="00250878"/>
    <w:rsid w:val="002919B5"/>
    <w:rsid w:val="002C0CDA"/>
    <w:rsid w:val="002C24A5"/>
    <w:rsid w:val="00387392"/>
    <w:rsid w:val="0050386E"/>
    <w:rsid w:val="00521598"/>
    <w:rsid w:val="007C31F2"/>
    <w:rsid w:val="009D2934"/>
    <w:rsid w:val="00A95362"/>
    <w:rsid w:val="00AF1B60"/>
    <w:rsid w:val="00AF1CA6"/>
    <w:rsid w:val="00B229AE"/>
    <w:rsid w:val="00B47572"/>
    <w:rsid w:val="00C5694F"/>
    <w:rsid w:val="00C831DD"/>
    <w:rsid w:val="00DA3401"/>
    <w:rsid w:val="04DF5DF2"/>
    <w:rsid w:val="05BA09EE"/>
    <w:rsid w:val="149E6CB2"/>
    <w:rsid w:val="1EF33F3A"/>
    <w:rsid w:val="28860D75"/>
    <w:rsid w:val="2E656CC9"/>
    <w:rsid w:val="2E693ACB"/>
    <w:rsid w:val="3D096DB7"/>
    <w:rsid w:val="416906CE"/>
    <w:rsid w:val="47393842"/>
    <w:rsid w:val="54F40403"/>
    <w:rsid w:val="57951B8D"/>
    <w:rsid w:val="58B634CE"/>
    <w:rsid w:val="5C463B9A"/>
    <w:rsid w:val="5D9C40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AE"/>
    <w:pPr>
      <w:widowControl w:val="0"/>
      <w:jc w:val="both"/>
    </w:pPr>
    <w:rPr>
      <w:rFonts w:ascii="Times New Roman" w:hAnsi="Times New Roman"/>
      <w:kern w:val="2"/>
      <w:sz w:val="21"/>
      <w:szCs w:val="24"/>
    </w:rPr>
  </w:style>
  <w:style w:type="paragraph" w:styleId="1">
    <w:name w:val="heading 1"/>
    <w:basedOn w:val="a"/>
    <w:next w:val="a"/>
    <w:link w:val="1Char"/>
    <w:qFormat/>
    <w:rsid w:val="00B229AE"/>
    <w:pPr>
      <w:keepNext/>
      <w:numPr>
        <w:numId w:val="1"/>
      </w:numPr>
      <w:spacing w:beforeLines="50" w:afterLines="50"/>
      <w:jc w:val="left"/>
      <w:outlineLvl w:val="0"/>
    </w:pPr>
    <w:rPr>
      <w:b/>
      <w:sz w:val="32"/>
    </w:rPr>
  </w:style>
  <w:style w:type="paragraph" w:styleId="2">
    <w:name w:val="heading 2"/>
    <w:basedOn w:val="a"/>
    <w:next w:val="a"/>
    <w:link w:val="2Char"/>
    <w:qFormat/>
    <w:rsid w:val="00B229AE"/>
    <w:pPr>
      <w:keepNext/>
      <w:keepLines/>
      <w:numPr>
        <w:ilvl w:val="1"/>
        <w:numId w:val="1"/>
      </w:numPr>
      <w:spacing w:before="100" w:beforeAutospacing="1" w:after="100" w:afterAutospacing="1"/>
      <w:jc w:val="left"/>
      <w:outlineLvl w:val="1"/>
    </w:pPr>
    <w:rPr>
      <w:rFonts w:ascii="Arial" w:hAnsi="Arial"/>
      <w:b/>
      <w:bCs/>
      <w:sz w:val="28"/>
      <w:szCs w:val="32"/>
    </w:rPr>
  </w:style>
  <w:style w:type="paragraph" w:styleId="3">
    <w:name w:val="heading 3"/>
    <w:basedOn w:val="a"/>
    <w:next w:val="a"/>
    <w:link w:val="3Char"/>
    <w:qFormat/>
    <w:rsid w:val="00B229AE"/>
    <w:pPr>
      <w:keepNext/>
      <w:keepLines/>
      <w:numPr>
        <w:ilvl w:val="2"/>
        <w:numId w:val="1"/>
      </w:numPr>
      <w:spacing w:before="100" w:beforeAutospacing="1" w:after="100" w:afterAutospacing="1"/>
      <w:jc w:val="left"/>
      <w:outlineLvl w:val="2"/>
    </w:pPr>
    <w:rPr>
      <w:b/>
      <w:bCs/>
      <w:color w:val="000000"/>
      <w:sz w:val="24"/>
      <w:szCs w:val="32"/>
    </w:rPr>
  </w:style>
  <w:style w:type="paragraph" w:styleId="4">
    <w:name w:val="heading 4"/>
    <w:basedOn w:val="a"/>
    <w:next w:val="a"/>
    <w:link w:val="4Char"/>
    <w:qFormat/>
    <w:rsid w:val="00B229AE"/>
    <w:pPr>
      <w:keepNext/>
      <w:numPr>
        <w:ilvl w:val="3"/>
        <w:numId w:val="1"/>
      </w:numPr>
      <w:jc w:val="left"/>
      <w:outlineLvl w:val="3"/>
    </w:pPr>
    <w:rPr>
      <w:b/>
      <w:iCs/>
    </w:rPr>
  </w:style>
  <w:style w:type="paragraph" w:styleId="5">
    <w:name w:val="heading 5"/>
    <w:basedOn w:val="a"/>
    <w:next w:val="a"/>
    <w:link w:val="5Char"/>
    <w:qFormat/>
    <w:rsid w:val="00B229AE"/>
    <w:pPr>
      <w:keepNext/>
      <w:numPr>
        <w:ilvl w:val="4"/>
        <w:numId w:val="1"/>
      </w:numPr>
      <w:outlineLvl w:val="4"/>
    </w:pPr>
    <w:rPr>
      <w:i/>
      <w:sz w:val="22"/>
    </w:rPr>
  </w:style>
  <w:style w:type="paragraph" w:styleId="6">
    <w:name w:val="heading 6"/>
    <w:basedOn w:val="a"/>
    <w:next w:val="a"/>
    <w:link w:val="6Char"/>
    <w:qFormat/>
    <w:rsid w:val="00B229AE"/>
    <w:pPr>
      <w:keepNext/>
      <w:numPr>
        <w:ilvl w:val="5"/>
        <w:numId w:val="1"/>
      </w:numPr>
      <w:outlineLvl w:val="5"/>
    </w:pPr>
    <w:rPr>
      <w:i/>
      <w:sz w:val="22"/>
    </w:rPr>
  </w:style>
  <w:style w:type="paragraph" w:styleId="7">
    <w:name w:val="heading 7"/>
    <w:basedOn w:val="a"/>
    <w:next w:val="a"/>
    <w:link w:val="7Char"/>
    <w:qFormat/>
    <w:rsid w:val="00B229AE"/>
    <w:pPr>
      <w:keepNext/>
      <w:numPr>
        <w:ilvl w:val="6"/>
        <w:numId w:val="1"/>
      </w:numPr>
      <w:outlineLvl w:val="6"/>
    </w:pPr>
    <w:rPr>
      <w:i/>
      <w:sz w:val="22"/>
    </w:rPr>
  </w:style>
  <w:style w:type="paragraph" w:styleId="8">
    <w:name w:val="heading 8"/>
    <w:basedOn w:val="a"/>
    <w:next w:val="a"/>
    <w:link w:val="8Char"/>
    <w:qFormat/>
    <w:rsid w:val="00B229AE"/>
    <w:pPr>
      <w:keepNext/>
      <w:numPr>
        <w:ilvl w:val="7"/>
        <w:numId w:val="1"/>
      </w:numPr>
      <w:outlineLvl w:val="7"/>
    </w:pPr>
    <w:rPr>
      <w:i/>
      <w:iCs/>
    </w:rPr>
  </w:style>
  <w:style w:type="paragraph" w:styleId="9">
    <w:name w:val="heading 9"/>
    <w:basedOn w:val="a"/>
    <w:next w:val="a"/>
    <w:link w:val="9Char"/>
    <w:qFormat/>
    <w:rsid w:val="00B229AE"/>
    <w:pPr>
      <w:keepNext/>
      <w:numPr>
        <w:ilvl w:val="8"/>
        <w:numId w:val="1"/>
      </w:numPr>
      <w:outlineLvl w:val="8"/>
    </w:pPr>
    <w:rPr>
      <w:rFonts w:ascii="宋体" w:hAnsi="宋体"/>
      <w:bCs/>
      <w:i/>
      <w:i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229AE"/>
    <w:rPr>
      <w:i/>
      <w:iCs/>
      <w:sz w:val="18"/>
    </w:rPr>
  </w:style>
  <w:style w:type="paragraph" w:styleId="a4">
    <w:name w:val="Balloon Text"/>
    <w:basedOn w:val="a"/>
    <w:link w:val="Char0"/>
    <w:uiPriority w:val="99"/>
    <w:semiHidden/>
    <w:unhideWhenUsed/>
    <w:qFormat/>
    <w:rsid w:val="00B229AE"/>
    <w:rPr>
      <w:sz w:val="18"/>
      <w:szCs w:val="18"/>
    </w:rPr>
  </w:style>
  <w:style w:type="paragraph" w:styleId="a5">
    <w:name w:val="footer"/>
    <w:basedOn w:val="a"/>
    <w:link w:val="Char1"/>
    <w:qFormat/>
    <w:rsid w:val="00B229AE"/>
    <w:pPr>
      <w:tabs>
        <w:tab w:val="center" w:pos="4153"/>
        <w:tab w:val="right" w:pos="8306"/>
      </w:tabs>
      <w:snapToGrid w:val="0"/>
      <w:jc w:val="left"/>
    </w:pPr>
    <w:rPr>
      <w:sz w:val="18"/>
      <w:szCs w:val="18"/>
    </w:rPr>
  </w:style>
  <w:style w:type="paragraph" w:styleId="a6">
    <w:name w:val="header"/>
    <w:basedOn w:val="a"/>
    <w:link w:val="Char2"/>
    <w:qFormat/>
    <w:rsid w:val="00B229AE"/>
    <w:pPr>
      <w:pBdr>
        <w:bottom w:val="single" w:sz="6" w:space="1" w:color="auto"/>
      </w:pBdr>
      <w:tabs>
        <w:tab w:val="center" w:pos="4153"/>
        <w:tab w:val="right" w:pos="8306"/>
      </w:tabs>
      <w:snapToGrid w:val="0"/>
      <w:jc w:val="center"/>
    </w:pPr>
    <w:rPr>
      <w:sz w:val="18"/>
      <w:szCs w:val="18"/>
    </w:rPr>
  </w:style>
  <w:style w:type="paragraph" w:styleId="10">
    <w:name w:val="index 1"/>
    <w:basedOn w:val="a"/>
    <w:next w:val="a"/>
    <w:semiHidden/>
    <w:qFormat/>
    <w:rsid w:val="00B229AE"/>
  </w:style>
  <w:style w:type="character" w:styleId="a7">
    <w:name w:val="page number"/>
    <w:qFormat/>
    <w:rsid w:val="00B229AE"/>
    <w:rPr>
      <w:rFonts w:cs="Times New Roman"/>
    </w:rPr>
  </w:style>
  <w:style w:type="character" w:styleId="a8">
    <w:name w:val="Hyperlink"/>
    <w:uiPriority w:val="99"/>
    <w:qFormat/>
    <w:rsid w:val="00B229AE"/>
    <w:rPr>
      <w:rFonts w:cs="Times New Roman"/>
      <w:color w:val="0000FF"/>
      <w:u w:val="single"/>
    </w:rPr>
  </w:style>
  <w:style w:type="character" w:customStyle="1" w:styleId="1Char">
    <w:name w:val="标题 1 Char"/>
    <w:basedOn w:val="a0"/>
    <w:link w:val="1"/>
    <w:qFormat/>
    <w:rsid w:val="00B229AE"/>
    <w:rPr>
      <w:rFonts w:ascii="Times New Roman" w:eastAsia="宋体" w:hAnsi="Times New Roman" w:cs="Times New Roman"/>
      <w:b/>
      <w:sz w:val="32"/>
      <w:szCs w:val="24"/>
    </w:rPr>
  </w:style>
  <w:style w:type="character" w:customStyle="1" w:styleId="2Char">
    <w:name w:val="标题 2 Char"/>
    <w:basedOn w:val="a0"/>
    <w:link w:val="2"/>
    <w:rsid w:val="00B229AE"/>
    <w:rPr>
      <w:rFonts w:ascii="Arial" w:eastAsia="宋体" w:hAnsi="Arial" w:cs="Times New Roman"/>
      <w:b/>
      <w:bCs/>
      <w:sz w:val="28"/>
      <w:szCs w:val="32"/>
    </w:rPr>
  </w:style>
  <w:style w:type="character" w:customStyle="1" w:styleId="3Char">
    <w:name w:val="标题 3 Char"/>
    <w:basedOn w:val="a0"/>
    <w:link w:val="3"/>
    <w:qFormat/>
    <w:rsid w:val="00B229AE"/>
    <w:rPr>
      <w:rFonts w:ascii="Times New Roman" w:eastAsia="宋体" w:hAnsi="Times New Roman" w:cs="Times New Roman"/>
      <w:b/>
      <w:bCs/>
      <w:color w:val="000000"/>
      <w:sz w:val="24"/>
      <w:szCs w:val="32"/>
    </w:rPr>
  </w:style>
  <w:style w:type="character" w:customStyle="1" w:styleId="4Char">
    <w:name w:val="标题 4 Char"/>
    <w:basedOn w:val="a0"/>
    <w:link w:val="4"/>
    <w:qFormat/>
    <w:rsid w:val="00B229AE"/>
    <w:rPr>
      <w:rFonts w:ascii="Times New Roman" w:eastAsia="宋体" w:hAnsi="Times New Roman" w:cs="Times New Roman"/>
      <w:b/>
      <w:iCs/>
      <w:szCs w:val="24"/>
    </w:rPr>
  </w:style>
  <w:style w:type="character" w:customStyle="1" w:styleId="5Char">
    <w:name w:val="标题 5 Char"/>
    <w:basedOn w:val="a0"/>
    <w:link w:val="5"/>
    <w:qFormat/>
    <w:rsid w:val="00B229AE"/>
    <w:rPr>
      <w:rFonts w:ascii="Times New Roman" w:eastAsia="宋体" w:hAnsi="Times New Roman" w:cs="Times New Roman"/>
      <w:i/>
      <w:sz w:val="22"/>
      <w:szCs w:val="24"/>
    </w:rPr>
  </w:style>
  <w:style w:type="character" w:customStyle="1" w:styleId="6Char">
    <w:name w:val="标题 6 Char"/>
    <w:basedOn w:val="a0"/>
    <w:link w:val="6"/>
    <w:qFormat/>
    <w:rsid w:val="00B229AE"/>
    <w:rPr>
      <w:rFonts w:ascii="Times New Roman" w:eastAsia="宋体" w:hAnsi="Times New Roman" w:cs="Times New Roman"/>
      <w:i/>
      <w:sz w:val="22"/>
      <w:szCs w:val="24"/>
    </w:rPr>
  </w:style>
  <w:style w:type="character" w:customStyle="1" w:styleId="7Char">
    <w:name w:val="标题 7 Char"/>
    <w:basedOn w:val="a0"/>
    <w:link w:val="7"/>
    <w:qFormat/>
    <w:rsid w:val="00B229AE"/>
    <w:rPr>
      <w:rFonts w:ascii="Times New Roman" w:eastAsia="宋体" w:hAnsi="Times New Roman" w:cs="Times New Roman"/>
      <w:i/>
      <w:sz w:val="22"/>
      <w:szCs w:val="24"/>
    </w:rPr>
  </w:style>
  <w:style w:type="character" w:customStyle="1" w:styleId="8Char">
    <w:name w:val="标题 8 Char"/>
    <w:basedOn w:val="a0"/>
    <w:link w:val="8"/>
    <w:qFormat/>
    <w:rsid w:val="00B229AE"/>
    <w:rPr>
      <w:rFonts w:ascii="Times New Roman" w:eastAsia="宋体" w:hAnsi="Times New Roman" w:cs="Times New Roman"/>
      <w:i/>
      <w:iCs/>
      <w:szCs w:val="24"/>
    </w:rPr>
  </w:style>
  <w:style w:type="character" w:customStyle="1" w:styleId="9Char">
    <w:name w:val="标题 9 Char"/>
    <w:basedOn w:val="a0"/>
    <w:link w:val="9"/>
    <w:qFormat/>
    <w:rsid w:val="00B229AE"/>
    <w:rPr>
      <w:rFonts w:ascii="宋体" w:eastAsia="宋体" w:hAnsi="宋体" w:cs="Times New Roman"/>
      <w:bCs/>
      <w:i/>
      <w:iCs/>
      <w:color w:val="808080"/>
      <w:sz w:val="18"/>
      <w:szCs w:val="24"/>
    </w:rPr>
  </w:style>
  <w:style w:type="character" w:customStyle="1" w:styleId="Char">
    <w:name w:val="正文文本 Char"/>
    <w:basedOn w:val="a0"/>
    <w:link w:val="a3"/>
    <w:qFormat/>
    <w:rsid w:val="00B229AE"/>
    <w:rPr>
      <w:rFonts w:ascii="Times New Roman" w:eastAsia="宋体" w:hAnsi="Times New Roman" w:cs="Times New Roman"/>
      <w:i/>
      <w:iCs/>
      <w:sz w:val="18"/>
      <w:szCs w:val="24"/>
    </w:rPr>
  </w:style>
  <w:style w:type="character" w:customStyle="1" w:styleId="Char1">
    <w:name w:val="页脚 Char"/>
    <w:basedOn w:val="a0"/>
    <w:link w:val="a5"/>
    <w:qFormat/>
    <w:rsid w:val="00B229AE"/>
    <w:rPr>
      <w:rFonts w:ascii="Times New Roman" w:eastAsia="宋体" w:hAnsi="Times New Roman" w:cs="Times New Roman"/>
      <w:sz w:val="18"/>
      <w:szCs w:val="18"/>
    </w:rPr>
  </w:style>
  <w:style w:type="character" w:customStyle="1" w:styleId="Char2">
    <w:name w:val="页眉 Char"/>
    <w:basedOn w:val="a0"/>
    <w:link w:val="a6"/>
    <w:qFormat/>
    <w:rsid w:val="00B229AE"/>
    <w:rPr>
      <w:rFonts w:ascii="Times New Roman" w:eastAsia="宋体" w:hAnsi="Times New Roman" w:cs="Times New Roman"/>
      <w:sz w:val="18"/>
      <w:szCs w:val="18"/>
    </w:rPr>
  </w:style>
  <w:style w:type="paragraph" w:customStyle="1" w:styleId="Normal0">
    <w:name w:val="Normal0"/>
    <w:qFormat/>
    <w:rsid w:val="00B229AE"/>
    <w:rPr>
      <w:rFonts w:ascii="Times New Roman" w:hAnsi="Times New Roman"/>
      <w:lang w:eastAsia="en-US"/>
    </w:rPr>
  </w:style>
  <w:style w:type="character" w:customStyle="1" w:styleId="smallfont1">
    <w:name w:val="smallfont1"/>
    <w:qFormat/>
    <w:rsid w:val="00B229AE"/>
    <w:rPr>
      <w:rFonts w:cs="Times New Roman"/>
      <w:spacing w:val="280"/>
      <w:sz w:val="18"/>
      <w:szCs w:val="18"/>
    </w:rPr>
  </w:style>
  <w:style w:type="paragraph" w:styleId="a9">
    <w:name w:val="List Paragraph"/>
    <w:basedOn w:val="a"/>
    <w:uiPriority w:val="34"/>
    <w:qFormat/>
    <w:rsid w:val="00B229AE"/>
    <w:pPr>
      <w:ind w:firstLineChars="200" w:firstLine="420"/>
    </w:pPr>
  </w:style>
  <w:style w:type="character" w:customStyle="1" w:styleId="Char0">
    <w:name w:val="批注框文本 Char"/>
    <w:basedOn w:val="a0"/>
    <w:link w:val="a4"/>
    <w:uiPriority w:val="99"/>
    <w:semiHidden/>
    <w:qFormat/>
    <w:rsid w:val="00B229AE"/>
    <w:rPr>
      <w:rFonts w:ascii="Times New Roman" w:eastAsia="宋体" w:hAnsi="Times New Roman" w:cs="Times New Roman"/>
      <w:sz w:val="18"/>
      <w:szCs w:val="18"/>
    </w:rPr>
  </w:style>
  <w:style w:type="paragraph" w:styleId="aa">
    <w:name w:val="Document Map"/>
    <w:basedOn w:val="a"/>
    <w:link w:val="Char3"/>
    <w:uiPriority w:val="99"/>
    <w:semiHidden/>
    <w:unhideWhenUsed/>
    <w:rsid w:val="00C5694F"/>
    <w:rPr>
      <w:rFonts w:ascii="宋体"/>
      <w:sz w:val="18"/>
      <w:szCs w:val="18"/>
    </w:rPr>
  </w:style>
  <w:style w:type="character" w:customStyle="1" w:styleId="Char3">
    <w:name w:val="文档结构图 Char"/>
    <w:basedOn w:val="a0"/>
    <w:link w:val="aa"/>
    <w:uiPriority w:val="99"/>
    <w:semiHidden/>
    <w:rsid w:val="00C5694F"/>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ch_support@sse.com.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王敏慧(拟稿)</dc:creator>
  <cp:lastModifiedBy>王有杰(拟稿)</cp:lastModifiedBy>
  <cp:revision>7</cp:revision>
  <dcterms:created xsi:type="dcterms:W3CDTF">2020-05-30T00:59:00Z</dcterms:created>
  <dcterms:modified xsi:type="dcterms:W3CDTF">2020-08-14T08:33:00Z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