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6E" w:rsidRDefault="0050386E" w:rsidP="0050386E">
      <w:pPr>
        <w:pStyle w:val="10"/>
        <w:ind w:firstLine="508"/>
        <w:rPr>
          <w:rFonts w:ascii="宋体"/>
        </w:rPr>
      </w:pPr>
      <w:r w:rsidRPr="00732553">
        <w:pict>
          <v:shapetype id="_x0000_t202" coordsize="21600,21600" o:spt="202" path="m,l,21600r21600,l21600,xe">
            <v:stroke joinstyle="miter"/>
            <v:path gradientshapeok="t" o:connecttype="rect"/>
          </v:shapetype>
          <v:shape id="_x0000_s1027" type="#_x0000_t202" style="position:absolute;left:0;text-align:left;margin-left:50.25pt;margin-top:12.15pt;width:334.95pt;height:35.8pt;z-index:251658240" stroked="f">
            <v:fill color2="black"/>
            <v:textbox inset="0,0,0,0">
              <w:txbxContent>
                <w:p w:rsidR="0050386E" w:rsidRDefault="0050386E" w:rsidP="0050386E">
                  <w:pPr>
                    <w:pStyle w:val="a3"/>
                    <w:spacing w:before="156" w:after="156" w:line="100" w:lineRule="atLeast"/>
                    <w:ind w:firstLine="508"/>
                    <w:jc w:val="center"/>
                    <w:rPr>
                      <w:i w:val="0"/>
                      <w:sz w:val="24"/>
                    </w:rPr>
                  </w:pPr>
                  <w:r>
                    <w:rPr>
                      <w:rFonts w:hint="eastAsia"/>
                      <w:i w:val="0"/>
                      <w:sz w:val="24"/>
                    </w:rPr>
                    <w:t>上海证券交易所技术文档</w:t>
                  </w:r>
                </w:p>
                <w:p w:rsidR="0050386E" w:rsidRDefault="0050386E" w:rsidP="0050386E">
                  <w:pPr>
                    <w:spacing w:before="48" w:after="48" w:line="100" w:lineRule="atLeast"/>
                    <w:ind w:firstLine="508"/>
                  </w:pPr>
                </w:p>
                <w:p w:rsidR="0050386E" w:rsidRDefault="0050386E" w:rsidP="0050386E">
                  <w:pPr>
                    <w:spacing w:before="48" w:after="48" w:line="100" w:lineRule="atLeast"/>
                    <w:ind w:firstLine="508"/>
                    <w:jc w:val="center"/>
                  </w:pPr>
                </w:p>
                <w:p w:rsidR="0050386E" w:rsidRDefault="0050386E" w:rsidP="0050386E">
                  <w:pPr>
                    <w:spacing w:before="48" w:after="48" w:line="100" w:lineRule="atLeast"/>
                    <w:ind w:firstLine="508"/>
                    <w:jc w:val="center"/>
                  </w:pPr>
                </w:p>
                <w:p w:rsidR="0050386E" w:rsidRDefault="0050386E" w:rsidP="0050386E">
                  <w:pPr>
                    <w:spacing w:before="48" w:after="48" w:line="100" w:lineRule="atLeast"/>
                    <w:ind w:firstLine="508"/>
                    <w:jc w:val="center"/>
                  </w:pPr>
                </w:p>
                <w:p w:rsidR="0050386E" w:rsidRDefault="0050386E" w:rsidP="0050386E">
                  <w:pPr>
                    <w:spacing w:before="48" w:after="48" w:line="100" w:lineRule="atLeast"/>
                    <w:ind w:firstLine="508"/>
                    <w:jc w:val="center"/>
                  </w:pPr>
                </w:p>
              </w:txbxContent>
            </v:textbox>
          </v:shape>
        </w:pict>
      </w:r>
    </w:p>
    <w:p w:rsidR="0050386E" w:rsidRDefault="0050386E" w:rsidP="0050386E">
      <w:pPr>
        <w:ind w:firstLine="508"/>
        <w:rPr>
          <w:rFonts w:ascii="宋体"/>
        </w:rPr>
      </w:pPr>
    </w:p>
    <w:p w:rsidR="0050386E" w:rsidRDefault="0050386E" w:rsidP="0050386E">
      <w:pPr>
        <w:ind w:firstLine="508"/>
        <w:rPr>
          <w:rFonts w:ascii="宋体"/>
        </w:rPr>
      </w:pPr>
    </w:p>
    <w:p w:rsidR="0050386E" w:rsidRDefault="0050386E" w:rsidP="0050386E">
      <w:pPr>
        <w:ind w:firstLine="508"/>
        <w:rPr>
          <w:rFonts w:ascii="宋体"/>
        </w:rPr>
      </w:pPr>
      <w:r>
        <w:rPr>
          <w:noProof/>
        </w:rPr>
        <w:drawing>
          <wp:anchor distT="0" distB="0" distL="114935" distR="114935" simplePos="0" relativeHeight="251662336" behindDoc="0" locked="0" layoutInCell="1" allowOverlap="1">
            <wp:simplePos x="0" y="0"/>
            <wp:positionH relativeFrom="column">
              <wp:posOffset>2383155</wp:posOffset>
            </wp:positionH>
            <wp:positionV relativeFrom="paragraph">
              <wp:posOffset>54610</wp:posOffset>
            </wp:positionV>
            <wp:extent cx="593725" cy="639445"/>
            <wp:effectExtent l="19050" t="0" r="0" b="0"/>
            <wp:wrapNone/>
            <wp:docPr id="4"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39"/>
                    <pic:cNvPicPr>
                      <a:picLocks noChangeAspect="1" noChangeArrowheads="1"/>
                    </pic:cNvPicPr>
                  </pic:nvPicPr>
                  <pic:blipFill>
                    <a:blip r:embed="rId5" cstate="print"/>
                    <a:srcRect/>
                    <a:stretch>
                      <a:fillRect/>
                    </a:stretch>
                  </pic:blipFill>
                  <pic:spPr>
                    <a:xfrm>
                      <a:off x="0" y="0"/>
                      <a:ext cx="593725" cy="639445"/>
                    </a:xfrm>
                    <a:prstGeom prst="rect">
                      <a:avLst/>
                    </a:prstGeom>
                    <a:solidFill>
                      <a:srgbClr val="FFFFFF"/>
                    </a:solidFill>
                    <a:ln w="9525">
                      <a:noFill/>
                      <a:miter lim="800000"/>
                      <a:headEnd/>
                      <a:tailEnd/>
                    </a:ln>
                  </pic:spPr>
                </pic:pic>
              </a:graphicData>
            </a:graphic>
          </wp:anchor>
        </w:drawing>
      </w:r>
    </w:p>
    <w:p w:rsidR="0050386E" w:rsidRDefault="0050386E" w:rsidP="0050386E">
      <w:pPr>
        <w:pStyle w:val="Normal0"/>
        <w:spacing w:after="120"/>
        <w:rPr>
          <w:rFonts w:ascii="宋体"/>
          <w:b/>
          <w:sz w:val="52"/>
          <w:lang w:eastAsia="zh-CN"/>
        </w:rPr>
      </w:pPr>
    </w:p>
    <w:p w:rsidR="0050386E" w:rsidRDefault="0050386E" w:rsidP="0050386E">
      <w:pPr>
        <w:pStyle w:val="Normal0"/>
        <w:spacing w:after="120"/>
        <w:rPr>
          <w:rFonts w:ascii="宋体"/>
          <w:b/>
          <w:sz w:val="52"/>
          <w:lang w:eastAsia="zh-CN"/>
        </w:rPr>
      </w:pPr>
    </w:p>
    <w:p w:rsidR="0050386E" w:rsidRDefault="0050386E" w:rsidP="0050386E">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 xml:space="preserve">上海证券交易所 </w:t>
      </w:r>
    </w:p>
    <w:p w:rsidR="0050386E" w:rsidRDefault="0050386E" w:rsidP="0050386E">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风险警示</w:t>
      </w:r>
      <w:proofErr w:type="gramStart"/>
      <w:r>
        <w:rPr>
          <w:rFonts w:ascii="黑体" w:eastAsia="黑体" w:hAnsi="黑体" w:hint="eastAsia"/>
          <w:b/>
          <w:bCs/>
          <w:sz w:val="36"/>
          <w:szCs w:val="36"/>
          <w:lang w:eastAsia="zh-CN"/>
        </w:rPr>
        <w:t>板股票</w:t>
      </w:r>
      <w:r w:rsidRPr="00617EE8">
        <w:rPr>
          <w:rFonts w:ascii="黑体" w:eastAsia="黑体" w:hAnsi="黑体" w:hint="eastAsia"/>
          <w:b/>
          <w:bCs/>
          <w:sz w:val="36"/>
          <w:szCs w:val="36"/>
          <w:lang w:eastAsia="zh-CN"/>
        </w:rPr>
        <w:t>退</w:t>
      </w:r>
      <w:proofErr w:type="gramEnd"/>
      <w:r w:rsidRPr="00617EE8">
        <w:rPr>
          <w:rFonts w:ascii="黑体" w:eastAsia="黑体" w:hAnsi="黑体" w:hint="eastAsia"/>
          <w:b/>
          <w:bCs/>
          <w:sz w:val="36"/>
          <w:szCs w:val="36"/>
          <w:lang w:eastAsia="zh-CN"/>
        </w:rPr>
        <w:t>市</w:t>
      </w:r>
      <w:r>
        <w:rPr>
          <w:rFonts w:ascii="黑体" w:eastAsia="黑体" w:hAnsi="黑体" w:hint="eastAsia"/>
          <w:b/>
          <w:bCs/>
          <w:sz w:val="36"/>
          <w:szCs w:val="36"/>
          <w:lang w:eastAsia="zh-CN"/>
        </w:rPr>
        <w:t>后</w:t>
      </w:r>
      <w:r w:rsidRPr="00617EE8">
        <w:rPr>
          <w:rFonts w:ascii="黑体" w:eastAsia="黑体" w:hAnsi="黑体" w:hint="eastAsia"/>
          <w:b/>
          <w:bCs/>
          <w:sz w:val="36"/>
          <w:szCs w:val="36"/>
          <w:lang w:eastAsia="zh-CN"/>
        </w:rPr>
        <w:t>重新上市首日</w:t>
      </w:r>
    </w:p>
    <w:p w:rsidR="0050386E" w:rsidRDefault="0050386E" w:rsidP="0050386E">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市场参与者技术实施指南</w:t>
      </w:r>
    </w:p>
    <w:p w:rsidR="0050386E" w:rsidRDefault="0050386E" w:rsidP="0050386E">
      <w:pPr>
        <w:pStyle w:val="Normal0"/>
        <w:spacing w:after="120"/>
        <w:jc w:val="center"/>
        <w:rPr>
          <w:rFonts w:ascii="黑体" w:eastAsia="黑体" w:hAnsi="黑体"/>
          <w:b/>
          <w:bCs/>
          <w:sz w:val="36"/>
          <w:szCs w:val="36"/>
          <w:lang w:eastAsia="zh-CN"/>
        </w:rPr>
      </w:pPr>
      <w:r>
        <w:rPr>
          <w:rFonts w:ascii="黑体" w:eastAsia="黑体" w:hAnsi="黑体"/>
          <w:b/>
          <w:bCs/>
          <w:sz w:val="36"/>
          <w:szCs w:val="36"/>
          <w:lang w:eastAsia="zh-CN"/>
        </w:rPr>
        <w:t>1.0</w:t>
      </w:r>
      <w:r>
        <w:rPr>
          <w:rFonts w:ascii="黑体" w:eastAsia="黑体" w:hAnsi="黑体" w:hint="eastAsia"/>
          <w:b/>
          <w:bCs/>
          <w:sz w:val="36"/>
          <w:szCs w:val="36"/>
          <w:lang w:eastAsia="zh-CN"/>
        </w:rPr>
        <w:t>版</w:t>
      </w:r>
    </w:p>
    <w:p w:rsidR="0050386E" w:rsidRDefault="0050386E" w:rsidP="0050386E">
      <w:pPr>
        <w:pStyle w:val="Normal0"/>
        <w:spacing w:after="120"/>
        <w:jc w:val="center"/>
        <w:rPr>
          <w:rFonts w:ascii="宋体"/>
          <w:sz w:val="30"/>
          <w:lang w:eastAsia="zh-CN"/>
        </w:rPr>
      </w:pPr>
    </w:p>
    <w:p w:rsidR="0050386E" w:rsidRDefault="0050386E" w:rsidP="0050386E">
      <w:pPr>
        <w:pStyle w:val="Normal0"/>
        <w:spacing w:after="120"/>
        <w:jc w:val="center"/>
        <w:rPr>
          <w:rFonts w:ascii="宋体"/>
          <w:sz w:val="30"/>
          <w:lang w:eastAsia="zh-CN"/>
        </w:rPr>
      </w:pPr>
      <w:r>
        <w:rPr>
          <w:noProof/>
          <w:lang w:eastAsia="zh-CN"/>
        </w:rPr>
        <w:drawing>
          <wp:anchor distT="0" distB="0" distL="114300" distR="114300" simplePos="0" relativeHeight="251661312" behindDoc="0" locked="0" layoutInCell="1" allowOverlap="1">
            <wp:simplePos x="0" y="0"/>
            <wp:positionH relativeFrom="column">
              <wp:posOffset>1991360</wp:posOffset>
            </wp:positionH>
            <wp:positionV relativeFrom="paragraph">
              <wp:posOffset>323215</wp:posOffset>
            </wp:positionV>
            <wp:extent cx="1897380" cy="2331720"/>
            <wp:effectExtent l="19050" t="0" r="0" b="0"/>
            <wp:wrapNone/>
            <wp:docPr id="3" name="图片 434" descr="sse_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34" descr="sse_building"/>
                    <pic:cNvPicPr>
                      <a:picLocks noChangeAspect="1" noChangeArrowheads="1"/>
                    </pic:cNvPicPr>
                  </pic:nvPicPr>
                  <pic:blipFill>
                    <a:blip r:embed="rId6" cstate="print"/>
                    <a:srcRect/>
                    <a:stretch>
                      <a:fillRect/>
                    </a:stretch>
                  </pic:blipFill>
                  <pic:spPr>
                    <a:xfrm>
                      <a:off x="0" y="0"/>
                      <a:ext cx="1897380" cy="2331720"/>
                    </a:xfrm>
                    <a:prstGeom prst="rect">
                      <a:avLst/>
                    </a:prstGeom>
                    <a:noFill/>
                    <a:ln w="9525">
                      <a:noFill/>
                      <a:miter lim="800000"/>
                      <a:headEnd/>
                      <a:tailEnd/>
                    </a:ln>
                  </pic:spPr>
                </pic:pic>
              </a:graphicData>
            </a:graphic>
          </wp:anchor>
        </w:drawing>
      </w:r>
    </w:p>
    <w:p w:rsidR="0050386E" w:rsidRDefault="0050386E" w:rsidP="0050386E">
      <w:pPr>
        <w:pStyle w:val="Normal0"/>
        <w:spacing w:after="120"/>
        <w:jc w:val="center"/>
        <w:rPr>
          <w:rFonts w:ascii="宋体"/>
          <w:sz w:val="30"/>
          <w:lang w:eastAsia="zh-CN"/>
        </w:rPr>
      </w:pPr>
    </w:p>
    <w:p w:rsidR="0050386E" w:rsidRDefault="0050386E" w:rsidP="0050386E">
      <w:pPr>
        <w:ind w:firstLine="508"/>
        <w:jc w:val="center"/>
        <w:rPr>
          <w:rFonts w:ascii="宋体"/>
        </w:rPr>
      </w:pPr>
    </w:p>
    <w:p w:rsidR="0050386E" w:rsidRDefault="0050386E" w:rsidP="0050386E">
      <w:pPr>
        <w:ind w:firstLine="508"/>
        <w:jc w:val="center"/>
        <w:rPr>
          <w:rFonts w:ascii="宋体"/>
        </w:rPr>
      </w:pPr>
    </w:p>
    <w:p w:rsidR="0050386E" w:rsidRDefault="0050386E" w:rsidP="0050386E">
      <w:pPr>
        <w:ind w:firstLine="508"/>
        <w:rPr>
          <w:rFonts w:ascii="宋体"/>
        </w:rPr>
      </w:pPr>
    </w:p>
    <w:p w:rsidR="0050386E" w:rsidRDefault="0050386E" w:rsidP="0050386E">
      <w:pPr>
        <w:ind w:firstLine="508"/>
        <w:rPr>
          <w:rFonts w:ascii="宋体"/>
        </w:rPr>
      </w:pPr>
    </w:p>
    <w:p w:rsidR="0050386E" w:rsidRDefault="0050386E" w:rsidP="0050386E">
      <w:pPr>
        <w:ind w:firstLine="508"/>
        <w:rPr>
          <w:rFonts w:ascii="宋体"/>
        </w:rPr>
      </w:pPr>
    </w:p>
    <w:p w:rsidR="0050386E" w:rsidRDefault="0050386E" w:rsidP="0050386E">
      <w:pPr>
        <w:ind w:firstLine="508"/>
        <w:rPr>
          <w:rFonts w:ascii="宋体"/>
        </w:rPr>
      </w:pPr>
    </w:p>
    <w:p w:rsidR="0050386E" w:rsidRDefault="0050386E" w:rsidP="0050386E">
      <w:pPr>
        <w:ind w:firstLine="508"/>
        <w:rPr>
          <w:rFonts w:ascii="宋体"/>
        </w:rPr>
      </w:pPr>
    </w:p>
    <w:p w:rsidR="0050386E" w:rsidRDefault="0050386E" w:rsidP="0050386E">
      <w:pPr>
        <w:ind w:firstLine="448"/>
        <w:rPr>
          <w:rFonts w:ascii="宋体"/>
          <w:b/>
          <w:bCs/>
          <w:sz w:val="28"/>
        </w:rPr>
      </w:pPr>
      <w:r w:rsidRPr="00732553">
        <w:pict>
          <v:shape id="_x0000_s1026" type="#_x0000_t202" style="position:absolute;left:0;text-align:left;margin-left:4.8pt;margin-top:668.2pt;width:414.4pt;height:78.75pt;z-index:251658240;mso-position-vertical-relative:page" filled="f" strokecolor="white">
            <v:stroke dashstyle="1 1" endcap="round"/>
            <v:textbox>
              <w:txbxContent>
                <w:p w:rsidR="0050386E" w:rsidRDefault="0050386E" w:rsidP="0050386E">
                  <w:pPr>
                    <w:ind w:firstLine="628"/>
                    <w:jc w:val="center"/>
                    <w:rPr>
                      <w:rStyle w:val="smallfont1"/>
                      <w:rFonts w:ascii="黑体" w:eastAsia="黑体"/>
                      <w:sz w:val="30"/>
                    </w:rPr>
                  </w:pPr>
                  <w:r>
                    <w:rPr>
                      <w:rFonts w:ascii="黑体" w:eastAsia="黑体" w:hint="eastAsia"/>
                      <w:sz w:val="30"/>
                    </w:rPr>
                    <w:t>上海证券交易所</w:t>
                  </w:r>
                </w:p>
                <w:p w:rsidR="0050386E" w:rsidRDefault="0050386E" w:rsidP="0050386E">
                  <w:pPr>
                    <w:ind w:firstLine="670"/>
                    <w:jc w:val="center"/>
                    <w:rPr>
                      <w:sz w:val="30"/>
                    </w:rPr>
                  </w:pPr>
                  <w:r>
                    <w:rPr>
                      <w:rFonts w:ascii="楷体_GB2312" w:hint="eastAsia"/>
                      <w:b/>
                      <w:sz w:val="32"/>
                    </w:rPr>
                    <w:t>二〇二〇年五月</w:t>
                  </w:r>
                </w:p>
              </w:txbxContent>
            </v:textbox>
            <w10:wrap anchory="page"/>
          </v:shape>
        </w:pict>
      </w:r>
    </w:p>
    <w:p w:rsidR="0050386E" w:rsidRDefault="0050386E" w:rsidP="0050386E">
      <w:pPr>
        <w:ind w:firstLine="590"/>
        <w:rPr>
          <w:rFonts w:ascii="宋体"/>
          <w:b/>
          <w:bCs/>
          <w:sz w:val="28"/>
        </w:rPr>
      </w:pPr>
    </w:p>
    <w:p w:rsidR="0050386E" w:rsidRDefault="0050386E" w:rsidP="0050386E">
      <w:pPr>
        <w:ind w:firstLine="590"/>
        <w:rPr>
          <w:rFonts w:ascii="宋体"/>
          <w:b/>
          <w:bCs/>
          <w:sz w:val="28"/>
        </w:rPr>
      </w:pPr>
    </w:p>
    <w:p w:rsidR="0050386E" w:rsidRDefault="0050386E" w:rsidP="0050386E">
      <w:pPr>
        <w:ind w:firstLine="590"/>
        <w:jc w:val="center"/>
        <w:rPr>
          <w:rFonts w:ascii="仿宋_GB2312" w:eastAsia="仿宋_GB2312"/>
          <w:b/>
          <w:bCs/>
          <w:sz w:val="24"/>
        </w:rPr>
      </w:pPr>
      <w:r>
        <w:rPr>
          <w:rFonts w:ascii="宋体"/>
          <w:b/>
          <w:bCs/>
          <w:sz w:val="28"/>
        </w:rPr>
        <w:br w:type="page"/>
      </w:r>
      <w:r>
        <w:rPr>
          <w:rFonts w:ascii="仿宋_GB2312" w:eastAsia="仿宋_GB2312" w:hAnsi="宋体" w:hint="eastAsia"/>
          <w:b/>
          <w:bCs/>
          <w:sz w:val="24"/>
        </w:rPr>
        <w:lastRenderedPageBreak/>
        <w:t>版本历史</w:t>
      </w:r>
    </w:p>
    <w:p w:rsidR="0050386E" w:rsidRDefault="0050386E" w:rsidP="0050386E">
      <w:pPr>
        <w:ind w:firstLine="508"/>
        <w:jc w:val="center"/>
        <w:rPr>
          <w:rFonts w:ascii="仿宋_GB2312" w:eastAsia="仿宋_GB2312"/>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911"/>
      </w:tblGrid>
      <w:tr w:rsidR="0050386E" w:rsidTr="0002199D">
        <w:tc>
          <w:tcPr>
            <w:tcW w:w="1809" w:type="dxa"/>
            <w:tcBorders>
              <w:top w:val="single" w:sz="4" w:space="0" w:color="000000"/>
              <w:left w:val="single" w:sz="4" w:space="0" w:color="000000"/>
              <w:bottom w:val="single" w:sz="4" w:space="0" w:color="000000"/>
              <w:right w:val="single" w:sz="4" w:space="0" w:color="000000"/>
            </w:tcBorders>
          </w:tcPr>
          <w:p w:rsidR="0050386E" w:rsidRDefault="0050386E" w:rsidP="0002199D">
            <w:pPr>
              <w:ind w:firstLine="509"/>
              <w:jc w:val="center"/>
              <w:rPr>
                <w:rFonts w:ascii="仿宋_GB2312" w:eastAsia="仿宋_GB2312"/>
                <w:b/>
                <w:bCs/>
                <w:sz w:val="24"/>
              </w:rPr>
            </w:pPr>
            <w:r>
              <w:rPr>
                <w:rFonts w:ascii="仿宋_GB2312" w:eastAsia="仿宋_GB2312" w:hAnsi="宋体" w:hint="eastAsia"/>
                <w:b/>
                <w:bCs/>
                <w:sz w:val="24"/>
              </w:rPr>
              <w:t>版本号</w:t>
            </w:r>
          </w:p>
        </w:tc>
        <w:tc>
          <w:tcPr>
            <w:tcW w:w="6911" w:type="dxa"/>
            <w:tcBorders>
              <w:top w:val="single" w:sz="4" w:space="0" w:color="000000"/>
              <w:left w:val="single" w:sz="4" w:space="0" w:color="000000"/>
              <w:bottom w:val="single" w:sz="4" w:space="0" w:color="000000"/>
              <w:right w:val="single" w:sz="4" w:space="0" w:color="000000"/>
            </w:tcBorders>
          </w:tcPr>
          <w:p w:rsidR="0050386E" w:rsidRDefault="0050386E" w:rsidP="0002199D">
            <w:pPr>
              <w:ind w:firstLine="509"/>
              <w:jc w:val="center"/>
              <w:rPr>
                <w:rFonts w:ascii="仿宋_GB2312" w:eastAsia="仿宋_GB2312"/>
                <w:b/>
                <w:bCs/>
                <w:sz w:val="24"/>
              </w:rPr>
            </w:pPr>
            <w:r>
              <w:rPr>
                <w:rFonts w:ascii="仿宋_GB2312" w:eastAsia="仿宋_GB2312" w:hAnsi="宋体" w:hint="eastAsia"/>
                <w:b/>
                <w:bCs/>
                <w:sz w:val="24"/>
              </w:rPr>
              <w:t>调整内容</w:t>
            </w:r>
          </w:p>
        </w:tc>
      </w:tr>
      <w:tr w:rsidR="0050386E" w:rsidTr="0002199D">
        <w:tc>
          <w:tcPr>
            <w:tcW w:w="1809" w:type="dxa"/>
            <w:tcBorders>
              <w:top w:val="single" w:sz="4" w:space="0" w:color="000000"/>
              <w:left w:val="single" w:sz="4" w:space="0" w:color="000000"/>
              <w:bottom w:val="single" w:sz="4" w:space="0" w:color="000000"/>
              <w:right w:val="single" w:sz="4" w:space="0" w:color="000000"/>
            </w:tcBorders>
          </w:tcPr>
          <w:p w:rsidR="0050386E" w:rsidRDefault="0050386E" w:rsidP="0002199D">
            <w:pPr>
              <w:jc w:val="left"/>
              <w:rPr>
                <w:rFonts w:ascii="仿宋_GB2312" w:eastAsia="仿宋_GB2312"/>
                <w:bCs/>
                <w:sz w:val="24"/>
              </w:rPr>
            </w:pPr>
            <w:r>
              <w:rPr>
                <w:rFonts w:ascii="仿宋_GB2312" w:eastAsia="仿宋_GB2312" w:hAnsi="宋体" w:hint="eastAsia"/>
                <w:bCs/>
                <w:szCs w:val="21"/>
              </w:rPr>
              <w:t>V1.0 20200525</w:t>
            </w:r>
          </w:p>
        </w:tc>
        <w:tc>
          <w:tcPr>
            <w:tcW w:w="6911" w:type="dxa"/>
            <w:tcBorders>
              <w:top w:val="single" w:sz="4" w:space="0" w:color="000000"/>
              <w:left w:val="single" w:sz="4" w:space="0" w:color="000000"/>
              <w:bottom w:val="single" w:sz="4" w:space="0" w:color="000000"/>
              <w:right w:val="single" w:sz="4" w:space="0" w:color="000000"/>
            </w:tcBorders>
          </w:tcPr>
          <w:p w:rsidR="0050386E" w:rsidRDefault="0050386E" w:rsidP="0002199D">
            <w:pPr>
              <w:ind w:firstLine="508"/>
              <w:jc w:val="left"/>
              <w:rPr>
                <w:rFonts w:ascii="仿宋_GB2312" w:eastAsia="仿宋_GB2312"/>
                <w:bCs/>
                <w:sz w:val="24"/>
              </w:rPr>
            </w:pPr>
            <w:r>
              <w:rPr>
                <w:rFonts w:ascii="仿宋_GB2312" w:eastAsia="仿宋_GB2312" w:hAnsi="宋体" w:hint="eastAsia"/>
                <w:bCs/>
                <w:szCs w:val="21"/>
              </w:rPr>
              <w:t>根据上交所发布的</w:t>
            </w:r>
            <w:proofErr w:type="gramStart"/>
            <w:r>
              <w:rPr>
                <w:rFonts w:ascii="仿宋_GB2312" w:eastAsia="仿宋_GB2312" w:hAnsi="宋体" w:hint="eastAsia"/>
                <w:bCs/>
                <w:szCs w:val="21"/>
              </w:rPr>
              <w:t>《</w:t>
            </w:r>
            <w:proofErr w:type="gramEnd"/>
            <w:r w:rsidRPr="00E72AEF">
              <w:rPr>
                <w:rFonts w:ascii="仿宋_GB2312" w:eastAsia="仿宋_GB2312" w:hAnsi="宋体" w:hint="eastAsia"/>
                <w:bCs/>
                <w:szCs w:val="21"/>
              </w:rPr>
              <w:t>关于修订</w:t>
            </w:r>
            <w:proofErr w:type="gramStart"/>
            <w:r w:rsidRPr="00E72AEF">
              <w:rPr>
                <w:rFonts w:ascii="仿宋_GB2312" w:eastAsia="仿宋_GB2312" w:hAnsi="宋体" w:hint="eastAsia"/>
                <w:bCs/>
                <w:szCs w:val="21"/>
              </w:rPr>
              <w:t>《</w:t>
            </w:r>
            <w:proofErr w:type="gramEnd"/>
            <w:r w:rsidRPr="00E72AEF">
              <w:rPr>
                <w:rFonts w:ascii="仿宋_GB2312" w:eastAsia="仿宋_GB2312" w:hAnsi="宋体" w:hint="eastAsia"/>
                <w:bCs/>
                <w:szCs w:val="21"/>
              </w:rPr>
              <w:t>上海证券交易所风险警示</w:t>
            </w:r>
            <w:proofErr w:type="gramStart"/>
            <w:r w:rsidRPr="00E72AEF">
              <w:rPr>
                <w:rFonts w:ascii="仿宋_GB2312" w:eastAsia="仿宋_GB2312" w:hAnsi="宋体" w:hint="eastAsia"/>
                <w:bCs/>
                <w:szCs w:val="21"/>
              </w:rPr>
              <w:t>板股票</w:t>
            </w:r>
            <w:proofErr w:type="gramEnd"/>
            <w:r w:rsidRPr="00E72AEF">
              <w:rPr>
                <w:rFonts w:ascii="仿宋_GB2312" w:eastAsia="仿宋_GB2312" w:hAnsi="宋体" w:hint="eastAsia"/>
                <w:bCs/>
                <w:szCs w:val="21"/>
              </w:rPr>
              <w:t>交易管理办法</w:t>
            </w:r>
            <w:proofErr w:type="gramStart"/>
            <w:r w:rsidRPr="00E72AEF">
              <w:rPr>
                <w:rFonts w:ascii="仿宋_GB2312" w:eastAsia="仿宋_GB2312" w:hAnsi="宋体" w:hint="eastAsia"/>
                <w:bCs/>
                <w:szCs w:val="21"/>
              </w:rPr>
              <w:t>》</w:t>
            </w:r>
            <w:proofErr w:type="gramEnd"/>
            <w:r w:rsidRPr="00E72AEF">
              <w:rPr>
                <w:rFonts w:ascii="仿宋_GB2312" w:eastAsia="仿宋_GB2312" w:hAnsi="宋体" w:hint="eastAsia"/>
                <w:bCs/>
                <w:szCs w:val="21"/>
              </w:rPr>
              <w:t>的通知</w:t>
            </w:r>
            <w:proofErr w:type="gramStart"/>
            <w:r>
              <w:rPr>
                <w:rFonts w:ascii="仿宋_GB2312" w:eastAsia="仿宋_GB2312" w:hAnsi="宋体" w:hint="eastAsia"/>
                <w:bCs/>
                <w:szCs w:val="21"/>
              </w:rPr>
              <w:t>》</w:t>
            </w:r>
            <w:proofErr w:type="gramEnd"/>
            <w:r>
              <w:rPr>
                <w:rFonts w:ascii="仿宋_GB2312" w:eastAsia="仿宋_GB2312" w:hAnsi="宋体" w:hint="eastAsia"/>
                <w:bCs/>
                <w:szCs w:val="21"/>
              </w:rPr>
              <w:t>制定</w:t>
            </w:r>
          </w:p>
        </w:tc>
      </w:tr>
      <w:tr w:rsidR="0050386E" w:rsidTr="0002199D">
        <w:tc>
          <w:tcPr>
            <w:tcW w:w="1809" w:type="dxa"/>
            <w:tcBorders>
              <w:top w:val="single" w:sz="4" w:space="0" w:color="000000"/>
              <w:left w:val="single" w:sz="4" w:space="0" w:color="000000"/>
              <w:bottom w:val="single" w:sz="4" w:space="0" w:color="000000"/>
              <w:right w:val="single" w:sz="4" w:space="0" w:color="000000"/>
            </w:tcBorders>
          </w:tcPr>
          <w:p w:rsidR="0050386E" w:rsidRDefault="0050386E" w:rsidP="0002199D">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50386E" w:rsidRDefault="0050386E" w:rsidP="0002199D">
            <w:pPr>
              <w:ind w:firstLine="508"/>
              <w:jc w:val="left"/>
              <w:rPr>
                <w:rFonts w:ascii="宋体"/>
                <w:bCs/>
                <w:szCs w:val="21"/>
              </w:rPr>
            </w:pPr>
          </w:p>
        </w:tc>
      </w:tr>
      <w:tr w:rsidR="0050386E" w:rsidTr="0002199D">
        <w:tc>
          <w:tcPr>
            <w:tcW w:w="1809" w:type="dxa"/>
            <w:tcBorders>
              <w:top w:val="single" w:sz="4" w:space="0" w:color="000000"/>
              <w:left w:val="single" w:sz="4" w:space="0" w:color="000000"/>
              <w:bottom w:val="single" w:sz="4" w:space="0" w:color="000000"/>
              <w:right w:val="single" w:sz="4" w:space="0" w:color="000000"/>
            </w:tcBorders>
          </w:tcPr>
          <w:p w:rsidR="0050386E" w:rsidRDefault="0050386E" w:rsidP="0002199D">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50386E" w:rsidRDefault="0050386E" w:rsidP="0002199D">
            <w:pPr>
              <w:ind w:firstLine="508"/>
              <w:jc w:val="left"/>
              <w:rPr>
                <w:rFonts w:ascii="宋体"/>
                <w:bCs/>
                <w:szCs w:val="21"/>
              </w:rPr>
            </w:pPr>
          </w:p>
        </w:tc>
      </w:tr>
      <w:tr w:rsidR="0050386E" w:rsidTr="0002199D">
        <w:tc>
          <w:tcPr>
            <w:tcW w:w="1809" w:type="dxa"/>
            <w:tcBorders>
              <w:top w:val="single" w:sz="4" w:space="0" w:color="000000"/>
              <w:left w:val="single" w:sz="4" w:space="0" w:color="000000"/>
              <w:bottom w:val="single" w:sz="4" w:space="0" w:color="000000"/>
              <w:right w:val="single" w:sz="4" w:space="0" w:color="000000"/>
            </w:tcBorders>
          </w:tcPr>
          <w:p w:rsidR="0050386E" w:rsidRDefault="0050386E" w:rsidP="0002199D">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50386E" w:rsidRDefault="0050386E" w:rsidP="0002199D">
            <w:pPr>
              <w:ind w:firstLine="508"/>
              <w:jc w:val="left"/>
              <w:rPr>
                <w:rFonts w:ascii="宋体"/>
                <w:bCs/>
                <w:szCs w:val="21"/>
              </w:rPr>
            </w:pPr>
          </w:p>
        </w:tc>
      </w:tr>
    </w:tbl>
    <w:p w:rsidR="0050386E" w:rsidRDefault="0050386E" w:rsidP="0050386E">
      <w:pPr>
        <w:ind w:firstLine="508"/>
        <w:rPr>
          <w:rFonts w:ascii="宋体"/>
          <w:bCs/>
          <w:szCs w:val="21"/>
        </w:rPr>
      </w:pPr>
    </w:p>
    <w:p w:rsidR="0050386E" w:rsidRDefault="0050386E" w:rsidP="0050386E">
      <w:pPr>
        <w:ind w:firstLine="590"/>
        <w:rPr>
          <w:rFonts w:ascii="仿宋_GB2312" w:eastAsia="仿宋_GB2312"/>
          <w:b/>
          <w:bCs/>
          <w:sz w:val="28"/>
        </w:rPr>
      </w:pPr>
      <w:r>
        <w:rPr>
          <w:rFonts w:ascii="仿宋_GB2312" w:eastAsia="仿宋_GB2312" w:hAnsi="宋体" w:hint="eastAsia"/>
          <w:b/>
          <w:bCs/>
          <w:sz w:val="28"/>
        </w:rPr>
        <w:t>文档摘要</w:t>
      </w:r>
    </w:p>
    <w:p w:rsidR="0050386E" w:rsidRDefault="0050386E" w:rsidP="0050386E">
      <w:pPr>
        <w:ind w:firstLineChars="200" w:firstLine="508"/>
        <w:rPr>
          <w:rFonts w:ascii="仿宋_GB2312" w:eastAsia="仿宋_GB2312"/>
        </w:rPr>
      </w:pPr>
      <w:r>
        <w:rPr>
          <w:rFonts w:ascii="仿宋_GB2312" w:eastAsia="仿宋_GB2312" w:hAnsi="宋体" w:hint="eastAsia"/>
          <w:sz w:val="24"/>
        </w:rPr>
        <w:t>本文档是上海证券交易所（以下简称“本所”）</w:t>
      </w:r>
      <w:r w:rsidRPr="00347B24">
        <w:rPr>
          <w:rFonts w:ascii="仿宋_GB2312" w:eastAsia="仿宋_GB2312" w:hAnsi="宋体" w:hint="eastAsia"/>
          <w:sz w:val="24"/>
        </w:rPr>
        <w:t>风险警示</w:t>
      </w:r>
      <w:proofErr w:type="gramStart"/>
      <w:r w:rsidRPr="00347B24">
        <w:rPr>
          <w:rFonts w:ascii="仿宋_GB2312" w:eastAsia="仿宋_GB2312" w:hAnsi="宋体" w:hint="eastAsia"/>
          <w:sz w:val="24"/>
        </w:rPr>
        <w:t>板股票退</w:t>
      </w:r>
      <w:proofErr w:type="gramEnd"/>
      <w:r w:rsidRPr="00347B24">
        <w:rPr>
          <w:rFonts w:ascii="仿宋_GB2312" w:eastAsia="仿宋_GB2312" w:hAnsi="宋体" w:hint="eastAsia"/>
          <w:sz w:val="24"/>
        </w:rPr>
        <w:t>市后重新上市首日</w:t>
      </w:r>
      <w:r w:rsidRPr="00A62A78">
        <w:rPr>
          <w:rFonts w:ascii="仿宋_GB2312" w:eastAsia="仿宋_GB2312" w:hAnsi="宋体" w:hint="eastAsia"/>
          <w:sz w:val="24"/>
        </w:rPr>
        <w:t>市场参与者技术实施指南</w:t>
      </w:r>
      <w:r>
        <w:rPr>
          <w:rFonts w:ascii="仿宋_GB2312" w:eastAsia="仿宋_GB2312" w:hAnsi="宋体" w:hint="eastAsia"/>
        </w:rPr>
        <w:t>。</w:t>
      </w:r>
    </w:p>
    <w:p w:rsidR="0050386E" w:rsidRPr="00E33524" w:rsidRDefault="0050386E" w:rsidP="0050386E">
      <w:pPr>
        <w:ind w:firstLine="509"/>
        <w:rPr>
          <w:rFonts w:ascii="仿宋_GB2312" w:eastAsia="仿宋_GB2312"/>
          <w:b/>
          <w:sz w:val="24"/>
        </w:rPr>
      </w:pPr>
    </w:p>
    <w:p w:rsidR="0050386E" w:rsidRDefault="0050386E" w:rsidP="0050386E">
      <w:pPr>
        <w:ind w:firstLine="509"/>
        <w:rPr>
          <w:rFonts w:ascii="仿宋_GB2312" w:eastAsia="仿宋_GB2312"/>
          <w:b/>
          <w:sz w:val="24"/>
        </w:rPr>
      </w:pPr>
      <w:r>
        <w:rPr>
          <w:rFonts w:ascii="仿宋_GB2312" w:eastAsia="仿宋_GB2312" w:hAnsi="宋体" w:hint="eastAsia"/>
          <w:b/>
          <w:sz w:val="28"/>
          <w:szCs w:val="28"/>
        </w:rPr>
        <w:t>特别申明</w:t>
      </w:r>
      <w:r>
        <w:rPr>
          <w:rFonts w:ascii="仿宋_GB2312" w:eastAsia="仿宋_GB2312" w:hAnsi="宋体" w:hint="eastAsia"/>
          <w:b/>
          <w:sz w:val="24"/>
        </w:rPr>
        <w:t>：</w:t>
      </w:r>
    </w:p>
    <w:p w:rsidR="0050386E" w:rsidRDefault="0050386E" w:rsidP="0050386E">
      <w:pPr>
        <w:pStyle w:val="a8"/>
        <w:numPr>
          <w:ilvl w:val="0"/>
          <w:numId w:val="2"/>
        </w:numPr>
        <w:ind w:firstLineChars="0" w:firstLine="6"/>
        <w:rPr>
          <w:rFonts w:ascii="仿宋_GB2312" w:eastAsia="仿宋_GB2312"/>
          <w:sz w:val="24"/>
        </w:rPr>
      </w:pPr>
      <w:r>
        <w:rPr>
          <w:rFonts w:ascii="仿宋_GB2312" w:eastAsia="仿宋_GB2312" w:hint="eastAsia"/>
          <w:sz w:val="24"/>
        </w:rPr>
        <w:t>本指南为技术实施指南，所涉相关业务规定以本所业务规则为准。</w:t>
      </w:r>
    </w:p>
    <w:p w:rsidR="0050386E" w:rsidRDefault="0050386E" w:rsidP="0050386E">
      <w:pPr>
        <w:pStyle w:val="a8"/>
        <w:numPr>
          <w:ilvl w:val="0"/>
          <w:numId w:val="2"/>
        </w:numPr>
        <w:ind w:firstLineChars="0" w:firstLine="6"/>
        <w:rPr>
          <w:rFonts w:ascii="仿宋_GB2312" w:eastAsia="仿宋_GB2312"/>
          <w:sz w:val="24"/>
        </w:rPr>
      </w:pPr>
      <w:r>
        <w:rPr>
          <w:rFonts w:ascii="仿宋_GB2312" w:eastAsia="仿宋_GB2312" w:hint="eastAsia"/>
          <w:sz w:val="24"/>
        </w:rPr>
        <w:t>本指南根据本所相关规则、业务方案、公告通知制定。</w:t>
      </w:r>
    </w:p>
    <w:p w:rsidR="0050386E" w:rsidRDefault="0050386E" w:rsidP="0050386E">
      <w:pPr>
        <w:pStyle w:val="a8"/>
        <w:numPr>
          <w:ilvl w:val="0"/>
          <w:numId w:val="2"/>
        </w:numPr>
        <w:ind w:firstLineChars="0" w:firstLine="6"/>
        <w:rPr>
          <w:rFonts w:ascii="仿宋_GB2312" w:eastAsia="仿宋_GB2312"/>
          <w:sz w:val="24"/>
        </w:rPr>
      </w:pPr>
      <w:r>
        <w:rPr>
          <w:rFonts w:ascii="仿宋_GB2312" w:eastAsia="仿宋_GB2312" w:hint="eastAsia"/>
          <w:sz w:val="24"/>
        </w:rPr>
        <w:t>本所保留对本指南的解释与修改权。</w:t>
      </w:r>
    </w:p>
    <w:p w:rsidR="0050386E" w:rsidRDefault="0050386E" w:rsidP="0050386E">
      <w:pPr>
        <w:ind w:firstLineChars="200" w:firstLine="448"/>
        <w:rPr>
          <w:rFonts w:ascii="仿宋_GB2312" w:eastAsia="仿宋_GB2312"/>
        </w:rPr>
      </w:pPr>
    </w:p>
    <w:p w:rsidR="0050386E" w:rsidRDefault="0050386E" w:rsidP="0050386E">
      <w:pPr>
        <w:ind w:firstLine="509"/>
        <w:rPr>
          <w:rFonts w:ascii="仿宋_GB2312" w:eastAsia="仿宋_GB2312"/>
          <w:b/>
          <w:sz w:val="28"/>
          <w:szCs w:val="28"/>
        </w:rPr>
      </w:pPr>
      <w:r>
        <w:rPr>
          <w:rFonts w:ascii="仿宋_GB2312" w:eastAsia="仿宋_GB2312" w:hAnsi="宋体" w:hint="eastAsia"/>
          <w:b/>
          <w:sz w:val="28"/>
          <w:szCs w:val="28"/>
        </w:rPr>
        <w:t>联系方式</w:t>
      </w:r>
    </w:p>
    <w:tbl>
      <w:tblPr>
        <w:tblW w:w="0" w:type="auto"/>
        <w:tblCellSpacing w:w="15" w:type="dxa"/>
        <w:tblInd w:w="448" w:type="dxa"/>
        <w:tblCellMar>
          <w:top w:w="15" w:type="dxa"/>
          <w:left w:w="15" w:type="dxa"/>
          <w:bottom w:w="15" w:type="dxa"/>
          <w:right w:w="15" w:type="dxa"/>
        </w:tblCellMar>
        <w:tblLook w:val="04A0"/>
      </w:tblPr>
      <w:tblGrid>
        <w:gridCol w:w="5487"/>
      </w:tblGrid>
      <w:tr w:rsidR="0050386E" w:rsidTr="0002199D">
        <w:trPr>
          <w:tblCellSpacing w:w="15" w:type="dxa"/>
        </w:trPr>
        <w:tc>
          <w:tcPr>
            <w:tcW w:w="0" w:type="auto"/>
            <w:vAlign w:val="center"/>
          </w:tcPr>
          <w:p w:rsidR="0050386E" w:rsidRDefault="0050386E" w:rsidP="0002199D">
            <w:pPr>
              <w:rPr>
                <w:rFonts w:ascii="仿宋_GB2312" w:eastAsia="仿宋_GB2312"/>
                <w:sz w:val="24"/>
              </w:rPr>
            </w:pPr>
            <w:r>
              <w:rPr>
                <w:rFonts w:ascii="仿宋_GB2312" w:eastAsia="仿宋_GB2312" w:hint="eastAsia"/>
                <w:sz w:val="24"/>
              </w:rPr>
              <w:t>技术服务QQ群： 　　298643611</w:t>
            </w:r>
          </w:p>
        </w:tc>
      </w:tr>
      <w:tr w:rsidR="0050386E" w:rsidTr="0002199D">
        <w:trPr>
          <w:tblCellSpacing w:w="15" w:type="dxa"/>
        </w:trPr>
        <w:tc>
          <w:tcPr>
            <w:tcW w:w="0" w:type="auto"/>
            <w:vAlign w:val="center"/>
          </w:tcPr>
          <w:p w:rsidR="0050386E" w:rsidRDefault="0050386E" w:rsidP="0002199D">
            <w:pPr>
              <w:rPr>
                <w:rFonts w:ascii="仿宋_GB2312" w:eastAsia="仿宋_GB2312"/>
                <w:sz w:val="24"/>
              </w:rPr>
            </w:pPr>
            <w:r>
              <w:rPr>
                <w:rFonts w:ascii="仿宋_GB2312" w:eastAsia="仿宋_GB2312" w:hint="eastAsia"/>
                <w:sz w:val="24"/>
              </w:rPr>
              <w:t xml:space="preserve">技术服务电话: </w:t>
            </w:r>
            <w:r>
              <w:rPr>
                <w:rFonts w:ascii="仿宋_GB2312" w:eastAsia="仿宋_GB2312" w:hint="eastAsia"/>
                <w:sz w:val="24"/>
              </w:rPr>
              <w:t> </w:t>
            </w:r>
            <w:r>
              <w:rPr>
                <w:rFonts w:ascii="仿宋_GB2312" w:eastAsia="仿宋_GB2312" w:hint="eastAsia"/>
                <w:sz w:val="24"/>
              </w:rPr>
              <w:t xml:space="preserve">　 　4009003600(8:00-20:00)</w:t>
            </w:r>
          </w:p>
        </w:tc>
      </w:tr>
      <w:tr w:rsidR="0050386E" w:rsidTr="0002199D">
        <w:trPr>
          <w:tblCellSpacing w:w="15" w:type="dxa"/>
        </w:trPr>
        <w:tc>
          <w:tcPr>
            <w:tcW w:w="0" w:type="auto"/>
            <w:vAlign w:val="center"/>
          </w:tcPr>
          <w:p w:rsidR="0050386E" w:rsidRDefault="0050386E" w:rsidP="0002199D">
            <w:pPr>
              <w:rPr>
                <w:rFonts w:ascii="仿宋_GB2312" w:eastAsia="仿宋_GB2312"/>
                <w:sz w:val="24"/>
              </w:rPr>
            </w:pPr>
            <w:r>
              <w:rPr>
                <w:rFonts w:ascii="仿宋_GB2312" w:eastAsia="仿宋_GB2312" w:hint="eastAsia"/>
                <w:sz w:val="24"/>
              </w:rPr>
              <w:t xml:space="preserve">电子邮件： </w:t>
            </w:r>
            <w:r>
              <w:rPr>
                <w:rFonts w:ascii="仿宋_GB2312" w:eastAsia="仿宋_GB2312" w:hint="eastAsia"/>
                <w:sz w:val="24"/>
              </w:rPr>
              <w:t> </w:t>
            </w:r>
            <w:r>
              <w:rPr>
                <w:rFonts w:ascii="仿宋_GB2312" w:eastAsia="仿宋_GB2312" w:hint="eastAsia"/>
                <w:sz w:val="24"/>
              </w:rPr>
              <w:t xml:space="preserve">　　    </w:t>
            </w:r>
            <w:hyperlink r:id="rId7" w:history="1">
              <w:r>
                <w:rPr>
                  <w:rStyle w:val="a7"/>
                  <w:rFonts w:ascii="仿宋_GB2312" w:eastAsia="仿宋_GB2312" w:hint="eastAsia"/>
                  <w:sz w:val="24"/>
                </w:rPr>
                <w:t>tech_support@sse.com.cn</w:t>
              </w:r>
            </w:hyperlink>
          </w:p>
        </w:tc>
      </w:tr>
      <w:tr w:rsidR="0050386E" w:rsidTr="0002199D">
        <w:trPr>
          <w:tblCellSpacing w:w="15" w:type="dxa"/>
        </w:trPr>
        <w:tc>
          <w:tcPr>
            <w:tcW w:w="0" w:type="auto"/>
            <w:vAlign w:val="center"/>
          </w:tcPr>
          <w:p w:rsidR="0050386E" w:rsidRDefault="0050386E" w:rsidP="0002199D">
            <w:pPr>
              <w:rPr>
                <w:rFonts w:ascii="仿宋_GB2312" w:eastAsia="仿宋_GB2312"/>
                <w:sz w:val="24"/>
              </w:rPr>
            </w:pPr>
            <w:r>
              <w:rPr>
                <w:rFonts w:ascii="仿宋_GB2312" w:eastAsia="仿宋_GB2312" w:hint="eastAsia"/>
                <w:sz w:val="24"/>
              </w:rPr>
              <w:t>技术服务</w:t>
            </w:r>
            <w:proofErr w:type="gramStart"/>
            <w:r>
              <w:rPr>
                <w:rFonts w:ascii="仿宋_GB2312" w:eastAsia="仿宋_GB2312" w:hint="eastAsia"/>
                <w:sz w:val="24"/>
              </w:rPr>
              <w:t>微信公众号</w:t>
            </w:r>
            <w:proofErr w:type="gramEnd"/>
            <w:r>
              <w:rPr>
                <w:rFonts w:ascii="仿宋_GB2312" w:eastAsia="仿宋_GB2312" w:hint="eastAsia"/>
                <w:sz w:val="24"/>
              </w:rPr>
              <w:t>：SSE-</w:t>
            </w:r>
            <w:proofErr w:type="spellStart"/>
            <w:r>
              <w:rPr>
                <w:rFonts w:ascii="仿宋_GB2312" w:eastAsia="仿宋_GB2312" w:hint="eastAsia"/>
                <w:sz w:val="24"/>
              </w:rPr>
              <w:t>TechService</w:t>
            </w:r>
            <w:proofErr w:type="spellEnd"/>
            <w:r>
              <w:rPr>
                <w:rFonts w:ascii="仿宋_GB2312" w:eastAsia="仿宋_GB2312" w:hint="eastAsia"/>
                <w:sz w:val="24"/>
              </w:rPr>
              <w:t xml:space="preserve"> </w:t>
            </w:r>
          </w:p>
          <w:p w:rsidR="0050386E" w:rsidRDefault="0050386E" w:rsidP="0002199D">
            <w:pPr>
              <w:ind w:firstLine="509"/>
              <w:rPr>
                <w:rFonts w:ascii="仿宋_GB2312" w:eastAsia="仿宋_GB2312"/>
                <w:b/>
                <w:sz w:val="24"/>
              </w:rPr>
            </w:pPr>
            <w:r>
              <w:rPr>
                <w:rFonts w:ascii="仿宋_GB2312" w:eastAsia="仿宋_GB2312" w:hint="eastAsia"/>
                <w:b/>
                <w:sz w:val="24"/>
              </w:rPr>
              <w:t xml:space="preserve">　　</w:t>
            </w:r>
            <w:r>
              <w:rPr>
                <w:rFonts w:ascii="仿宋_GB2312" w:eastAsia="仿宋_GB2312" w:hint="eastAsia"/>
                <w:b/>
                <w:noProof/>
                <w:sz w:val="24"/>
              </w:rPr>
              <w:drawing>
                <wp:inline distT="0" distB="0" distL="0" distR="0">
                  <wp:extent cx="1800225" cy="1800225"/>
                  <wp:effectExtent l="19050" t="0" r="9525" b="0"/>
                  <wp:docPr id="2" name="图片 1" descr="3e4dc5951bf0a4ce7754c754c3ef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e4dc5951bf0a4ce7754c754c3ef8087"/>
                          <pic:cNvPicPr>
                            <a:picLocks noChangeAspect="1" noChangeArrowheads="1"/>
                          </pic:cNvPicPr>
                        </pic:nvPicPr>
                        <pic:blipFill>
                          <a:blip r:embed="rId8" cstate="print"/>
                          <a:srcRect/>
                          <a:stretch>
                            <a:fillRect/>
                          </a:stretch>
                        </pic:blipFill>
                        <pic:spPr>
                          <a:xfrm>
                            <a:off x="0" y="0"/>
                            <a:ext cx="1800225" cy="1800225"/>
                          </a:xfrm>
                          <a:prstGeom prst="rect">
                            <a:avLst/>
                          </a:prstGeom>
                          <a:noFill/>
                          <a:ln w="9525">
                            <a:noFill/>
                            <a:miter lim="800000"/>
                            <a:headEnd/>
                            <a:tailEnd/>
                          </a:ln>
                        </pic:spPr>
                      </pic:pic>
                    </a:graphicData>
                  </a:graphic>
                </wp:inline>
              </w:drawing>
            </w:r>
          </w:p>
        </w:tc>
      </w:tr>
    </w:tbl>
    <w:p w:rsidR="0050386E" w:rsidRDefault="0050386E" w:rsidP="0050386E">
      <w:pPr>
        <w:pStyle w:val="1"/>
        <w:spacing w:before="175" w:after="175"/>
      </w:pPr>
      <w:bookmarkStart w:id="0" w:name="_Toc523132209"/>
      <w:r>
        <w:rPr>
          <w:rFonts w:hAnsi="宋体" w:hint="eastAsia"/>
        </w:rPr>
        <w:lastRenderedPageBreak/>
        <w:t>简介</w:t>
      </w:r>
      <w:bookmarkEnd w:id="0"/>
    </w:p>
    <w:p w:rsidR="0050386E" w:rsidRDefault="0050386E" w:rsidP="0050386E">
      <w:pPr>
        <w:spacing w:line="360" w:lineRule="auto"/>
        <w:ind w:firstLine="420"/>
        <w:rPr>
          <w:rFonts w:ascii="仿宋_GB2312" w:eastAsia="仿宋_GB2312" w:hAnsi="新宋体"/>
          <w:spacing w:val="-4"/>
          <w:szCs w:val="21"/>
        </w:rPr>
      </w:pPr>
      <w:r>
        <w:rPr>
          <w:rFonts w:ascii="仿宋_GB2312" w:eastAsia="仿宋_GB2312" w:hAnsi="宋体" w:hint="eastAsia"/>
          <w:bCs/>
          <w:sz w:val="24"/>
        </w:rPr>
        <w:t>根据本所发布的</w:t>
      </w:r>
      <w:proofErr w:type="gramStart"/>
      <w:r>
        <w:rPr>
          <w:rFonts w:ascii="仿宋_GB2312" w:eastAsia="仿宋_GB2312" w:hAnsi="宋体" w:hint="eastAsia"/>
          <w:bCs/>
          <w:sz w:val="24"/>
        </w:rPr>
        <w:t>《</w:t>
      </w:r>
      <w:proofErr w:type="gramEnd"/>
      <w:r w:rsidRPr="00E72AEF">
        <w:rPr>
          <w:rFonts w:ascii="仿宋_GB2312" w:eastAsia="仿宋_GB2312" w:hAnsi="宋体" w:hint="eastAsia"/>
          <w:bCs/>
          <w:sz w:val="24"/>
        </w:rPr>
        <w:t>关于修订</w:t>
      </w:r>
      <w:proofErr w:type="gramStart"/>
      <w:r w:rsidRPr="00E72AEF">
        <w:rPr>
          <w:rFonts w:ascii="仿宋_GB2312" w:eastAsia="仿宋_GB2312" w:hAnsi="宋体" w:hint="eastAsia"/>
          <w:bCs/>
          <w:sz w:val="24"/>
        </w:rPr>
        <w:t>《</w:t>
      </w:r>
      <w:proofErr w:type="gramEnd"/>
      <w:r w:rsidRPr="00E72AEF">
        <w:rPr>
          <w:rFonts w:ascii="仿宋_GB2312" w:eastAsia="仿宋_GB2312" w:hAnsi="宋体" w:hint="eastAsia"/>
          <w:bCs/>
          <w:sz w:val="24"/>
        </w:rPr>
        <w:t>上海证券交易所风险警示</w:t>
      </w:r>
      <w:proofErr w:type="gramStart"/>
      <w:r w:rsidRPr="00E72AEF">
        <w:rPr>
          <w:rFonts w:ascii="仿宋_GB2312" w:eastAsia="仿宋_GB2312" w:hAnsi="宋体" w:hint="eastAsia"/>
          <w:bCs/>
          <w:sz w:val="24"/>
        </w:rPr>
        <w:t>板股票</w:t>
      </w:r>
      <w:proofErr w:type="gramEnd"/>
      <w:r w:rsidRPr="00E72AEF">
        <w:rPr>
          <w:rFonts w:ascii="仿宋_GB2312" w:eastAsia="仿宋_GB2312" w:hAnsi="宋体" w:hint="eastAsia"/>
          <w:bCs/>
          <w:sz w:val="24"/>
        </w:rPr>
        <w:t>交易管理办法</w:t>
      </w:r>
      <w:proofErr w:type="gramStart"/>
      <w:r w:rsidRPr="00E72AEF">
        <w:rPr>
          <w:rFonts w:ascii="仿宋_GB2312" w:eastAsia="仿宋_GB2312" w:hAnsi="宋体" w:hint="eastAsia"/>
          <w:bCs/>
          <w:sz w:val="24"/>
        </w:rPr>
        <w:t>》</w:t>
      </w:r>
      <w:proofErr w:type="gramEnd"/>
      <w:r w:rsidRPr="00E72AEF">
        <w:rPr>
          <w:rFonts w:ascii="仿宋_GB2312" w:eastAsia="仿宋_GB2312" w:hAnsi="宋体" w:hint="eastAsia"/>
          <w:bCs/>
          <w:sz w:val="24"/>
        </w:rPr>
        <w:t>的通知</w:t>
      </w:r>
      <w:proofErr w:type="gramStart"/>
      <w:r>
        <w:rPr>
          <w:rFonts w:ascii="仿宋_GB2312" w:eastAsia="仿宋_GB2312" w:hAnsi="宋体" w:hint="eastAsia"/>
          <w:bCs/>
          <w:sz w:val="24"/>
        </w:rPr>
        <w:t>》</w:t>
      </w:r>
      <w:proofErr w:type="gramEnd"/>
      <w:r>
        <w:rPr>
          <w:rFonts w:ascii="仿宋_GB2312" w:eastAsia="仿宋_GB2312" w:hAnsi="宋体" w:hint="eastAsia"/>
          <w:bCs/>
          <w:sz w:val="24"/>
        </w:rPr>
        <w:t>，针对</w:t>
      </w:r>
      <w:bookmarkStart w:id="1" w:name="_GoBack"/>
      <w:bookmarkEnd w:id="1"/>
      <w:r w:rsidRPr="00E33524">
        <w:rPr>
          <w:rFonts w:ascii="仿宋_GB2312" w:eastAsia="仿宋_GB2312" w:hAnsi="宋体" w:hint="eastAsia"/>
          <w:bCs/>
          <w:sz w:val="24"/>
        </w:rPr>
        <w:t>风险警示</w:t>
      </w:r>
      <w:proofErr w:type="gramStart"/>
      <w:r w:rsidRPr="00E33524">
        <w:rPr>
          <w:rFonts w:ascii="仿宋_GB2312" w:eastAsia="仿宋_GB2312" w:hAnsi="宋体" w:hint="eastAsia"/>
          <w:bCs/>
          <w:sz w:val="24"/>
        </w:rPr>
        <w:t>板股票退</w:t>
      </w:r>
      <w:proofErr w:type="gramEnd"/>
      <w:r w:rsidRPr="00E33524">
        <w:rPr>
          <w:rFonts w:ascii="仿宋_GB2312" w:eastAsia="仿宋_GB2312" w:hAnsi="宋体" w:hint="eastAsia"/>
          <w:bCs/>
          <w:sz w:val="24"/>
        </w:rPr>
        <w:t>市后重新上市首日</w:t>
      </w:r>
      <w:r>
        <w:rPr>
          <w:rFonts w:ascii="仿宋_GB2312" w:eastAsia="仿宋_GB2312" w:hAnsi="新宋体" w:hint="eastAsia"/>
          <w:spacing w:val="-4"/>
          <w:sz w:val="24"/>
        </w:rPr>
        <w:t>制定了《上海证券交易所</w:t>
      </w:r>
      <w:r w:rsidRPr="00E33524">
        <w:rPr>
          <w:rFonts w:ascii="仿宋_GB2312" w:eastAsia="仿宋_GB2312" w:hAnsi="新宋体" w:hint="eastAsia"/>
          <w:spacing w:val="-4"/>
          <w:sz w:val="24"/>
        </w:rPr>
        <w:t>风险警示板股票退市后重新上市首日</w:t>
      </w:r>
      <w:r>
        <w:rPr>
          <w:rFonts w:ascii="仿宋_GB2312" w:eastAsia="仿宋_GB2312" w:hAnsi="新宋体" w:hint="eastAsia"/>
          <w:spacing w:val="-4"/>
          <w:sz w:val="24"/>
        </w:rPr>
        <w:t>市场参与者技术实施指南》，对市场参与者相关的技术实施提出建议</w:t>
      </w:r>
      <w:r>
        <w:rPr>
          <w:rFonts w:ascii="仿宋_GB2312" w:eastAsia="仿宋_GB2312" w:hAnsi="新宋体" w:hint="eastAsia"/>
          <w:spacing w:val="-4"/>
          <w:szCs w:val="21"/>
        </w:rPr>
        <w:t>。</w:t>
      </w:r>
      <w:bookmarkStart w:id="2" w:name="_Toc523132210"/>
    </w:p>
    <w:p w:rsidR="0050386E" w:rsidRPr="00A62A78" w:rsidRDefault="0050386E" w:rsidP="0050386E">
      <w:pPr>
        <w:ind w:firstLine="492"/>
        <w:rPr>
          <w:rFonts w:ascii="新宋体" w:eastAsia="新宋体" w:hAnsi="新宋体"/>
          <w:spacing w:val="-4"/>
          <w:sz w:val="24"/>
          <w:szCs w:val="21"/>
        </w:rPr>
      </w:pPr>
    </w:p>
    <w:bookmarkEnd w:id="2"/>
    <w:p w:rsidR="0050386E" w:rsidRDefault="0050386E" w:rsidP="0050386E">
      <w:pPr>
        <w:pStyle w:val="1"/>
        <w:spacing w:before="175" w:after="175"/>
      </w:pPr>
      <w:r>
        <w:rPr>
          <w:rFonts w:hint="eastAsia"/>
        </w:rPr>
        <w:t>市场接口调整说明</w:t>
      </w:r>
    </w:p>
    <w:p w:rsidR="0050386E" w:rsidRDefault="0050386E" w:rsidP="0050386E">
      <w:pPr>
        <w:spacing w:line="360" w:lineRule="auto"/>
        <w:ind w:firstLine="510"/>
        <w:rPr>
          <w:rFonts w:ascii="仿宋_GB2312" w:eastAsia="仿宋_GB2312" w:hAnsi="新宋体"/>
          <w:spacing w:val="-4"/>
          <w:sz w:val="24"/>
        </w:rPr>
      </w:pPr>
      <w:r>
        <w:rPr>
          <w:rFonts w:ascii="仿宋_GB2312" w:eastAsia="仿宋_GB2312" w:hAnsi="新宋体" w:hint="eastAsia"/>
          <w:spacing w:val="-4"/>
          <w:sz w:val="24"/>
        </w:rPr>
        <w:t>本次</w:t>
      </w:r>
      <w:r w:rsidRPr="00E33524">
        <w:rPr>
          <w:rFonts w:ascii="仿宋_GB2312" w:eastAsia="仿宋_GB2312" w:hAnsi="新宋体" w:hint="eastAsia"/>
          <w:spacing w:val="-4"/>
          <w:sz w:val="24"/>
        </w:rPr>
        <w:t>风险警示</w:t>
      </w:r>
      <w:proofErr w:type="gramStart"/>
      <w:r w:rsidRPr="00E33524">
        <w:rPr>
          <w:rFonts w:ascii="仿宋_GB2312" w:eastAsia="仿宋_GB2312" w:hAnsi="新宋体" w:hint="eastAsia"/>
          <w:spacing w:val="-4"/>
          <w:sz w:val="24"/>
        </w:rPr>
        <w:t>板股票退</w:t>
      </w:r>
      <w:proofErr w:type="gramEnd"/>
      <w:r w:rsidRPr="00E33524">
        <w:rPr>
          <w:rFonts w:ascii="仿宋_GB2312" w:eastAsia="仿宋_GB2312" w:hAnsi="新宋体" w:hint="eastAsia"/>
          <w:spacing w:val="-4"/>
          <w:sz w:val="24"/>
        </w:rPr>
        <w:t>市后重新上市首日</w:t>
      </w:r>
      <w:r>
        <w:rPr>
          <w:rFonts w:ascii="仿宋_GB2312" w:eastAsia="仿宋_GB2312" w:hAnsi="新宋体" w:hint="eastAsia"/>
          <w:spacing w:val="-4"/>
          <w:sz w:val="24"/>
        </w:rPr>
        <w:t>业务不涉及接口变化。</w:t>
      </w:r>
    </w:p>
    <w:p w:rsidR="0050386E" w:rsidRDefault="0050386E" w:rsidP="0050386E"/>
    <w:p w:rsidR="0050386E" w:rsidRDefault="0050386E" w:rsidP="0050386E">
      <w:pPr>
        <w:pStyle w:val="1"/>
        <w:spacing w:before="175" w:after="175"/>
      </w:pPr>
      <w:bookmarkStart w:id="3" w:name="_Toc364500069"/>
      <w:bookmarkStart w:id="4" w:name="_Toc417895048"/>
      <w:bookmarkStart w:id="5" w:name="_Toc351529835"/>
      <w:r>
        <w:rPr>
          <w:rFonts w:hint="eastAsia"/>
        </w:rPr>
        <w:t>业务调整说明</w:t>
      </w:r>
    </w:p>
    <w:p w:rsidR="0050386E" w:rsidRDefault="0050386E" w:rsidP="0050386E">
      <w:pPr>
        <w:spacing w:line="360" w:lineRule="auto"/>
        <w:ind w:firstLineChars="200" w:firstLine="508"/>
        <w:jc w:val="left"/>
        <w:rPr>
          <w:rFonts w:ascii="仿宋_GB2312" w:eastAsia="仿宋_GB2312" w:hAnsi="宋体"/>
          <w:sz w:val="24"/>
        </w:rPr>
      </w:pPr>
      <w:r w:rsidRPr="004A7FE4">
        <w:rPr>
          <w:rFonts w:ascii="仿宋_GB2312" w:eastAsia="仿宋_GB2312" w:hAnsi="宋体" w:hint="eastAsia"/>
          <w:sz w:val="24"/>
        </w:rPr>
        <w:t>根据</w:t>
      </w:r>
      <w:proofErr w:type="gramStart"/>
      <w:r>
        <w:rPr>
          <w:rFonts w:ascii="仿宋_GB2312" w:eastAsia="仿宋_GB2312" w:hAnsi="宋体" w:hint="eastAsia"/>
          <w:sz w:val="24"/>
        </w:rPr>
        <w:t>《</w:t>
      </w:r>
      <w:proofErr w:type="gramEnd"/>
      <w:r w:rsidRPr="00E72AEF">
        <w:rPr>
          <w:rFonts w:ascii="仿宋_GB2312" w:eastAsia="仿宋_GB2312" w:hAnsi="宋体" w:hint="eastAsia"/>
          <w:bCs/>
          <w:sz w:val="24"/>
        </w:rPr>
        <w:t>关于修订</w:t>
      </w:r>
      <w:proofErr w:type="gramStart"/>
      <w:r w:rsidRPr="00E72AEF">
        <w:rPr>
          <w:rFonts w:ascii="仿宋_GB2312" w:eastAsia="仿宋_GB2312" w:hAnsi="宋体" w:hint="eastAsia"/>
          <w:bCs/>
          <w:sz w:val="24"/>
        </w:rPr>
        <w:t>《</w:t>
      </w:r>
      <w:proofErr w:type="gramEnd"/>
      <w:r w:rsidRPr="00E72AEF">
        <w:rPr>
          <w:rFonts w:ascii="仿宋_GB2312" w:eastAsia="仿宋_GB2312" w:hAnsi="宋体" w:hint="eastAsia"/>
          <w:bCs/>
          <w:sz w:val="24"/>
        </w:rPr>
        <w:t>上海证券交易所风险警示</w:t>
      </w:r>
      <w:proofErr w:type="gramStart"/>
      <w:r w:rsidRPr="00E72AEF">
        <w:rPr>
          <w:rFonts w:ascii="仿宋_GB2312" w:eastAsia="仿宋_GB2312" w:hAnsi="宋体" w:hint="eastAsia"/>
          <w:bCs/>
          <w:sz w:val="24"/>
        </w:rPr>
        <w:t>板股票</w:t>
      </w:r>
      <w:proofErr w:type="gramEnd"/>
      <w:r w:rsidRPr="00E72AEF">
        <w:rPr>
          <w:rFonts w:ascii="仿宋_GB2312" w:eastAsia="仿宋_GB2312" w:hAnsi="宋体" w:hint="eastAsia"/>
          <w:bCs/>
          <w:sz w:val="24"/>
        </w:rPr>
        <w:t>交易管理办法</w:t>
      </w:r>
      <w:proofErr w:type="gramStart"/>
      <w:r w:rsidRPr="00E72AEF">
        <w:rPr>
          <w:rFonts w:ascii="仿宋_GB2312" w:eastAsia="仿宋_GB2312" w:hAnsi="宋体" w:hint="eastAsia"/>
          <w:bCs/>
          <w:sz w:val="24"/>
        </w:rPr>
        <w:t>》</w:t>
      </w:r>
      <w:proofErr w:type="gramEnd"/>
      <w:r w:rsidRPr="00E72AEF">
        <w:rPr>
          <w:rFonts w:ascii="仿宋_GB2312" w:eastAsia="仿宋_GB2312" w:hAnsi="宋体" w:hint="eastAsia"/>
          <w:bCs/>
          <w:sz w:val="24"/>
        </w:rPr>
        <w:t>的通知</w:t>
      </w:r>
      <w:proofErr w:type="gramStart"/>
      <w:r>
        <w:rPr>
          <w:rFonts w:ascii="仿宋_GB2312" w:eastAsia="仿宋_GB2312" w:hAnsi="宋体" w:hint="eastAsia"/>
          <w:bCs/>
          <w:sz w:val="24"/>
        </w:rPr>
        <w:t>》</w:t>
      </w:r>
      <w:proofErr w:type="gramEnd"/>
      <w:r>
        <w:rPr>
          <w:rFonts w:ascii="仿宋_GB2312" w:eastAsia="仿宋_GB2312" w:hAnsi="宋体" w:hint="eastAsia"/>
          <w:sz w:val="24"/>
        </w:rPr>
        <w:t>安排，</w:t>
      </w:r>
      <w:r w:rsidRPr="004A7FE4">
        <w:rPr>
          <w:rFonts w:ascii="仿宋_GB2312" w:eastAsia="仿宋_GB2312" w:hAnsi="宋体" w:hint="eastAsia"/>
          <w:sz w:val="24"/>
        </w:rPr>
        <w:t>对</w:t>
      </w:r>
      <w:r w:rsidRPr="00E33524">
        <w:rPr>
          <w:rFonts w:ascii="仿宋_GB2312" w:eastAsia="仿宋_GB2312" w:hAnsi="宋体" w:hint="eastAsia"/>
          <w:sz w:val="24"/>
        </w:rPr>
        <w:t>风险警示</w:t>
      </w:r>
      <w:proofErr w:type="gramStart"/>
      <w:r w:rsidRPr="00E33524">
        <w:rPr>
          <w:rFonts w:ascii="仿宋_GB2312" w:eastAsia="仿宋_GB2312" w:hAnsi="宋体" w:hint="eastAsia"/>
          <w:sz w:val="24"/>
        </w:rPr>
        <w:t>板股票退</w:t>
      </w:r>
      <w:proofErr w:type="gramEnd"/>
      <w:r w:rsidRPr="00E33524">
        <w:rPr>
          <w:rFonts w:ascii="仿宋_GB2312" w:eastAsia="仿宋_GB2312" w:hAnsi="宋体" w:hint="eastAsia"/>
          <w:sz w:val="24"/>
        </w:rPr>
        <w:t>市后重新上市首日</w:t>
      </w:r>
      <w:r w:rsidRPr="004A7FE4">
        <w:rPr>
          <w:rFonts w:ascii="仿宋_GB2312" w:eastAsia="仿宋_GB2312" w:hAnsi="宋体" w:hint="eastAsia"/>
          <w:sz w:val="24"/>
        </w:rPr>
        <w:t>的盘中临时停牌及申报价格限制措施进行调整优化，优化后的措施与</w:t>
      </w:r>
      <w:proofErr w:type="gramStart"/>
      <w:r w:rsidRPr="004A7FE4">
        <w:rPr>
          <w:rFonts w:ascii="仿宋_GB2312" w:eastAsia="仿宋_GB2312" w:hAnsi="宋体" w:hint="eastAsia"/>
          <w:sz w:val="24"/>
        </w:rPr>
        <w:t>科创板</w:t>
      </w:r>
      <w:proofErr w:type="gramEnd"/>
      <w:r>
        <w:rPr>
          <w:rFonts w:ascii="仿宋_GB2312" w:eastAsia="仿宋_GB2312" w:hAnsi="宋体" w:hint="eastAsia"/>
          <w:sz w:val="24"/>
        </w:rPr>
        <w:t>上市首日</w:t>
      </w:r>
      <w:r w:rsidRPr="004A7FE4">
        <w:rPr>
          <w:rFonts w:ascii="仿宋_GB2312" w:eastAsia="仿宋_GB2312" w:hAnsi="宋体" w:hint="eastAsia"/>
          <w:sz w:val="24"/>
        </w:rPr>
        <w:t>相关</w:t>
      </w:r>
      <w:r>
        <w:rPr>
          <w:rFonts w:ascii="仿宋_GB2312" w:eastAsia="仿宋_GB2312" w:hAnsi="宋体" w:hint="eastAsia"/>
          <w:sz w:val="24"/>
        </w:rPr>
        <w:t>安排基本相同，主要优化内容如下：</w:t>
      </w:r>
    </w:p>
    <w:p w:rsidR="0050386E" w:rsidRPr="00E33524" w:rsidRDefault="0050386E" w:rsidP="0050386E">
      <w:pPr>
        <w:pStyle w:val="a8"/>
        <w:numPr>
          <w:ilvl w:val="0"/>
          <w:numId w:val="4"/>
        </w:numPr>
        <w:spacing w:line="360" w:lineRule="auto"/>
        <w:ind w:firstLineChars="0"/>
        <w:jc w:val="left"/>
        <w:rPr>
          <w:rFonts w:ascii="仿宋_GB2312" w:eastAsia="仿宋_GB2312" w:hAnsi="宋体"/>
          <w:sz w:val="24"/>
        </w:rPr>
      </w:pPr>
      <w:r w:rsidRPr="00E33524">
        <w:rPr>
          <w:rFonts w:ascii="仿宋_GB2312" w:eastAsia="仿宋_GB2312" w:hAnsi="宋体" w:hint="eastAsia"/>
          <w:sz w:val="24"/>
        </w:rPr>
        <w:t>盘中临时停牌，停牌条件调整为</w:t>
      </w:r>
      <w:r>
        <w:rPr>
          <w:rFonts w:ascii="仿宋_GB2312" w:eastAsia="仿宋_GB2312" w:hAnsi="宋体" w:hint="eastAsia"/>
          <w:sz w:val="24"/>
        </w:rPr>
        <w:t>盘中</w:t>
      </w:r>
      <w:r w:rsidRPr="00E33524">
        <w:rPr>
          <w:rFonts w:ascii="仿宋_GB2312" w:eastAsia="仿宋_GB2312" w:hAnsi="宋体" w:hint="eastAsia"/>
          <w:sz w:val="24"/>
        </w:rPr>
        <w:t>交</w:t>
      </w:r>
      <w:r>
        <w:rPr>
          <w:rFonts w:ascii="仿宋_GB2312" w:eastAsia="仿宋_GB2312" w:hAnsi="宋体" w:hint="eastAsia"/>
          <w:sz w:val="24"/>
        </w:rPr>
        <w:t>易</w:t>
      </w:r>
      <w:r w:rsidRPr="00E33524">
        <w:rPr>
          <w:rFonts w:ascii="仿宋_GB2312" w:eastAsia="仿宋_GB2312" w:hAnsi="宋体" w:hint="eastAsia"/>
          <w:sz w:val="24"/>
        </w:rPr>
        <w:t>价</w:t>
      </w:r>
      <w:r>
        <w:rPr>
          <w:rFonts w:ascii="仿宋_GB2312" w:eastAsia="仿宋_GB2312" w:hAnsi="宋体" w:hint="eastAsia"/>
          <w:sz w:val="24"/>
        </w:rPr>
        <w:t>格</w:t>
      </w:r>
      <w:r w:rsidRPr="00035179">
        <w:rPr>
          <w:rFonts w:ascii="仿宋_GB2312" w:eastAsia="仿宋_GB2312" w:hAnsi="宋体" w:hint="eastAsia"/>
          <w:sz w:val="24"/>
        </w:rPr>
        <w:t>较当日开盘价格</w:t>
      </w:r>
      <w:r>
        <w:rPr>
          <w:rFonts w:ascii="仿宋_GB2312" w:eastAsia="仿宋_GB2312" w:hAnsi="宋体" w:hint="eastAsia"/>
          <w:sz w:val="24"/>
        </w:rPr>
        <w:t>首次</w:t>
      </w:r>
      <w:r w:rsidRPr="00E33524">
        <w:rPr>
          <w:rFonts w:ascii="仿宋_GB2312" w:eastAsia="仿宋_GB2312" w:hAnsi="宋体" w:hint="eastAsia"/>
          <w:sz w:val="24"/>
        </w:rPr>
        <w:t>涨跌幅度达30%和60%两档，且换手率达到30%不会触发停牌，</w:t>
      </w:r>
      <w:r>
        <w:rPr>
          <w:rFonts w:ascii="仿宋_GB2312" w:eastAsia="仿宋_GB2312" w:hAnsi="宋体" w:hint="eastAsia"/>
          <w:sz w:val="24"/>
        </w:rPr>
        <w:t>单</w:t>
      </w:r>
      <w:r w:rsidRPr="00E33524">
        <w:rPr>
          <w:rFonts w:ascii="仿宋_GB2312" w:eastAsia="仿宋_GB2312" w:hAnsi="宋体" w:hint="eastAsia"/>
          <w:sz w:val="24"/>
        </w:rPr>
        <w:t>次停牌时间为10分钟；</w:t>
      </w:r>
    </w:p>
    <w:p w:rsidR="0050386E" w:rsidRPr="000F6C9C" w:rsidRDefault="0050386E" w:rsidP="0050386E">
      <w:pPr>
        <w:pStyle w:val="a8"/>
        <w:numPr>
          <w:ilvl w:val="0"/>
          <w:numId w:val="4"/>
        </w:numPr>
        <w:spacing w:line="360" w:lineRule="auto"/>
        <w:ind w:firstLineChars="0"/>
        <w:jc w:val="left"/>
        <w:rPr>
          <w:rFonts w:ascii="仿宋_GB2312" w:eastAsia="仿宋_GB2312" w:hAnsi="宋体"/>
          <w:sz w:val="24"/>
        </w:rPr>
      </w:pPr>
      <w:r w:rsidRPr="00E33524">
        <w:rPr>
          <w:rFonts w:ascii="仿宋_GB2312" w:eastAsia="仿宋_GB2312" w:hAnsi="宋体" w:hint="eastAsia"/>
          <w:sz w:val="24"/>
        </w:rPr>
        <w:t>申报价格限制，集合竞价无申报价格限制，连续竞价阶段按照买入申报价格不得高于基准价格的102%，卖出申报价格不得低于基准价格的98%</w:t>
      </w:r>
      <w:r>
        <w:rPr>
          <w:rFonts w:ascii="仿宋_GB2312" w:eastAsia="仿宋_GB2312" w:hAnsi="宋体" w:hint="eastAsia"/>
          <w:sz w:val="24"/>
        </w:rPr>
        <w:t>。基准价格含义如下：</w:t>
      </w:r>
      <w:r w:rsidRPr="000F6C9C">
        <w:rPr>
          <w:rFonts w:ascii="仿宋_GB2312" w:eastAsia="仿宋_GB2312" w:hAnsi="宋体"/>
          <w:sz w:val="24"/>
        </w:rPr>
        <w:t>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50386E" w:rsidRPr="004A7FE4" w:rsidRDefault="0050386E" w:rsidP="0050386E">
      <w:pPr>
        <w:spacing w:line="360" w:lineRule="auto"/>
        <w:ind w:firstLineChars="200" w:firstLine="508"/>
        <w:jc w:val="left"/>
        <w:rPr>
          <w:rFonts w:ascii="仿宋_GB2312" w:eastAsia="仿宋_GB2312" w:hAnsi="宋体"/>
          <w:sz w:val="24"/>
        </w:rPr>
      </w:pPr>
    </w:p>
    <w:p w:rsidR="0050386E" w:rsidRDefault="0050386E" w:rsidP="0050386E">
      <w:pPr>
        <w:pStyle w:val="1"/>
        <w:spacing w:before="175" w:after="175"/>
      </w:pPr>
      <w:r>
        <w:rPr>
          <w:rFonts w:hint="eastAsia"/>
        </w:rPr>
        <w:lastRenderedPageBreak/>
        <w:t>市场参与者技术实施建议</w:t>
      </w:r>
      <w:bookmarkEnd w:id="3"/>
      <w:bookmarkEnd w:id="4"/>
      <w:r>
        <w:rPr>
          <w:rFonts w:hint="eastAsia"/>
        </w:rPr>
        <w:t>及注意事项</w:t>
      </w:r>
    </w:p>
    <w:p w:rsidR="0050386E" w:rsidRDefault="0050386E" w:rsidP="0050386E">
      <w:pPr>
        <w:pStyle w:val="a8"/>
        <w:numPr>
          <w:ilvl w:val="0"/>
          <w:numId w:val="3"/>
        </w:numPr>
        <w:spacing w:line="360" w:lineRule="auto"/>
        <w:ind w:firstLineChars="0"/>
        <w:jc w:val="left"/>
        <w:rPr>
          <w:rFonts w:ascii="仿宋_GB2312" w:eastAsia="仿宋_GB2312"/>
          <w:sz w:val="24"/>
        </w:rPr>
      </w:pPr>
      <w:r w:rsidRPr="00732DAE">
        <w:rPr>
          <w:rFonts w:ascii="仿宋_GB2312" w:eastAsia="仿宋_GB2312" w:hint="eastAsia"/>
          <w:sz w:val="24"/>
        </w:rPr>
        <w:t>风险警示</w:t>
      </w:r>
      <w:proofErr w:type="gramStart"/>
      <w:r w:rsidRPr="00732DAE">
        <w:rPr>
          <w:rFonts w:ascii="仿宋_GB2312" w:eastAsia="仿宋_GB2312" w:hint="eastAsia"/>
          <w:sz w:val="24"/>
        </w:rPr>
        <w:t>板股票退</w:t>
      </w:r>
      <w:proofErr w:type="gramEnd"/>
      <w:r w:rsidRPr="00732DAE">
        <w:rPr>
          <w:rFonts w:ascii="仿宋_GB2312" w:eastAsia="仿宋_GB2312" w:hint="eastAsia"/>
          <w:sz w:val="24"/>
        </w:rPr>
        <w:t>市后重新上市首日</w:t>
      </w:r>
      <w:r>
        <w:rPr>
          <w:rFonts w:ascii="仿宋_GB2312" w:eastAsia="仿宋_GB2312" w:hint="eastAsia"/>
          <w:sz w:val="24"/>
        </w:rPr>
        <w:t>之后，从第二个交易日开始</w:t>
      </w:r>
      <w:r w:rsidRPr="00732DAE">
        <w:rPr>
          <w:rFonts w:ascii="仿宋_GB2312" w:eastAsia="仿宋_GB2312"/>
          <w:sz w:val="24"/>
        </w:rPr>
        <w:t>恢复风险警示</w:t>
      </w:r>
      <w:r>
        <w:rPr>
          <w:rFonts w:ascii="仿宋_GB2312" w:eastAsia="仿宋_GB2312" w:hint="eastAsia"/>
          <w:sz w:val="24"/>
        </w:rPr>
        <w:t>板</w:t>
      </w:r>
      <w:r w:rsidRPr="00732DAE">
        <w:rPr>
          <w:rFonts w:ascii="仿宋_GB2312" w:eastAsia="仿宋_GB2312"/>
          <w:sz w:val="24"/>
        </w:rPr>
        <w:t>的交易模式</w:t>
      </w:r>
      <w:r>
        <w:rPr>
          <w:rFonts w:ascii="仿宋_GB2312" w:eastAsia="仿宋_GB2312" w:hint="eastAsia"/>
          <w:sz w:val="24"/>
        </w:rPr>
        <w:t>。</w:t>
      </w:r>
    </w:p>
    <w:p w:rsidR="0050386E" w:rsidRDefault="0050386E" w:rsidP="0050386E">
      <w:pPr>
        <w:pStyle w:val="a8"/>
        <w:numPr>
          <w:ilvl w:val="0"/>
          <w:numId w:val="3"/>
        </w:numPr>
        <w:spacing w:line="360" w:lineRule="auto"/>
        <w:ind w:firstLineChars="0"/>
        <w:jc w:val="left"/>
        <w:rPr>
          <w:rFonts w:ascii="仿宋_GB2312" w:eastAsia="仿宋_GB2312"/>
          <w:sz w:val="24"/>
        </w:rPr>
      </w:pPr>
      <w:r w:rsidRPr="00732DAE">
        <w:rPr>
          <w:rFonts w:ascii="仿宋_GB2312" w:eastAsia="仿宋_GB2312" w:hint="eastAsia"/>
          <w:sz w:val="24"/>
        </w:rPr>
        <w:t>风险警示</w:t>
      </w:r>
      <w:proofErr w:type="gramStart"/>
      <w:r w:rsidRPr="00732DAE">
        <w:rPr>
          <w:rFonts w:ascii="仿宋_GB2312" w:eastAsia="仿宋_GB2312" w:hint="eastAsia"/>
          <w:sz w:val="24"/>
        </w:rPr>
        <w:t>板股票退</w:t>
      </w:r>
      <w:proofErr w:type="gramEnd"/>
      <w:r w:rsidRPr="00732DAE">
        <w:rPr>
          <w:rFonts w:ascii="仿宋_GB2312" w:eastAsia="仿宋_GB2312" w:hint="eastAsia"/>
          <w:sz w:val="24"/>
        </w:rPr>
        <w:t>市后重新上市首日</w:t>
      </w:r>
      <w:r w:rsidRPr="00732DAE">
        <w:rPr>
          <w:rFonts w:ascii="仿宋_GB2312" w:eastAsia="仿宋_GB2312"/>
          <w:sz w:val="24"/>
        </w:rPr>
        <w:t>的交易中，价格控制、停复</w:t>
      </w:r>
      <w:proofErr w:type="gramStart"/>
      <w:r w:rsidRPr="00732DAE">
        <w:rPr>
          <w:rFonts w:ascii="仿宋_GB2312" w:eastAsia="仿宋_GB2312"/>
          <w:sz w:val="24"/>
        </w:rPr>
        <w:t>牌控制</w:t>
      </w:r>
      <w:proofErr w:type="gramEnd"/>
      <w:r w:rsidRPr="00732DAE">
        <w:rPr>
          <w:rFonts w:ascii="仿宋_GB2312" w:eastAsia="仿宋_GB2312"/>
          <w:sz w:val="24"/>
        </w:rPr>
        <w:t>是新的</w:t>
      </w:r>
      <w:r>
        <w:rPr>
          <w:rFonts w:ascii="仿宋_GB2312" w:eastAsia="仿宋_GB2312" w:hint="eastAsia"/>
          <w:sz w:val="24"/>
        </w:rPr>
        <w:t>规则（</w:t>
      </w:r>
      <w:r w:rsidRPr="00732DAE">
        <w:rPr>
          <w:rFonts w:ascii="仿宋_GB2312" w:eastAsia="仿宋_GB2312"/>
          <w:sz w:val="24"/>
        </w:rPr>
        <w:t>与</w:t>
      </w:r>
      <w:proofErr w:type="gramStart"/>
      <w:r w:rsidRPr="00732DAE">
        <w:rPr>
          <w:rFonts w:ascii="仿宋_GB2312" w:eastAsia="仿宋_GB2312"/>
          <w:sz w:val="24"/>
        </w:rPr>
        <w:t>科创板</w:t>
      </w:r>
      <w:proofErr w:type="gramEnd"/>
      <w:r>
        <w:rPr>
          <w:rFonts w:ascii="仿宋_GB2312" w:eastAsia="仿宋_GB2312" w:hint="eastAsia"/>
          <w:sz w:val="24"/>
        </w:rPr>
        <w:t>首日</w:t>
      </w:r>
      <w:r w:rsidRPr="00732DAE">
        <w:rPr>
          <w:rFonts w:ascii="仿宋_GB2312" w:eastAsia="仿宋_GB2312"/>
          <w:sz w:val="24"/>
        </w:rPr>
        <w:t>相同</w:t>
      </w:r>
      <w:r>
        <w:rPr>
          <w:rFonts w:ascii="仿宋_GB2312" w:eastAsia="仿宋_GB2312" w:hint="eastAsia"/>
          <w:sz w:val="24"/>
        </w:rPr>
        <w:t>）</w:t>
      </w:r>
      <w:r w:rsidRPr="00732DAE">
        <w:rPr>
          <w:rFonts w:ascii="仿宋_GB2312" w:eastAsia="仿宋_GB2312"/>
          <w:sz w:val="24"/>
        </w:rPr>
        <w:t>，但订单类型仍然是风险警示</w:t>
      </w:r>
      <w:r>
        <w:rPr>
          <w:rFonts w:ascii="仿宋_GB2312" w:eastAsia="仿宋_GB2312" w:hint="eastAsia"/>
          <w:sz w:val="24"/>
        </w:rPr>
        <w:t>板</w:t>
      </w:r>
      <w:r w:rsidRPr="00732DAE">
        <w:rPr>
          <w:rFonts w:ascii="仿宋_GB2312" w:eastAsia="仿宋_GB2312"/>
          <w:sz w:val="24"/>
        </w:rPr>
        <w:t>的，即不允许市价订单</w:t>
      </w:r>
      <w:r>
        <w:rPr>
          <w:rFonts w:ascii="仿宋_GB2312" w:eastAsia="仿宋_GB2312" w:hint="eastAsia"/>
          <w:sz w:val="24"/>
        </w:rPr>
        <w:t>等</w:t>
      </w:r>
      <w:r w:rsidRPr="00732DAE">
        <w:rPr>
          <w:rFonts w:ascii="仿宋_GB2312" w:eastAsia="仿宋_GB2312" w:hint="eastAsia"/>
          <w:sz w:val="24"/>
        </w:rPr>
        <w:t>。</w:t>
      </w:r>
    </w:p>
    <w:p w:rsidR="0050386E" w:rsidRDefault="0050386E" w:rsidP="0050386E">
      <w:pPr>
        <w:pStyle w:val="a8"/>
        <w:numPr>
          <w:ilvl w:val="0"/>
          <w:numId w:val="3"/>
        </w:numPr>
        <w:spacing w:line="360" w:lineRule="auto"/>
        <w:ind w:firstLineChars="0"/>
        <w:jc w:val="left"/>
        <w:rPr>
          <w:rFonts w:ascii="仿宋_GB2312" w:eastAsia="仿宋_GB2312"/>
          <w:sz w:val="24"/>
        </w:rPr>
      </w:pPr>
      <w:r w:rsidRPr="00383CDE">
        <w:rPr>
          <w:rFonts w:ascii="仿宋_GB2312" w:eastAsia="仿宋_GB2312"/>
          <w:sz w:val="24"/>
        </w:rPr>
        <w:t>市场接口不变，重新上市首日涨跌幅限制类型仍为</w:t>
      </w:r>
      <w:r w:rsidRPr="00383CDE">
        <w:rPr>
          <w:rFonts w:ascii="仿宋_GB2312" w:eastAsia="仿宋_GB2312"/>
          <w:sz w:val="24"/>
        </w:rPr>
        <w:t>“</w:t>
      </w:r>
      <w:r w:rsidRPr="00383CDE">
        <w:rPr>
          <w:rFonts w:ascii="仿宋_GB2312" w:eastAsia="仿宋_GB2312"/>
          <w:sz w:val="24"/>
        </w:rPr>
        <w:t>R</w:t>
      </w:r>
      <w:r w:rsidRPr="00383CDE">
        <w:rPr>
          <w:rFonts w:ascii="仿宋_GB2312" w:eastAsia="仿宋_GB2312"/>
          <w:sz w:val="24"/>
        </w:rPr>
        <w:t>”</w:t>
      </w:r>
      <w:r w:rsidRPr="00383CDE">
        <w:rPr>
          <w:rFonts w:ascii="仿宋_GB2312" w:eastAsia="仿宋_GB2312"/>
          <w:sz w:val="24"/>
        </w:rPr>
        <w:t>，市场参与者可通过产品基础信息</w:t>
      </w:r>
      <w:r>
        <w:rPr>
          <w:rFonts w:ascii="仿宋_GB2312" w:eastAsia="仿宋_GB2312" w:hint="eastAsia"/>
          <w:sz w:val="24"/>
        </w:rPr>
        <w:t>（CPXX）</w:t>
      </w:r>
      <w:r w:rsidRPr="00383CDE">
        <w:rPr>
          <w:rFonts w:ascii="仿宋_GB2312" w:eastAsia="仿宋_GB2312"/>
          <w:sz w:val="24"/>
        </w:rPr>
        <w:t>文件产品状态标志第4位为</w:t>
      </w:r>
      <w:r w:rsidRPr="00383CDE">
        <w:rPr>
          <w:rFonts w:ascii="仿宋_GB2312" w:eastAsia="仿宋_GB2312"/>
          <w:sz w:val="24"/>
        </w:rPr>
        <w:t>“</w:t>
      </w:r>
      <w:r w:rsidRPr="00383CDE">
        <w:rPr>
          <w:rFonts w:ascii="仿宋_GB2312" w:eastAsia="仿宋_GB2312"/>
          <w:sz w:val="24"/>
        </w:rPr>
        <w:t>S</w:t>
      </w:r>
      <w:r w:rsidRPr="00383CDE">
        <w:rPr>
          <w:rFonts w:ascii="仿宋_GB2312" w:eastAsia="仿宋_GB2312"/>
          <w:sz w:val="24"/>
        </w:rPr>
        <w:t>”</w:t>
      </w:r>
      <w:r w:rsidRPr="00383CDE">
        <w:rPr>
          <w:rFonts w:ascii="仿宋_GB2312" w:eastAsia="仿宋_GB2312"/>
          <w:sz w:val="24"/>
        </w:rPr>
        <w:t>，涨跌幅限制类型为</w:t>
      </w:r>
      <w:r w:rsidRPr="00383CDE">
        <w:rPr>
          <w:rFonts w:ascii="仿宋_GB2312" w:eastAsia="仿宋_GB2312"/>
          <w:sz w:val="24"/>
        </w:rPr>
        <w:t>“</w:t>
      </w:r>
      <w:r w:rsidRPr="00383CDE">
        <w:rPr>
          <w:rFonts w:ascii="仿宋_GB2312" w:eastAsia="仿宋_GB2312"/>
          <w:sz w:val="24"/>
        </w:rPr>
        <w:t>R</w:t>
      </w:r>
      <w:r w:rsidRPr="00383CDE">
        <w:rPr>
          <w:rFonts w:ascii="仿宋_GB2312" w:eastAsia="仿宋_GB2312"/>
          <w:sz w:val="24"/>
        </w:rPr>
        <w:t>”</w:t>
      </w:r>
      <w:r w:rsidRPr="00383CDE">
        <w:rPr>
          <w:rFonts w:ascii="仿宋_GB2312" w:eastAsia="仿宋_GB2312"/>
          <w:sz w:val="24"/>
        </w:rPr>
        <w:t>来判定</w:t>
      </w:r>
      <w:r>
        <w:rPr>
          <w:rFonts w:ascii="仿宋_GB2312" w:eastAsia="仿宋_GB2312" w:hint="eastAsia"/>
          <w:sz w:val="24"/>
        </w:rPr>
        <w:t>为</w:t>
      </w:r>
      <w:r w:rsidRPr="00732DAE">
        <w:rPr>
          <w:rFonts w:ascii="仿宋_GB2312" w:eastAsia="仿宋_GB2312" w:hint="eastAsia"/>
          <w:sz w:val="24"/>
        </w:rPr>
        <w:t>风险警示</w:t>
      </w:r>
      <w:proofErr w:type="gramStart"/>
      <w:r w:rsidRPr="00732DAE">
        <w:rPr>
          <w:rFonts w:ascii="仿宋_GB2312" w:eastAsia="仿宋_GB2312" w:hint="eastAsia"/>
          <w:sz w:val="24"/>
        </w:rPr>
        <w:t>板股票</w:t>
      </w:r>
      <w:proofErr w:type="gramEnd"/>
      <w:r w:rsidRPr="00383CDE">
        <w:rPr>
          <w:rFonts w:ascii="仿宋_GB2312" w:eastAsia="仿宋_GB2312"/>
          <w:sz w:val="24"/>
        </w:rPr>
        <w:t>重新上市首日股票。产品基础信息</w:t>
      </w:r>
      <w:r>
        <w:rPr>
          <w:rFonts w:ascii="仿宋_GB2312" w:eastAsia="仿宋_GB2312" w:hint="eastAsia"/>
          <w:sz w:val="24"/>
        </w:rPr>
        <w:t>（CPXX）</w:t>
      </w:r>
      <w:r w:rsidRPr="00383CDE">
        <w:rPr>
          <w:rFonts w:ascii="仿宋_GB2312" w:eastAsia="仿宋_GB2312"/>
          <w:sz w:val="24"/>
        </w:rPr>
        <w:t>文件</w:t>
      </w:r>
      <w:r>
        <w:rPr>
          <w:rFonts w:ascii="仿宋_GB2312" w:eastAsia="仿宋_GB2312" w:hint="eastAsia"/>
          <w:sz w:val="24"/>
        </w:rPr>
        <w:t>中</w:t>
      </w:r>
      <w:r w:rsidRPr="00A83B7C">
        <w:rPr>
          <w:rFonts w:ascii="仿宋_GB2312" w:eastAsia="仿宋_GB2312"/>
          <w:sz w:val="24"/>
        </w:rPr>
        <w:t>涨幅上</w:t>
      </w:r>
      <w:r w:rsidRPr="00A83B7C">
        <w:rPr>
          <w:rFonts w:ascii="仿宋_GB2312" w:eastAsia="仿宋_GB2312" w:hint="eastAsia"/>
          <w:sz w:val="24"/>
        </w:rPr>
        <w:t>（下）</w:t>
      </w:r>
      <w:r w:rsidRPr="00A83B7C">
        <w:rPr>
          <w:rFonts w:ascii="仿宋_GB2312" w:eastAsia="仿宋_GB2312"/>
          <w:sz w:val="24"/>
        </w:rPr>
        <w:t>限价</w:t>
      </w:r>
      <w:proofErr w:type="gramStart"/>
      <w:r w:rsidRPr="00A83B7C">
        <w:rPr>
          <w:rFonts w:ascii="仿宋_GB2312" w:eastAsia="仿宋_GB2312"/>
          <w:sz w:val="24"/>
        </w:rPr>
        <w:t>格对于</w:t>
      </w:r>
      <w:proofErr w:type="gramEnd"/>
      <w:r w:rsidRPr="00A83B7C">
        <w:rPr>
          <w:rFonts w:ascii="仿宋_GB2312" w:eastAsia="仿宋_GB2312"/>
          <w:sz w:val="24"/>
        </w:rPr>
        <w:t>R类型无涨跌幅限制的产品，</w:t>
      </w:r>
      <w:r w:rsidRPr="00A83B7C">
        <w:rPr>
          <w:rFonts w:ascii="仿宋_GB2312" w:eastAsia="仿宋_GB2312" w:hint="eastAsia"/>
          <w:sz w:val="24"/>
        </w:rPr>
        <w:t>无实际控制意义</w:t>
      </w:r>
      <w:r w:rsidRPr="00A83B7C">
        <w:rPr>
          <w:rFonts w:ascii="仿宋_GB2312" w:eastAsia="仿宋_GB2312"/>
          <w:sz w:val="24"/>
        </w:rPr>
        <w:t>。</w:t>
      </w:r>
    </w:p>
    <w:p w:rsidR="0050386E" w:rsidRPr="00E33524" w:rsidRDefault="0050386E" w:rsidP="0050386E">
      <w:pPr>
        <w:pStyle w:val="a8"/>
        <w:numPr>
          <w:ilvl w:val="0"/>
          <w:numId w:val="3"/>
        </w:numPr>
        <w:spacing w:line="360" w:lineRule="auto"/>
        <w:ind w:firstLineChars="0"/>
        <w:jc w:val="left"/>
        <w:rPr>
          <w:rFonts w:ascii="仿宋_GB2312" w:eastAsia="仿宋_GB2312"/>
          <w:sz w:val="24"/>
        </w:rPr>
      </w:pPr>
      <w:r w:rsidRPr="00E33524">
        <w:rPr>
          <w:rFonts w:ascii="仿宋_GB2312" w:eastAsia="仿宋_GB2312" w:hint="eastAsia"/>
          <w:sz w:val="24"/>
        </w:rPr>
        <w:t>市场参与者应充分评估业务变更对交易相关技术系统的影响，做好相关技术系统维护、改造工作，保证</w:t>
      </w:r>
      <w:r w:rsidRPr="00732DAE">
        <w:rPr>
          <w:rFonts w:ascii="仿宋_GB2312" w:eastAsia="仿宋_GB2312" w:hint="eastAsia"/>
          <w:sz w:val="24"/>
        </w:rPr>
        <w:t>风险警示</w:t>
      </w:r>
      <w:proofErr w:type="gramStart"/>
      <w:r w:rsidRPr="00732DAE">
        <w:rPr>
          <w:rFonts w:ascii="仿宋_GB2312" w:eastAsia="仿宋_GB2312" w:hint="eastAsia"/>
          <w:sz w:val="24"/>
        </w:rPr>
        <w:t>板股票退</w:t>
      </w:r>
      <w:proofErr w:type="gramEnd"/>
      <w:r w:rsidRPr="00732DAE">
        <w:rPr>
          <w:rFonts w:ascii="仿宋_GB2312" w:eastAsia="仿宋_GB2312" w:hint="eastAsia"/>
          <w:sz w:val="24"/>
        </w:rPr>
        <w:t>市后重新上市首日</w:t>
      </w:r>
      <w:r w:rsidRPr="00E33524">
        <w:rPr>
          <w:rFonts w:ascii="仿宋_GB2312" w:eastAsia="仿宋_GB2312" w:hint="eastAsia"/>
          <w:sz w:val="24"/>
        </w:rPr>
        <w:t>业务的顺利开展，同时保障现有上交所股票、债券、基金、融资融券、港股通、股票期权等各类业务正常运行。</w:t>
      </w:r>
    </w:p>
    <w:p w:rsidR="0050386E" w:rsidRPr="00E33524" w:rsidRDefault="0050386E" w:rsidP="0050386E">
      <w:pPr>
        <w:pStyle w:val="a8"/>
        <w:numPr>
          <w:ilvl w:val="0"/>
          <w:numId w:val="3"/>
        </w:numPr>
        <w:spacing w:line="360" w:lineRule="auto"/>
        <w:ind w:firstLineChars="0"/>
        <w:rPr>
          <w:rFonts w:ascii="仿宋_GB2312" w:eastAsia="仿宋_GB2312"/>
          <w:sz w:val="24"/>
        </w:rPr>
      </w:pPr>
      <w:r w:rsidRPr="00E33524">
        <w:rPr>
          <w:rFonts w:ascii="仿宋_GB2312" w:eastAsia="仿宋_GB2312" w:hint="eastAsia"/>
          <w:sz w:val="24"/>
        </w:rPr>
        <w:t>市场参与者应根据本所要求利用本所提供的测试环境进行充分测试验证。</w:t>
      </w:r>
      <w:bookmarkEnd w:id="5"/>
    </w:p>
    <w:p w:rsidR="0050386E" w:rsidRDefault="0050386E" w:rsidP="0050386E">
      <w:pPr>
        <w:spacing w:line="360" w:lineRule="auto"/>
        <w:ind w:firstLineChars="200" w:firstLine="508"/>
        <w:rPr>
          <w:rFonts w:ascii="仿宋_GB2312" w:eastAsia="仿宋_GB2312"/>
          <w:sz w:val="24"/>
        </w:rPr>
      </w:pPr>
    </w:p>
    <w:p w:rsidR="0050386E" w:rsidRDefault="0050386E" w:rsidP="0050386E">
      <w:pPr>
        <w:pStyle w:val="1"/>
        <w:spacing w:before="175" w:after="175"/>
      </w:pPr>
      <w:bookmarkStart w:id="6" w:name="_Toc523132213"/>
      <w:r>
        <w:rPr>
          <w:rFonts w:hint="eastAsia"/>
        </w:rPr>
        <w:t>相关技术文档</w:t>
      </w:r>
      <w:bookmarkEnd w:id="6"/>
    </w:p>
    <w:p w:rsidR="0050386E" w:rsidRDefault="0050386E" w:rsidP="0050386E">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本次</w:t>
      </w:r>
      <w:r w:rsidRPr="00732DAE">
        <w:rPr>
          <w:rFonts w:ascii="仿宋_GB2312" w:eastAsia="仿宋_GB2312" w:hint="eastAsia"/>
          <w:sz w:val="24"/>
        </w:rPr>
        <w:t>风险警示</w:t>
      </w:r>
      <w:proofErr w:type="gramStart"/>
      <w:r w:rsidRPr="00732DAE">
        <w:rPr>
          <w:rFonts w:ascii="仿宋_GB2312" w:eastAsia="仿宋_GB2312" w:hint="eastAsia"/>
          <w:sz w:val="24"/>
        </w:rPr>
        <w:t>板股票退</w:t>
      </w:r>
      <w:proofErr w:type="gramEnd"/>
      <w:r w:rsidRPr="00732DAE">
        <w:rPr>
          <w:rFonts w:ascii="仿宋_GB2312" w:eastAsia="仿宋_GB2312" w:hint="eastAsia"/>
          <w:sz w:val="24"/>
        </w:rPr>
        <w:t>市后重新上市首日</w:t>
      </w:r>
      <w:r>
        <w:rPr>
          <w:rFonts w:ascii="仿宋_GB2312" w:eastAsia="仿宋_GB2312" w:hint="eastAsia"/>
          <w:sz w:val="24"/>
        </w:rPr>
        <w:t>业务</w:t>
      </w:r>
      <w:r>
        <w:rPr>
          <w:rFonts w:ascii="仿宋_GB2312" w:eastAsia="仿宋_GB2312" w:hAnsi="新宋体" w:hint="eastAsia"/>
          <w:spacing w:val="-4"/>
          <w:sz w:val="24"/>
        </w:rPr>
        <w:t>未涉及市场接口规格变化，相关技术文档无变更。</w:t>
      </w:r>
    </w:p>
    <w:p w:rsidR="0050386E" w:rsidRDefault="0050386E" w:rsidP="0050386E">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本所最新技术文档详见上交所网站交易技术支持专区：</w:t>
      </w:r>
    </w:p>
    <w:p w:rsidR="0050386E" w:rsidRDefault="0050386E" w:rsidP="0050386E">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IS101上海证券交易所竞价撮合平台市场参与者接口规格说明书</w:t>
      </w:r>
    </w:p>
    <w:p w:rsidR="0050386E" w:rsidRDefault="0050386E" w:rsidP="0050386E">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IS111 上海证券交易所报盘软件错误代码表</w:t>
      </w:r>
    </w:p>
    <w:p w:rsidR="0050386E" w:rsidRDefault="0050386E" w:rsidP="0050386E">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IS120 上海证券交易所行情网关BINARY数据接口规范</w:t>
      </w:r>
    </w:p>
    <w:p w:rsidR="0050386E" w:rsidRDefault="0050386E" w:rsidP="0050386E">
      <w:pPr>
        <w:spacing w:line="360" w:lineRule="auto"/>
        <w:ind w:firstLineChars="200" w:firstLine="492"/>
      </w:pPr>
      <w:r>
        <w:rPr>
          <w:rFonts w:ascii="仿宋_GB2312" w:eastAsia="仿宋_GB2312" w:hAnsi="新宋体" w:hint="eastAsia"/>
          <w:spacing w:val="-4"/>
          <w:sz w:val="24"/>
        </w:rPr>
        <w:lastRenderedPageBreak/>
        <w:t>IS120 上海证券交易所行情网关STEP数据接口规范</w:t>
      </w:r>
    </w:p>
    <w:p w:rsidR="0050386E" w:rsidRDefault="0050386E" w:rsidP="0050386E"/>
    <w:p w:rsidR="00A95362" w:rsidRDefault="00A95362"/>
    <w:sectPr w:rsidR="00A95362" w:rsidSect="00C862D2">
      <w:headerReference w:type="even" r:id="rId9"/>
      <w:headerReference w:type="default" r:id="rId10"/>
      <w:footerReference w:type="default" r:id="rId11"/>
      <w:pgSz w:w="11906" w:h="16838"/>
      <w:pgMar w:top="1418" w:right="1701" w:bottom="1418" w:left="1701" w:header="851" w:footer="851" w:gutter="0"/>
      <w:cols w:space="425"/>
      <w:titlePg/>
      <w:docGrid w:type="linesAndChars" w:linePitch="350" w:charSpace="28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D2" w:rsidRDefault="0050386E">
    <w:pPr>
      <w:pStyle w:val="a4"/>
      <w:tabs>
        <w:tab w:val="center" w:pos="4700"/>
        <w:tab w:val="right" w:pos="9600"/>
      </w:tabs>
      <w:ind w:firstLine="360"/>
      <w:rPr>
        <w:rStyle w:val="a6"/>
        <w:rFonts w:ascii="宋体"/>
      </w:rPr>
    </w:pPr>
    <w:r>
      <w:sym w:font="Symbol" w:char="F0D3"/>
    </w:r>
    <w:r>
      <w:rPr>
        <w:rFonts w:hint="eastAsia"/>
      </w:rPr>
      <w:t>上海证券交易所</w:t>
    </w:r>
    <w:r>
      <w:tab/>
      <w:t xml:space="preserve">                  </w:t>
    </w:r>
    <w:r>
      <w:tab/>
    </w:r>
    <w:r>
      <w:rPr>
        <w:rFonts w:hint="eastAsia"/>
      </w:rPr>
      <w:t>第</w:t>
    </w: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r>
      <w:rPr>
        <w:rStyle w:val="a6"/>
        <w:rFonts w:ascii="宋体" w:hAnsi="宋体" w:hint="eastAsia"/>
      </w:rPr>
      <w:t>页</w:t>
    </w:r>
    <w:r>
      <w:rPr>
        <w:rStyle w:val="a6"/>
        <w:rFonts w:ascii="宋体" w:hAnsi="宋体"/>
      </w:rPr>
      <w:t xml:space="preserve"> </w:t>
    </w:r>
    <w:r>
      <w:rPr>
        <w:rStyle w:val="a6"/>
        <w:rFonts w:ascii="宋体" w:hAnsi="宋体" w:hint="eastAsia"/>
      </w:rPr>
      <w:t>共</w:t>
    </w:r>
    <w:r>
      <w:rPr>
        <w:rStyle w:val="a6"/>
      </w:rPr>
      <w:fldChar w:fldCharType="begin"/>
    </w:r>
    <w:r>
      <w:rPr>
        <w:rStyle w:val="a6"/>
      </w:rPr>
      <w:instrText xml:space="preserve"> NUMPAGES </w:instrText>
    </w:r>
    <w:r>
      <w:rPr>
        <w:rStyle w:val="a6"/>
      </w:rPr>
      <w:fldChar w:fldCharType="separate"/>
    </w:r>
    <w:r>
      <w:rPr>
        <w:rStyle w:val="a6"/>
        <w:noProof/>
      </w:rPr>
      <w:t>5</w:t>
    </w:r>
    <w:r>
      <w:rPr>
        <w:rStyle w:val="a6"/>
      </w:rPr>
      <w:fldChar w:fldCharType="end"/>
    </w:r>
    <w:r>
      <w:rPr>
        <w:rStyle w:val="a6"/>
        <w:rFonts w:ascii="宋体" w:hAnsi="宋体" w:hint="eastAsia"/>
      </w:rPr>
      <w:t>页</w:t>
    </w:r>
  </w:p>
  <w:p w:rsidR="00C862D2" w:rsidRDefault="0050386E">
    <w:pPr>
      <w:pStyle w:val="a4"/>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D2" w:rsidRDefault="0050386E">
    <w:pPr>
      <w:pStyle w:val="a5"/>
      <w:ind w:firstLine="360"/>
    </w:pPr>
    <w:r>
      <w:rPr>
        <w:rStyle w:val="a6"/>
      </w:rPr>
      <w:fldChar w:fldCharType="begin"/>
    </w:r>
    <w:r>
      <w:rPr>
        <w:rStyle w:val="a6"/>
      </w:rPr>
      <w:instrText xml:space="preserve"> NUMPAGES </w:instrText>
    </w:r>
    <w:r>
      <w:rPr>
        <w:rStyle w:val="a6"/>
      </w:rPr>
      <w:fldChar w:fldCharType="separate"/>
    </w:r>
    <w:r>
      <w:rPr>
        <w:rStyle w:val="a6"/>
      </w:rPr>
      <w:t>9</w:t>
    </w:r>
    <w:r>
      <w:rPr>
        <w:rStyle w:val="a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D2" w:rsidRDefault="0050386E">
    <w:pPr>
      <w:pStyle w:val="a5"/>
      <w:pBdr>
        <w:bottom w:val="single" w:sz="6" w:space="3" w:color="auto"/>
      </w:pBdr>
      <w:tabs>
        <w:tab w:val="clear" w:pos="4153"/>
        <w:tab w:val="right" w:pos="9600"/>
      </w:tabs>
      <w:ind w:right="-1" w:firstLine="360"/>
      <w:jc w:val="both"/>
      <w:rPr>
        <w:sz w:val="21"/>
        <w:szCs w:val="21"/>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-34290</wp:posOffset>
          </wp:positionV>
          <wp:extent cx="1443355" cy="236855"/>
          <wp:effectExtent l="19050" t="0" r="4445" b="0"/>
          <wp:wrapNone/>
          <wp:docPr id="1" name="图片 8" descr="Sse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Sse_Logo_l"/>
                  <pic:cNvPicPr>
                    <a:picLocks noChangeAspect="1" noChangeArrowheads="1"/>
                  </pic:cNvPicPr>
                </pic:nvPicPr>
                <pic:blipFill>
                  <a:blip r:embed="rId1"/>
                  <a:srcRect/>
                  <a:stretch>
                    <a:fillRect/>
                  </a:stretch>
                </pic:blipFill>
                <pic:spPr>
                  <a:xfrm>
                    <a:off x="0" y="0"/>
                    <a:ext cx="1443355" cy="236855"/>
                  </a:xfrm>
                  <a:prstGeom prst="rect">
                    <a:avLst/>
                  </a:prstGeom>
                  <a:noFill/>
                  <a:ln w="9525">
                    <a:noFill/>
                    <a:miter lim="800000"/>
                    <a:headEnd/>
                    <a:tailEnd/>
                  </a:ln>
                </pic:spPr>
              </pic:pic>
            </a:graphicData>
          </a:graphic>
        </wp:anchor>
      </w:drawing>
    </w:r>
    <w:r>
      <w:rPr>
        <w:sz w:val="21"/>
        <w:szCs w:val="21"/>
      </w:rPr>
      <w:tab/>
    </w:r>
    <w:r>
      <w:rPr>
        <w:rFonts w:hint="eastAsia"/>
        <w:sz w:val="21"/>
        <w:szCs w:val="21"/>
      </w:rPr>
      <w:t>技术文档</w:t>
    </w:r>
  </w:p>
  <w:p w:rsidR="00C862D2" w:rsidRDefault="0050386E">
    <w:pPr>
      <w:pStyle w:val="a5"/>
      <w:pBdr>
        <w:bottom w:val="single" w:sz="6" w:space="3" w:color="auto"/>
      </w:pBdr>
      <w:tabs>
        <w:tab w:val="center" w:pos="4700"/>
        <w:tab w:val="right" w:pos="9600"/>
      </w:tabs>
      <w:ind w:right="-1" w:firstLine="420"/>
      <w:jc w:val="both"/>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B0B"/>
    <w:multiLevelType w:val="hybridMultilevel"/>
    <w:tmpl w:val="5B1E2952"/>
    <w:lvl w:ilvl="0" w:tplc="04090011">
      <w:start w:val="1"/>
      <w:numFmt w:val="decimal"/>
      <w:lvlText w:val="%1)"/>
      <w:lvlJc w:val="left"/>
      <w:pPr>
        <w:ind w:left="928" w:hanging="420"/>
      </w:p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1">
    <w:nsid w:val="5A6B045A"/>
    <w:multiLevelType w:val="hybridMultilevel"/>
    <w:tmpl w:val="5A969FD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345FD2"/>
    <w:multiLevelType w:val="multilevel"/>
    <w:tmpl w:val="6C345FD2"/>
    <w:lvl w:ilvl="0">
      <w:start w:val="1"/>
      <w:numFmt w:val="decimal"/>
      <w:pStyle w:val="1"/>
      <w:lvlText w:val="%1"/>
      <w:lvlJc w:val="left"/>
      <w:pPr>
        <w:tabs>
          <w:tab w:val="left" w:pos="432"/>
        </w:tabs>
        <w:ind w:left="432" w:hanging="432"/>
      </w:pPr>
      <w:rPr>
        <w:rFonts w:cs="Times New Roman" w:hint="eastAsia"/>
      </w:rPr>
    </w:lvl>
    <w:lvl w:ilvl="1">
      <w:start w:val="1"/>
      <w:numFmt w:val="decimal"/>
      <w:pStyle w:val="2"/>
      <w:lvlText w:val="%1.%2"/>
      <w:lvlJc w:val="left"/>
      <w:pPr>
        <w:tabs>
          <w:tab w:val="left" w:pos="2277"/>
        </w:tabs>
        <w:ind w:left="2277" w:hanging="576"/>
      </w:pPr>
      <w:rPr>
        <w:rFonts w:cs="Times New Roman" w:hint="eastAsia"/>
      </w:rPr>
    </w:lvl>
    <w:lvl w:ilvl="2">
      <w:start w:val="1"/>
      <w:numFmt w:val="decimal"/>
      <w:pStyle w:val="3"/>
      <w:lvlText w:val="%1.%2.%3"/>
      <w:lvlJc w:val="left"/>
      <w:pPr>
        <w:tabs>
          <w:tab w:val="left" w:pos="3839"/>
        </w:tabs>
        <w:ind w:left="3839" w:hanging="720"/>
      </w:pPr>
      <w:rPr>
        <w:rFonts w:cs="Times New Roman" w:hint="eastAsia"/>
      </w:rPr>
    </w:lvl>
    <w:lvl w:ilvl="3">
      <w:start w:val="1"/>
      <w:numFmt w:val="decimal"/>
      <w:pStyle w:val="4"/>
      <w:lvlText w:val="%1.%2.%3.%4"/>
      <w:lvlJc w:val="left"/>
      <w:pPr>
        <w:tabs>
          <w:tab w:val="left" w:pos="864"/>
        </w:tabs>
        <w:ind w:left="864" w:hanging="864"/>
      </w:pPr>
      <w:rPr>
        <w:rFonts w:cs="Times New Roman" w:hint="eastAsia"/>
      </w:rPr>
    </w:lvl>
    <w:lvl w:ilvl="4">
      <w:start w:val="1"/>
      <w:numFmt w:val="decimal"/>
      <w:pStyle w:val="5"/>
      <w:lvlText w:val="%1.%2.%3.%4.%5"/>
      <w:lvlJc w:val="left"/>
      <w:pPr>
        <w:tabs>
          <w:tab w:val="left" w:pos="1008"/>
        </w:tabs>
        <w:ind w:left="1008" w:hanging="1008"/>
      </w:pPr>
      <w:rPr>
        <w:rFonts w:cs="Times New Roman" w:hint="eastAsia"/>
      </w:rPr>
    </w:lvl>
    <w:lvl w:ilvl="5">
      <w:start w:val="1"/>
      <w:numFmt w:val="decimal"/>
      <w:pStyle w:val="6"/>
      <w:lvlText w:val="%1.%2.%3.%4.%5.%6"/>
      <w:lvlJc w:val="left"/>
      <w:pPr>
        <w:tabs>
          <w:tab w:val="left" w:pos="1152"/>
        </w:tabs>
        <w:ind w:left="1152" w:hanging="1152"/>
      </w:pPr>
      <w:rPr>
        <w:rFonts w:cs="Times New Roman" w:hint="eastAsia"/>
      </w:rPr>
    </w:lvl>
    <w:lvl w:ilvl="6">
      <w:start w:val="1"/>
      <w:numFmt w:val="decimal"/>
      <w:pStyle w:val="7"/>
      <w:lvlText w:val="%1.%2.%3.%4.%5.%6.%7"/>
      <w:lvlJc w:val="left"/>
      <w:pPr>
        <w:tabs>
          <w:tab w:val="left" w:pos="1296"/>
        </w:tabs>
        <w:ind w:left="1296" w:hanging="1296"/>
      </w:pPr>
      <w:rPr>
        <w:rFonts w:cs="Times New Roman" w:hint="eastAsia"/>
      </w:rPr>
    </w:lvl>
    <w:lvl w:ilvl="7">
      <w:start w:val="1"/>
      <w:numFmt w:val="decimal"/>
      <w:pStyle w:val="8"/>
      <w:lvlText w:val="%1.%2.%3.%4.%5.%6.%7.%8"/>
      <w:lvlJc w:val="left"/>
      <w:pPr>
        <w:tabs>
          <w:tab w:val="left" w:pos="1440"/>
        </w:tabs>
        <w:ind w:left="1440" w:hanging="1440"/>
      </w:pPr>
      <w:rPr>
        <w:rFonts w:cs="Times New Roman" w:hint="eastAsia"/>
      </w:rPr>
    </w:lvl>
    <w:lvl w:ilvl="8">
      <w:start w:val="1"/>
      <w:numFmt w:val="decimal"/>
      <w:pStyle w:val="9"/>
      <w:lvlText w:val="%1.%2.%3.%4.%5.%6.%7.%8.%9"/>
      <w:lvlJc w:val="left"/>
      <w:pPr>
        <w:tabs>
          <w:tab w:val="left" w:pos="1584"/>
        </w:tabs>
        <w:ind w:left="1584" w:hanging="1584"/>
      </w:pPr>
      <w:rPr>
        <w:rFonts w:cs="Times New Roman" w:hint="eastAsia"/>
      </w:rPr>
    </w:lvl>
  </w:abstractNum>
  <w:abstractNum w:abstractNumId="3">
    <w:nsid w:val="772C36D5"/>
    <w:multiLevelType w:val="multilevel"/>
    <w:tmpl w:val="772C36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386E"/>
    <w:rsid w:val="0050386E"/>
    <w:rsid w:val="00A95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6E"/>
    <w:pPr>
      <w:widowControl w:val="0"/>
      <w:jc w:val="both"/>
    </w:pPr>
    <w:rPr>
      <w:rFonts w:ascii="Times New Roman" w:eastAsia="宋体" w:hAnsi="Times New Roman" w:cs="Times New Roman"/>
      <w:szCs w:val="24"/>
    </w:rPr>
  </w:style>
  <w:style w:type="paragraph" w:styleId="1">
    <w:name w:val="heading 1"/>
    <w:basedOn w:val="a"/>
    <w:next w:val="a"/>
    <w:link w:val="1Char"/>
    <w:qFormat/>
    <w:rsid w:val="0050386E"/>
    <w:pPr>
      <w:keepNext/>
      <w:numPr>
        <w:numId w:val="1"/>
      </w:numPr>
      <w:spacing w:beforeLines="50" w:afterLines="50"/>
      <w:jc w:val="left"/>
      <w:outlineLvl w:val="0"/>
    </w:pPr>
    <w:rPr>
      <w:b/>
      <w:sz w:val="32"/>
    </w:rPr>
  </w:style>
  <w:style w:type="paragraph" w:styleId="2">
    <w:name w:val="heading 2"/>
    <w:basedOn w:val="a"/>
    <w:next w:val="a"/>
    <w:link w:val="2Char"/>
    <w:qFormat/>
    <w:rsid w:val="0050386E"/>
    <w:pPr>
      <w:keepNext/>
      <w:keepLines/>
      <w:numPr>
        <w:ilvl w:val="1"/>
        <w:numId w:val="1"/>
      </w:numPr>
      <w:spacing w:before="100" w:beforeAutospacing="1" w:after="100" w:afterAutospacing="1"/>
      <w:jc w:val="left"/>
      <w:outlineLvl w:val="1"/>
    </w:pPr>
    <w:rPr>
      <w:rFonts w:ascii="Arial" w:hAnsi="Arial"/>
      <w:b/>
      <w:bCs/>
      <w:sz w:val="28"/>
      <w:szCs w:val="32"/>
    </w:rPr>
  </w:style>
  <w:style w:type="paragraph" w:styleId="3">
    <w:name w:val="heading 3"/>
    <w:basedOn w:val="a"/>
    <w:next w:val="a"/>
    <w:link w:val="3Char"/>
    <w:qFormat/>
    <w:rsid w:val="0050386E"/>
    <w:pPr>
      <w:keepNext/>
      <w:keepLines/>
      <w:numPr>
        <w:ilvl w:val="2"/>
        <w:numId w:val="1"/>
      </w:numPr>
      <w:spacing w:before="100" w:beforeAutospacing="1" w:after="100" w:afterAutospacing="1"/>
      <w:jc w:val="left"/>
      <w:outlineLvl w:val="2"/>
    </w:pPr>
    <w:rPr>
      <w:b/>
      <w:bCs/>
      <w:color w:val="000000"/>
      <w:sz w:val="24"/>
      <w:szCs w:val="32"/>
    </w:rPr>
  </w:style>
  <w:style w:type="paragraph" w:styleId="4">
    <w:name w:val="heading 4"/>
    <w:basedOn w:val="a"/>
    <w:next w:val="a"/>
    <w:link w:val="4Char"/>
    <w:qFormat/>
    <w:rsid w:val="0050386E"/>
    <w:pPr>
      <w:keepNext/>
      <w:numPr>
        <w:ilvl w:val="3"/>
        <w:numId w:val="1"/>
      </w:numPr>
      <w:jc w:val="left"/>
      <w:outlineLvl w:val="3"/>
    </w:pPr>
    <w:rPr>
      <w:b/>
      <w:iCs/>
    </w:rPr>
  </w:style>
  <w:style w:type="paragraph" w:styleId="5">
    <w:name w:val="heading 5"/>
    <w:basedOn w:val="a"/>
    <w:next w:val="a"/>
    <w:link w:val="5Char"/>
    <w:qFormat/>
    <w:rsid w:val="0050386E"/>
    <w:pPr>
      <w:keepNext/>
      <w:numPr>
        <w:ilvl w:val="4"/>
        <w:numId w:val="1"/>
      </w:numPr>
      <w:outlineLvl w:val="4"/>
    </w:pPr>
    <w:rPr>
      <w:i/>
      <w:sz w:val="22"/>
    </w:rPr>
  </w:style>
  <w:style w:type="paragraph" w:styleId="6">
    <w:name w:val="heading 6"/>
    <w:basedOn w:val="a"/>
    <w:next w:val="a"/>
    <w:link w:val="6Char"/>
    <w:qFormat/>
    <w:rsid w:val="0050386E"/>
    <w:pPr>
      <w:keepNext/>
      <w:numPr>
        <w:ilvl w:val="5"/>
        <w:numId w:val="1"/>
      </w:numPr>
      <w:outlineLvl w:val="5"/>
    </w:pPr>
    <w:rPr>
      <w:i/>
      <w:sz w:val="22"/>
    </w:rPr>
  </w:style>
  <w:style w:type="paragraph" w:styleId="7">
    <w:name w:val="heading 7"/>
    <w:basedOn w:val="a"/>
    <w:next w:val="a"/>
    <w:link w:val="7Char"/>
    <w:qFormat/>
    <w:rsid w:val="0050386E"/>
    <w:pPr>
      <w:keepNext/>
      <w:numPr>
        <w:ilvl w:val="6"/>
        <w:numId w:val="1"/>
      </w:numPr>
      <w:outlineLvl w:val="6"/>
    </w:pPr>
    <w:rPr>
      <w:i/>
      <w:sz w:val="22"/>
    </w:rPr>
  </w:style>
  <w:style w:type="paragraph" w:styleId="8">
    <w:name w:val="heading 8"/>
    <w:basedOn w:val="a"/>
    <w:next w:val="a"/>
    <w:link w:val="8Char"/>
    <w:qFormat/>
    <w:rsid w:val="0050386E"/>
    <w:pPr>
      <w:keepNext/>
      <w:numPr>
        <w:ilvl w:val="7"/>
        <w:numId w:val="1"/>
      </w:numPr>
      <w:outlineLvl w:val="7"/>
    </w:pPr>
    <w:rPr>
      <w:i/>
      <w:iCs/>
    </w:rPr>
  </w:style>
  <w:style w:type="paragraph" w:styleId="9">
    <w:name w:val="heading 9"/>
    <w:basedOn w:val="a"/>
    <w:next w:val="a"/>
    <w:link w:val="9Char"/>
    <w:qFormat/>
    <w:rsid w:val="0050386E"/>
    <w:pPr>
      <w:keepNext/>
      <w:numPr>
        <w:ilvl w:val="8"/>
        <w:numId w:val="1"/>
      </w:numPr>
      <w:outlineLvl w:val="8"/>
    </w:pPr>
    <w:rPr>
      <w:rFonts w:ascii="宋体" w:hAnsi="宋体"/>
      <w:bCs/>
      <w:i/>
      <w:i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0386E"/>
    <w:rPr>
      <w:rFonts w:ascii="Times New Roman" w:eastAsia="宋体" w:hAnsi="Times New Roman" w:cs="Times New Roman"/>
      <w:b/>
      <w:sz w:val="32"/>
      <w:szCs w:val="24"/>
    </w:rPr>
  </w:style>
  <w:style w:type="character" w:customStyle="1" w:styleId="2Char">
    <w:name w:val="标题 2 Char"/>
    <w:basedOn w:val="a0"/>
    <w:link w:val="2"/>
    <w:rsid w:val="0050386E"/>
    <w:rPr>
      <w:rFonts w:ascii="Arial" w:eastAsia="宋体" w:hAnsi="Arial" w:cs="Times New Roman"/>
      <w:b/>
      <w:bCs/>
      <w:sz w:val="28"/>
      <w:szCs w:val="32"/>
    </w:rPr>
  </w:style>
  <w:style w:type="character" w:customStyle="1" w:styleId="3Char">
    <w:name w:val="标题 3 Char"/>
    <w:basedOn w:val="a0"/>
    <w:link w:val="3"/>
    <w:rsid w:val="0050386E"/>
    <w:rPr>
      <w:rFonts w:ascii="Times New Roman" w:eastAsia="宋体" w:hAnsi="Times New Roman" w:cs="Times New Roman"/>
      <w:b/>
      <w:bCs/>
      <w:color w:val="000000"/>
      <w:sz w:val="24"/>
      <w:szCs w:val="32"/>
    </w:rPr>
  </w:style>
  <w:style w:type="character" w:customStyle="1" w:styleId="4Char">
    <w:name w:val="标题 4 Char"/>
    <w:basedOn w:val="a0"/>
    <w:link w:val="4"/>
    <w:rsid w:val="0050386E"/>
    <w:rPr>
      <w:rFonts w:ascii="Times New Roman" w:eastAsia="宋体" w:hAnsi="Times New Roman" w:cs="Times New Roman"/>
      <w:b/>
      <w:iCs/>
      <w:szCs w:val="24"/>
    </w:rPr>
  </w:style>
  <w:style w:type="character" w:customStyle="1" w:styleId="5Char">
    <w:name w:val="标题 5 Char"/>
    <w:basedOn w:val="a0"/>
    <w:link w:val="5"/>
    <w:rsid w:val="0050386E"/>
    <w:rPr>
      <w:rFonts w:ascii="Times New Roman" w:eastAsia="宋体" w:hAnsi="Times New Roman" w:cs="Times New Roman"/>
      <w:i/>
      <w:sz w:val="22"/>
      <w:szCs w:val="24"/>
    </w:rPr>
  </w:style>
  <w:style w:type="character" w:customStyle="1" w:styleId="6Char">
    <w:name w:val="标题 6 Char"/>
    <w:basedOn w:val="a0"/>
    <w:link w:val="6"/>
    <w:rsid w:val="0050386E"/>
    <w:rPr>
      <w:rFonts w:ascii="Times New Roman" w:eastAsia="宋体" w:hAnsi="Times New Roman" w:cs="Times New Roman"/>
      <w:i/>
      <w:sz w:val="22"/>
      <w:szCs w:val="24"/>
    </w:rPr>
  </w:style>
  <w:style w:type="character" w:customStyle="1" w:styleId="7Char">
    <w:name w:val="标题 7 Char"/>
    <w:basedOn w:val="a0"/>
    <w:link w:val="7"/>
    <w:rsid w:val="0050386E"/>
    <w:rPr>
      <w:rFonts w:ascii="Times New Roman" w:eastAsia="宋体" w:hAnsi="Times New Roman" w:cs="Times New Roman"/>
      <w:i/>
      <w:sz w:val="22"/>
      <w:szCs w:val="24"/>
    </w:rPr>
  </w:style>
  <w:style w:type="character" w:customStyle="1" w:styleId="8Char">
    <w:name w:val="标题 8 Char"/>
    <w:basedOn w:val="a0"/>
    <w:link w:val="8"/>
    <w:rsid w:val="0050386E"/>
    <w:rPr>
      <w:rFonts w:ascii="Times New Roman" w:eastAsia="宋体" w:hAnsi="Times New Roman" w:cs="Times New Roman"/>
      <w:i/>
      <w:iCs/>
      <w:szCs w:val="24"/>
    </w:rPr>
  </w:style>
  <w:style w:type="character" w:customStyle="1" w:styleId="9Char">
    <w:name w:val="标题 9 Char"/>
    <w:basedOn w:val="a0"/>
    <w:link w:val="9"/>
    <w:rsid w:val="0050386E"/>
    <w:rPr>
      <w:rFonts w:ascii="宋体" w:eastAsia="宋体" w:hAnsi="宋体" w:cs="Times New Roman"/>
      <w:bCs/>
      <w:i/>
      <w:iCs/>
      <w:color w:val="808080"/>
      <w:sz w:val="18"/>
      <w:szCs w:val="24"/>
    </w:rPr>
  </w:style>
  <w:style w:type="paragraph" w:styleId="a3">
    <w:name w:val="Body Text"/>
    <w:basedOn w:val="a"/>
    <w:link w:val="Char"/>
    <w:rsid w:val="0050386E"/>
    <w:rPr>
      <w:i/>
      <w:iCs/>
      <w:sz w:val="18"/>
    </w:rPr>
  </w:style>
  <w:style w:type="character" w:customStyle="1" w:styleId="Char">
    <w:name w:val="正文文本 Char"/>
    <w:basedOn w:val="a0"/>
    <w:link w:val="a3"/>
    <w:rsid w:val="0050386E"/>
    <w:rPr>
      <w:rFonts w:ascii="Times New Roman" w:eastAsia="宋体" w:hAnsi="Times New Roman" w:cs="Times New Roman"/>
      <w:i/>
      <w:iCs/>
      <w:sz w:val="18"/>
      <w:szCs w:val="24"/>
    </w:rPr>
  </w:style>
  <w:style w:type="paragraph" w:styleId="a4">
    <w:name w:val="footer"/>
    <w:basedOn w:val="a"/>
    <w:link w:val="Char0"/>
    <w:rsid w:val="0050386E"/>
    <w:pPr>
      <w:tabs>
        <w:tab w:val="center" w:pos="4153"/>
        <w:tab w:val="right" w:pos="8306"/>
      </w:tabs>
      <w:snapToGrid w:val="0"/>
      <w:jc w:val="left"/>
    </w:pPr>
    <w:rPr>
      <w:sz w:val="18"/>
      <w:szCs w:val="18"/>
    </w:rPr>
  </w:style>
  <w:style w:type="character" w:customStyle="1" w:styleId="Char0">
    <w:name w:val="页脚 Char"/>
    <w:basedOn w:val="a0"/>
    <w:link w:val="a4"/>
    <w:rsid w:val="0050386E"/>
    <w:rPr>
      <w:rFonts w:ascii="Times New Roman" w:eastAsia="宋体" w:hAnsi="Times New Roman" w:cs="Times New Roman"/>
      <w:sz w:val="18"/>
      <w:szCs w:val="18"/>
    </w:rPr>
  </w:style>
  <w:style w:type="paragraph" w:styleId="a5">
    <w:name w:val="header"/>
    <w:basedOn w:val="a"/>
    <w:link w:val="Char1"/>
    <w:rsid w:val="0050386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50386E"/>
    <w:rPr>
      <w:rFonts w:ascii="Times New Roman" w:eastAsia="宋体" w:hAnsi="Times New Roman" w:cs="Times New Roman"/>
      <w:sz w:val="18"/>
      <w:szCs w:val="18"/>
    </w:rPr>
  </w:style>
  <w:style w:type="paragraph" w:styleId="10">
    <w:name w:val="index 1"/>
    <w:basedOn w:val="a"/>
    <w:next w:val="a"/>
    <w:semiHidden/>
    <w:rsid w:val="0050386E"/>
  </w:style>
  <w:style w:type="character" w:styleId="a6">
    <w:name w:val="page number"/>
    <w:rsid w:val="0050386E"/>
    <w:rPr>
      <w:rFonts w:cs="Times New Roman"/>
    </w:rPr>
  </w:style>
  <w:style w:type="character" w:styleId="a7">
    <w:name w:val="Hyperlink"/>
    <w:uiPriority w:val="99"/>
    <w:rsid w:val="0050386E"/>
    <w:rPr>
      <w:rFonts w:cs="Times New Roman"/>
      <w:color w:val="0000FF"/>
      <w:u w:val="single"/>
    </w:rPr>
  </w:style>
  <w:style w:type="paragraph" w:customStyle="1" w:styleId="Normal0">
    <w:name w:val="Normal0"/>
    <w:rsid w:val="0050386E"/>
    <w:rPr>
      <w:rFonts w:ascii="Times New Roman" w:eastAsia="宋体" w:hAnsi="Times New Roman" w:cs="Times New Roman"/>
      <w:kern w:val="0"/>
      <w:sz w:val="20"/>
      <w:szCs w:val="20"/>
      <w:lang w:eastAsia="en-US"/>
    </w:rPr>
  </w:style>
  <w:style w:type="character" w:customStyle="1" w:styleId="smallfont1">
    <w:name w:val="smallfont1"/>
    <w:rsid w:val="0050386E"/>
    <w:rPr>
      <w:rFonts w:cs="Times New Roman"/>
      <w:spacing w:val="280"/>
      <w:sz w:val="18"/>
      <w:szCs w:val="18"/>
    </w:rPr>
  </w:style>
  <w:style w:type="paragraph" w:styleId="a8">
    <w:name w:val="List Paragraph"/>
    <w:basedOn w:val="a"/>
    <w:uiPriority w:val="34"/>
    <w:qFormat/>
    <w:rsid w:val="0050386E"/>
    <w:pPr>
      <w:ind w:firstLineChars="200" w:firstLine="420"/>
    </w:pPr>
  </w:style>
  <w:style w:type="paragraph" w:styleId="a9">
    <w:name w:val="Balloon Text"/>
    <w:basedOn w:val="a"/>
    <w:link w:val="Char2"/>
    <w:uiPriority w:val="99"/>
    <w:semiHidden/>
    <w:unhideWhenUsed/>
    <w:rsid w:val="0050386E"/>
    <w:rPr>
      <w:sz w:val="18"/>
      <w:szCs w:val="18"/>
    </w:rPr>
  </w:style>
  <w:style w:type="character" w:customStyle="1" w:styleId="Char2">
    <w:name w:val="批注框文本 Char"/>
    <w:basedOn w:val="a0"/>
    <w:link w:val="a9"/>
    <w:uiPriority w:val="99"/>
    <w:semiHidden/>
    <w:rsid w:val="0050386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_support@sse.com.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王敏慧(拟稿)</dc:creator>
  <cp:lastModifiedBy>王敏慧(拟稿)</cp:lastModifiedBy>
  <cp:revision>1</cp:revision>
  <dcterms:created xsi:type="dcterms:W3CDTF">2020-05-30T00:59:00Z</dcterms:created>
  <dcterms:modified xsi:type="dcterms:W3CDTF">2020-05-30T01:02:00Z</dcterms:modified>
</cp:coreProperties>
</file>