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88" w:rsidRPr="00586D4B" w:rsidRDefault="00A21D88" w:rsidP="00A21D88">
      <w:pPr>
        <w:jc w:val="center"/>
        <w:rPr>
          <w:rFonts w:ascii="黑体" w:eastAsia="黑体"/>
          <w:sz w:val="36"/>
          <w:szCs w:val="36"/>
        </w:rPr>
      </w:pPr>
      <w:r w:rsidRPr="00586D4B">
        <w:rPr>
          <w:rFonts w:ascii="黑体" w:eastAsia="黑体" w:hint="eastAsia"/>
          <w:sz w:val="36"/>
          <w:szCs w:val="36"/>
        </w:rPr>
        <w:t>关于证券信息技术研究发展中心（上海）</w:t>
      </w:r>
    </w:p>
    <w:p w:rsidR="00A21D88" w:rsidRPr="00586D4B" w:rsidRDefault="00A21D88" w:rsidP="00E46021">
      <w:pPr>
        <w:jc w:val="center"/>
        <w:outlineLvl w:val="0"/>
        <w:rPr>
          <w:rFonts w:ascii="黑体" w:eastAsia="黑体"/>
          <w:sz w:val="36"/>
          <w:szCs w:val="36"/>
        </w:rPr>
      </w:pPr>
      <w:r w:rsidRPr="00586D4B">
        <w:rPr>
          <w:rFonts w:ascii="黑体" w:eastAsia="黑体" w:hint="eastAsia"/>
          <w:sz w:val="36"/>
          <w:szCs w:val="36"/>
        </w:rPr>
        <w:t>201</w:t>
      </w:r>
      <w:r w:rsidR="00A22922" w:rsidRPr="00586D4B">
        <w:rPr>
          <w:rFonts w:ascii="黑体" w:eastAsia="黑体"/>
          <w:sz w:val="36"/>
          <w:szCs w:val="36"/>
        </w:rPr>
        <w:t>8</w:t>
      </w:r>
      <w:r w:rsidRPr="00586D4B">
        <w:rPr>
          <w:rFonts w:ascii="黑体" w:eastAsia="黑体" w:hint="eastAsia"/>
          <w:sz w:val="36"/>
          <w:szCs w:val="36"/>
        </w:rPr>
        <w:t>年联合研究课题承接结果的通知</w:t>
      </w:r>
    </w:p>
    <w:p w:rsidR="00A21D88" w:rsidRPr="001A4407" w:rsidRDefault="00A21D88" w:rsidP="00A21D88">
      <w:pPr>
        <w:rPr>
          <w:rFonts w:ascii="仿宋" w:eastAsia="仿宋" w:hAnsi="仿宋"/>
          <w:sz w:val="30"/>
          <w:szCs w:val="30"/>
        </w:rPr>
      </w:pPr>
    </w:p>
    <w:p w:rsidR="00A21D88" w:rsidRPr="001A4407" w:rsidRDefault="00A21D88" w:rsidP="00A21D88">
      <w:pPr>
        <w:rPr>
          <w:rFonts w:ascii="仿宋" w:eastAsia="仿宋" w:hAnsi="仿宋"/>
          <w:sz w:val="30"/>
          <w:szCs w:val="30"/>
        </w:rPr>
      </w:pPr>
      <w:r w:rsidRPr="001A4407">
        <w:rPr>
          <w:rFonts w:ascii="仿宋" w:eastAsia="仿宋" w:hAnsi="仿宋" w:hint="eastAsia"/>
          <w:sz w:val="30"/>
          <w:szCs w:val="30"/>
        </w:rPr>
        <w:t>各</w:t>
      </w:r>
      <w:r>
        <w:rPr>
          <w:rFonts w:ascii="仿宋" w:eastAsia="仿宋" w:hAnsi="仿宋" w:hint="eastAsia"/>
          <w:sz w:val="30"/>
          <w:szCs w:val="30"/>
        </w:rPr>
        <w:t>课题申请方</w:t>
      </w:r>
      <w:r w:rsidRPr="001A4407">
        <w:rPr>
          <w:rFonts w:ascii="仿宋" w:eastAsia="仿宋" w:hAnsi="仿宋" w:hint="eastAsia"/>
          <w:sz w:val="30"/>
          <w:szCs w:val="30"/>
        </w:rPr>
        <w:t>：</w:t>
      </w:r>
    </w:p>
    <w:p w:rsidR="00A21D88" w:rsidRDefault="00A21D88" w:rsidP="00A21D8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1A4407">
        <w:rPr>
          <w:rFonts w:ascii="仿宋" w:eastAsia="仿宋" w:hAnsi="仿宋" w:hint="eastAsia"/>
          <w:sz w:val="30"/>
          <w:szCs w:val="30"/>
        </w:rPr>
        <w:t>前期证券信息技术研究发展中心（上海）</w:t>
      </w:r>
      <w:r w:rsidR="00C7120E">
        <w:rPr>
          <w:rFonts w:ascii="仿宋" w:eastAsia="仿宋" w:hAnsi="仿宋" w:hint="eastAsia"/>
          <w:sz w:val="30"/>
          <w:szCs w:val="30"/>
        </w:rPr>
        <w:t>（以下</w:t>
      </w:r>
      <w:r w:rsidR="00C7120E">
        <w:rPr>
          <w:rFonts w:ascii="仿宋" w:eastAsia="仿宋" w:hAnsi="仿宋"/>
          <w:sz w:val="30"/>
          <w:szCs w:val="30"/>
        </w:rPr>
        <w:t>简称“ITRDC”</w:t>
      </w:r>
      <w:r w:rsidR="00C7120E"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按照201</w:t>
      </w:r>
      <w:r w:rsidR="00A22922">
        <w:rPr>
          <w:rFonts w:ascii="仿宋" w:eastAsia="仿宋" w:hAnsi="仿宋"/>
          <w:sz w:val="30"/>
          <w:szCs w:val="30"/>
        </w:rPr>
        <w:t>8</w:t>
      </w:r>
      <w:r w:rsidR="00586D4B">
        <w:rPr>
          <w:rFonts w:ascii="仿宋" w:eastAsia="仿宋" w:hAnsi="仿宋" w:hint="eastAsia"/>
          <w:sz w:val="30"/>
          <w:szCs w:val="30"/>
        </w:rPr>
        <w:t>年联合</w:t>
      </w:r>
      <w:r>
        <w:rPr>
          <w:rFonts w:ascii="仿宋" w:eastAsia="仿宋" w:hAnsi="仿宋" w:hint="eastAsia"/>
          <w:sz w:val="30"/>
          <w:szCs w:val="30"/>
        </w:rPr>
        <w:t>课题</w:t>
      </w:r>
      <w:r w:rsidR="00586D4B">
        <w:rPr>
          <w:rFonts w:ascii="仿宋" w:eastAsia="仿宋" w:hAnsi="仿宋" w:hint="eastAsia"/>
          <w:sz w:val="30"/>
          <w:szCs w:val="30"/>
        </w:rPr>
        <w:t>研究</w:t>
      </w:r>
      <w:r w:rsidR="00586D4B">
        <w:rPr>
          <w:rFonts w:ascii="仿宋" w:eastAsia="仿宋" w:hAnsi="仿宋"/>
          <w:sz w:val="30"/>
          <w:szCs w:val="30"/>
        </w:rPr>
        <w:t>工作</w:t>
      </w:r>
      <w:r>
        <w:rPr>
          <w:rFonts w:ascii="仿宋" w:eastAsia="仿宋" w:hAnsi="仿宋" w:hint="eastAsia"/>
          <w:sz w:val="30"/>
          <w:szCs w:val="30"/>
        </w:rPr>
        <w:t>计划，对外发出了</w:t>
      </w:r>
      <w:r w:rsidR="00A22922">
        <w:rPr>
          <w:rFonts w:ascii="仿宋" w:eastAsia="仿宋" w:hAnsi="仿宋" w:hint="eastAsia"/>
          <w:sz w:val="30"/>
          <w:szCs w:val="30"/>
        </w:rPr>
        <w:t>课题承接方征集通知。各市场参与方、</w:t>
      </w:r>
      <w:r w:rsidR="00EA3505">
        <w:rPr>
          <w:rFonts w:ascii="仿宋" w:eastAsia="仿宋" w:hAnsi="仿宋" w:hint="eastAsia"/>
          <w:sz w:val="30"/>
          <w:szCs w:val="30"/>
        </w:rPr>
        <w:t>科技公司</w:t>
      </w:r>
      <w:r w:rsidR="00A22922">
        <w:rPr>
          <w:rFonts w:ascii="仿宋" w:eastAsia="仿宋" w:hAnsi="仿宋" w:hint="eastAsia"/>
          <w:sz w:val="30"/>
          <w:szCs w:val="30"/>
        </w:rPr>
        <w:t>、</w:t>
      </w:r>
      <w:r w:rsidR="00DB79EF">
        <w:rPr>
          <w:rFonts w:ascii="仿宋" w:eastAsia="仿宋" w:hAnsi="仿宋" w:hint="eastAsia"/>
          <w:sz w:val="30"/>
          <w:szCs w:val="30"/>
        </w:rPr>
        <w:t>高校</w:t>
      </w:r>
      <w:r w:rsidR="00A22922">
        <w:rPr>
          <w:rFonts w:ascii="仿宋" w:eastAsia="仿宋" w:hAnsi="仿宋" w:hint="eastAsia"/>
          <w:sz w:val="30"/>
          <w:szCs w:val="30"/>
        </w:rPr>
        <w:t>科研机构报名</w:t>
      </w:r>
      <w:r>
        <w:rPr>
          <w:rFonts w:ascii="仿宋" w:eastAsia="仿宋" w:hAnsi="仿宋" w:hint="eastAsia"/>
          <w:sz w:val="30"/>
          <w:szCs w:val="30"/>
        </w:rPr>
        <w:t>踊跃。经过</w:t>
      </w:r>
      <w:r w:rsidR="00A22922"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月</w:t>
      </w:r>
      <w:r w:rsidR="00A22922">
        <w:rPr>
          <w:rFonts w:ascii="仿宋" w:eastAsia="仿宋" w:hAnsi="仿宋" w:hint="eastAsia"/>
          <w:sz w:val="30"/>
          <w:szCs w:val="30"/>
        </w:rPr>
        <w:t>份的</w:t>
      </w:r>
      <w:r w:rsidR="00A22922">
        <w:rPr>
          <w:rFonts w:ascii="仿宋" w:eastAsia="仿宋" w:hAnsi="仿宋"/>
          <w:sz w:val="30"/>
          <w:szCs w:val="30"/>
        </w:rPr>
        <w:t>现场</w:t>
      </w:r>
      <w:r>
        <w:rPr>
          <w:rFonts w:ascii="仿宋" w:eastAsia="仿宋" w:hAnsi="仿宋" w:hint="eastAsia"/>
          <w:sz w:val="30"/>
          <w:szCs w:val="30"/>
        </w:rPr>
        <w:t>评审，专家评委对课题申请方的</w:t>
      </w:r>
      <w:r w:rsidR="00A22922">
        <w:rPr>
          <w:rFonts w:ascii="仿宋" w:eastAsia="仿宋" w:hAnsi="仿宋" w:hint="eastAsia"/>
          <w:sz w:val="30"/>
          <w:szCs w:val="30"/>
        </w:rPr>
        <w:t>提交</w:t>
      </w:r>
      <w:r>
        <w:rPr>
          <w:rFonts w:ascii="仿宋" w:eastAsia="仿宋" w:hAnsi="仿宋" w:hint="eastAsia"/>
          <w:sz w:val="30"/>
          <w:szCs w:val="30"/>
        </w:rPr>
        <w:t>材料及答辩情况进行了审慎评估与分析。现拟定201</w:t>
      </w:r>
      <w:r w:rsidR="00A22922">
        <w:rPr>
          <w:rFonts w:ascii="仿宋" w:eastAsia="仿宋" w:hAnsi="仿宋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年联合研究课题承</w:t>
      </w:r>
      <w:r w:rsidR="00A22922">
        <w:rPr>
          <w:rFonts w:ascii="仿宋" w:eastAsia="仿宋" w:hAnsi="仿宋" w:hint="eastAsia"/>
          <w:sz w:val="30"/>
          <w:szCs w:val="30"/>
        </w:rPr>
        <w:t>接</w:t>
      </w:r>
      <w:r w:rsidR="00586D4B">
        <w:rPr>
          <w:rFonts w:ascii="仿宋" w:eastAsia="仿宋" w:hAnsi="仿宋" w:hint="eastAsia"/>
          <w:sz w:val="30"/>
          <w:szCs w:val="30"/>
        </w:rPr>
        <w:t>单位</w:t>
      </w:r>
      <w:r>
        <w:rPr>
          <w:rFonts w:ascii="仿宋" w:eastAsia="仿宋" w:hAnsi="仿宋" w:hint="eastAsia"/>
          <w:sz w:val="30"/>
          <w:szCs w:val="30"/>
        </w:rPr>
        <w:t>名单如下：</w:t>
      </w:r>
    </w:p>
    <w:tbl>
      <w:tblPr>
        <w:tblW w:w="0" w:type="auto"/>
        <w:tblInd w:w="108" w:type="dxa"/>
        <w:tblLook w:val="04A0"/>
      </w:tblPr>
      <w:tblGrid>
        <w:gridCol w:w="709"/>
        <w:gridCol w:w="3969"/>
        <w:gridCol w:w="3736"/>
      </w:tblGrid>
      <w:tr w:rsidR="00622DA8" w:rsidRPr="00622DA8" w:rsidTr="00DB79E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DB79EF" w:rsidP="00622DA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622DA8" w:rsidP="00622DA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622DA8" w:rsidP="00622DA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课题承接方</w:t>
            </w:r>
          </w:p>
        </w:tc>
      </w:tr>
      <w:tr w:rsidR="00622DA8" w:rsidRPr="00622DA8" w:rsidTr="00DB79EF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DB79EF" w:rsidP="00DB79E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622DA8" w:rsidP="00622D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深度学习和知识图谱在智能公司监管中的应用研究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622DA8" w:rsidP="00622D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同济大学</w:t>
            </w: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br/>
            </w:r>
            <w:proofErr w:type="gramStart"/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深圳市智搜信息技术</w:t>
            </w:r>
            <w:proofErr w:type="gramEnd"/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有限公司</w:t>
            </w: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br/>
              <w:t>上海七牛信息技术有限公司</w:t>
            </w:r>
          </w:p>
        </w:tc>
      </w:tr>
      <w:tr w:rsidR="00622DA8" w:rsidRPr="00622DA8" w:rsidTr="00DB79EF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DB79EF" w:rsidP="00DB79E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622DA8" w:rsidP="00622D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证券信息技术智能客</w:t>
            </w:r>
            <w:proofErr w:type="gramStart"/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服应用</w:t>
            </w:r>
            <w:proofErr w:type="gramEnd"/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研究  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622DA8" w:rsidP="00622D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安信证券股份有限公司</w:t>
            </w:r>
          </w:p>
        </w:tc>
      </w:tr>
      <w:tr w:rsidR="00622DA8" w:rsidRPr="00622DA8" w:rsidTr="00DB79EF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DB79EF" w:rsidP="00DB79E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622DA8" w:rsidP="00622D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面向证券行业的智能运维模型及落地机制研究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622DA8" w:rsidP="00622D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海通证券股份有限公司</w:t>
            </w: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br/>
              <w:t>珠海金智维信息科技有限公司</w:t>
            </w:r>
          </w:p>
        </w:tc>
      </w:tr>
      <w:tr w:rsidR="00622DA8" w:rsidRPr="00622DA8" w:rsidTr="00DB79EF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DB79EF" w:rsidP="00DB79E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622DA8" w:rsidP="00622D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云环境</w:t>
            </w:r>
            <w:proofErr w:type="gramEnd"/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下的敏感数据保护机制研究  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622DA8" w:rsidP="00622D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上海优刻得信息科技有限公司</w:t>
            </w:r>
          </w:p>
        </w:tc>
      </w:tr>
      <w:tr w:rsidR="00622DA8" w:rsidRPr="00622DA8" w:rsidTr="00DB79EF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DB79EF" w:rsidP="00DB79E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622DA8" w:rsidP="00622D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基于异构大数据平台的容</w:t>
            </w:r>
            <w:proofErr w:type="gramStart"/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灾恢复</w:t>
            </w:r>
            <w:proofErr w:type="gramEnd"/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模型研究  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622DA8" w:rsidP="00622D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中移（苏州）软件技术有限公司</w:t>
            </w:r>
          </w:p>
        </w:tc>
      </w:tr>
      <w:tr w:rsidR="00622DA8" w:rsidRPr="00622DA8" w:rsidTr="00DB79EF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DB79EF" w:rsidP="00DB79E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622DA8" w:rsidP="00622D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低延时分布式系统容错技术研究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622DA8" w:rsidP="00622D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国信证券股份有限公司</w:t>
            </w: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br/>
              <w:t>西藏东方财富证券股份有限公司</w:t>
            </w: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br/>
              <w:t>深圳市金</w:t>
            </w:r>
            <w:proofErr w:type="gramStart"/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证科技</w:t>
            </w:r>
            <w:proofErr w:type="gramEnd"/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股份有限公司</w:t>
            </w:r>
          </w:p>
        </w:tc>
      </w:tr>
      <w:tr w:rsidR="00622DA8" w:rsidRPr="00622DA8" w:rsidTr="00DB79EF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DB79EF" w:rsidP="00DB79E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622DA8" w:rsidP="00622D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基于区块链技术的场外交易及监管体系研究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622DA8" w:rsidP="00622D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国泰君安证券股份有限公司</w:t>
            </w: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br/>
              <w:t>杭州秘</w:t>
            </w:r>
            <w:proofErr w:type="gramStart"/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猿科技</w:t>
            </w:r>
            <w:proofErr w:type="gramEnd"/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有限公司</w:t>
            </w: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br/>
              <w:t>现在(北京)支付股份有限公司</w:t>
            </w:r>
          </w:p>
        </w:tc>
      </w:tr>
      <w:tr w:rsidR="00622DA8" w:rsidRPr="00622DA8" w:rsidTr="00DB79EF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DB79EF" w:rsidP="00DB79E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622DA8" w:rsidP="00622D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物联网技术在数据中心的应用研究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622DA8" w:rsidP="00622D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清</w:t>
            </w:r>
            <w:proofErr w:type="gramStart"/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研</w:t>
            </w:r>
            <w:proofErr w:type="gramEnd"/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讯科（北京）科技有限公司</w:t>
            </w:r>
          </w:p>
        </w:tc>
      </w:tr>
      <w:tr w:rsidR="00622DA8" w:rsidRPr="00622DA8" w:rsidTr="00DB79EF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DB79EF" w:rsidP="00DB79E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622DA8" w:rsidP="00622D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原创性前沿技术发展态势跟踪研究  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8" w:rsidRPr="00622DA8" w:rsidRDefault="00622DA8" w:rsidP="00622D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上海理想信息产业（集团）有限公司</w:t>
            </w:r>
          </w:p>
        </w:tc>
      </w:tr>
    </w:tbl>
    <w:p w:rsidR="00DB79EF" w:rsidRDefault="00DB79EF" w:rsidP="00C7120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同时</w:t>
      </w:r>
      <w:r>
        <w:rPr>
          <w:rFonts w:ascii="仿宋" w:eastAsia="仿宋" w:hAnsi="仿宋"/>
          <w:sz w:val="30"/>
          <w:szCs w:val="30"/>
        </w:rPr>
        <w:t>，为进一步</w:t>
      </w:r>
      <w:r w:rsidR="000C0B2A">
        <w:rPr>
          <w:rFonts w:ascii="仿宋" w:eastAsia="仿宋" w:hAnsi="仿宋" w:hint="eastAsia"/>
          <w:sz w:val="30"/>
          <w:szCs w:val="30"/>
        </w:rPr>
        <w:t>扩大</w:t>
      </w:r>
      <w:r w:rsidR="000C0B2A">
        <w:rPr>
          <w:rFonts w:ascii="仿宋" w:eastAsia="仿宋" w:hAnsi="仿宋"/>
          <w:sz w:val="30"/>
          <w:szCs w:val="30"/>
        </w:rPr>
        <w:t>课题研究</w:t>
      </w:r>
      <w:r w:rsidR="000C0B2A">
        <w:rPr>
          <w:rFonts w:ascii="仿宋" w:eastAsia="仿宋" w:hAnsi="仿宋" w:hint="eastAsia"/>
          <w:sz w:val="30"/>
          <w:szCs w:val="30"/>
        </w:rPr>
        <w:t>探索</w:t>
      </w:r>
      <w:r w:rsidR="000C0B2A">
        <w:rPr>
          <w:rFonts w:ascii="仿宋" w:eastAsia="仿宋" w:hAnsi="仿宋"/>
          <w:sz w:val="30"/>
          <w:szCs w:val="30"/>
        </w:rPr>
        <w:t>范围</w:t>
      </w:r>
      <w:r w:rsidR="00C7120E">
        <w:rPr>
          <w:rFonts w:ascii="仿宋" w:eastAsia="仿宋" w:hAnsi="仿宋" w:hint="eastAsia"/>
          <w:sz w:val="30"/>
          <w:szCs w:val="30"/>
        </w:rPr>
        <w:t>与</w:t>
      </w:r>
      <w:bookmarkStart w:id="0" w:name="_GoBack"/>
      <w:bookmarkEnd w:id="0"/>
      <w:r w:rsidR="00C7120E">
        <w:rPr>
          <w:rFonts w:ascii="仿宋" w:eastAsia="仿宋" w:hAnsi="仿宋" w:hint="eastAsia"/>
          <w:sz w:val="30"/>
          <w:szCs w:val="30"/>
        </w:rPr>
        <w:t>参与方</w:t>
      </w:r>
      <w:r w:rsidR="000C0B2A">
        <w:rPr>
          <w:rFonts w:ascii="仿宋" w:eastAsia="仿宋" w:hAnsi="仿宋"/>
          <w:sz w:val="30"/>
          <w:szCs w:val="30"/>
        </w:rPr>
        <w:t>，</w:t>
      </w:r>
      <w:r w:rsidR="00C7120E">
        <w:rPr>
          <w:rFonts w:ascii="仿宋" w:eastAsia="仿宋" w:hAnsi="仿宋" w:hint="eastAsia"/>
          <w:sz w:val="30"/>
          <w:szCs w:val="30"/>
        </w:rPr>
        <w:t>ITRDC</w:t>
      </w:r>
      <w:r w:rsidR="000C0B2A">
        <w:rPr>
          <w:rFonts w:ascii="仿宋" w:eastAsia="仿宋" w:hAnsi="仿宋" w:hint="eastAsia"/>
          <w:sz w:val="30"/>
          <w:szCs w:val="30"/>
        </w:rPr>
        <w:t>拟</w:t>
      </w:r>
      <w:r w:rsidR="00C7120E">
        <w:rPr>
          <w:rFonts w:ascii="仿宋" w:eastAsia="仿宋" w:hAnsi="仿宋" w:hint="eastAsia"/>
          <w:sz w:val="30"/>
          <w:szCs w:val="30"/>
        </w:rPr>
        <w:t>同步</w:t>
      </w:r>
      <w:r w:rsidR="000C0B2A">
        <w:rPr>
          <w:rFonts w:ascii="仿宋" w:eastAsia="仿宋" w:hAnsi="仿宋" w:hint="eastAsia"/>
          <w:sz w:val="30"/>
          <w:szCs w:val="30"/>
        </w:rPr>
        <w:t>开展</w:t>
      </w:r>
      <w:r w:rsidR="000C0B2A">
        <w:rPr>
          <w:rFonts w:ascii="仿宋" w:eastAsia="仿宋" w:hAnsi="仿宋"/>
          <w:sz w:val="30"/>
          <w:szCs w:val="30"/>
        </w:rPr>
        <w:t>一批经费自筹类联合研究课题，承接单位</w:t>
      </w:r>
      <w:r w:rsidR="000C0B2A">
        <w:rPr>
          <w:rFonts w:ascii="仿宋" w:eastAsia="仿宋" w:hAnsi="仿宋" w:hint="eastAsia"/>
          <w:sz w:val="30"/>
          <w:szCs w:val="30"/>
        </w:rPr>
        <w:t>列表如下</w:t>
      </w:r>
      <w:r w:rsidR="000C0B2A">
        <w:rPr>
          <w:rFonts w:ascii="仿宋" w:eastAsia="仿宋" w:hAnsi="仿宋"/>
          <w:sz w:val="30"/>
          <w:szCs w:val="30"/>
        </w:rPr>
        <w:t>：</w:t>
      </w:r>
    </w:p>
    <w:tbl>
      <w:tblPr>
        <w:tblW w:w="0" w:type="auto"/>
        <w:tblInd w:w="108" w:type="dxa"/>
        <w:tblLook w:val="04A0"/>
      </w:tblPr>
      <w:tblGrid>
        <w:gridCol w:w="709"/>
        <w:gridCol w:w="3969"/>
        <w:gridCol w:w="3736"/>
      </w:tblGrid>
      <w:tr w:rsidR="00DB79EF" w:rsidRPr="00622DA8" w:rsidTr="00DB79EF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9EF" w:rsidRPr="00DB79EF" w:rsidRDefault="00DB79EF" w:rsidP="00DB79EF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</w:rPr>
            </w:pPr>
            <w:r w:rsidRPr="00DB79EF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课题承接方</w:t>
            </w:r>
          </w:p>
        </w:tc>
      </w:tr>
      <w:tr w:rsidR="00DB79EF" w:rsidRPr="00622DA8" w:rsidTr="00806881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基于深度学习的 NLP 在上市公司公告智能识别及审核中的应用研究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杭州</w:t>
            </w:r>
            <w:proofErr w:type="gramStart"/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云脑科技</w:t>
            </w:r>
            <w:proofErr w:type="gramEnd"/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有限公司</w:t>
            </w:r>
          </w:p>
        </w:tc>
      </w:tr>
      <w:tr w:rsidR="00DB79EF" w:rsidRPr="00622DA8" w:rsidTr="0080688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基于资本市场科技监管的企业画像研究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北京罗格数据科技有限公司</w:t>
            </w:r>
          </w:p>
        </w:tc>
      </w:tr>
      <w:tr w:rsidR="00DB79EF" w:rsidRPr="00622DA8" w:rsidTr="0080688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证券IT智能运维平台建设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国泰君安证券股份有限公司</w:t>
            </w:r>
          </w:p>
        </w:tc>
      </w:tr>
      <w:tr w:rsidR="00DB79EF" w:rsidRPr="00622DA8" w:rsidTr="0080688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基于深度学习算法的智能运维体系建设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光大证券股份有限公司</w:t>
            </w:r>
          </w:p>
        </w:tc>
      </w:tr>
      <w:tr w:rsidR="00DB79EF" w:rsidRPr="00622DA8" w:rsidTr="0080688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智能运营+运维助力券商业务发展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东吴证券股份有限公司</w:t>
            </w: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br/>
              <w:t>东吴（苏州）金融科技有限公司</w:t>
            </w:r>
          </w:p>
        </w:tc>
      </w:tr>
      <w:tr w:rsidR="00DB79EF" w:rsidRPr="00622DA8" w:rsidTr="0080688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面向证券行业的智能运维模型及落地机制研究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上海软中信息技术有限公司</w:t>
            </w:r>
          </w:p>
        </w:tc>
      </w:tr>
      <w:tr w:rsidR="00DB79EF" w:rsidRPr="00622DA8" w:rsidTr="00806881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基于人工智能的金融信息系统可信运</w:t>
            </w:r>
            <w:proofErr w:type="gramStart"/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维系统</w:t>
            </w:r>
            <w:proofErr w:type="gramEnd"/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东吴证券股份有限公司</w:t>
            </w: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br/>
              <w:t>东吴（苏州）金融科技有限公司</w:t>
            </w:r>
          </w:p>
        </w:tc>
      </w:tr>
      <w:tr w:rsidR="00DB79EF" w:rsidRPr="00622DA8" w:rsidTr="00806881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证券智能客服系统创新技术应用研究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</w:t>
            </w:r>
            <w:proofErr w:type="gramStart"/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信建投证券</w:t>
            </w:r>
            <w:proofErr w:type="gramEnd"/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股份有限公司</w:t>
            </w:r>
          </w:p>
        </w:tc>
      </w:tr>
      <w:tr w:rsidR="00DB79EF" w:rsidRPr="00622DA8" w:rsidTr="00806881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基于攻击链的网络威胁捕猎架构设计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长江证券股份有限公司</w:t>
            </w: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br/>
              <w:t>安信证券股份有限公司</w:t>
            </w: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br/>
              <w:t>北京长亭科技有限公司</w:t>
            </w:r>
          </w:p>
        </w:tc>
      </w:tr>
      <w:tr w:rsidR="00DB79EF" w:rsidRPr="00622DA8" w:rsidTr="0080688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兼容中港美市场资产的买方投资交易策略平台开发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工银瑞信</w:t>
            </w:r>
            <w:proofErr w:type="gramEnd"/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基金管理有限公司</w:t>
            </w:r>
          </w:p>
        </w:tc>
      </w:tr>
      <w:tr w:rsidR="00DB79EF" w:rsidRPr="00622DA8" w:rsidTr="0080688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7*24小时连续性交易研究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EF" w:rsidRPr="00622DA8" w:rsidRDefault="00DB79EF" w:rsidP="00DB79E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22DA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海通证券股份有限公司</w:t>
            </w:r>
          </w:p>
        </w:tc>
      </w:tr>
    </w:tbl>
    <w:p w:rsidR="00A21D88" w:rsidRDefault="00A22922" w:rsidP="00DB79E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承接</w:t>
      </w:r>
      <w:r w:rsidR="00A21D88">
        <w:rPr>
          <w:rFonts w:ascii="仿宋" w:eastAsia="仿宋" w:hAnsi="仿宋" w:hint="eastAsia"/>
          <w:sz w:val="30"/>
          <w:szCs w:val="30"/>
        </w:rPr>
        <w:t>课题研究的单位，我们将在近期联系安排后续事宜。未在我们本次课题承接方名单中的单位，如有新的课题研究意向，</w:t>
      </w:r>
      <w:r w:rsidR="00C7120E">
        <w:rPr>
          <w:rFonts w:ascii="仿宋" w:eastAsia="仿宋" w:hAnsi="仿宋" w:hint="eastAsia"/>
          <w:sz w:val="30"/>
          <w:szCs w:val="30"/>
        </w:rPr>
        <w:t>也</w:t>
      </w:r>
      <w:r w:rsidR="00A21D88">
        <w:rPr>
          <w:rFonts w:ascii="仿宋" w:eastAsia="仿宋" w:hAnsi="仿宋" w:hint="eastAsia"/>
          <w:sz w:val="30"/>
          <w:szCs w:val="30"/>
        </w:rPr>
        <w:t>欢迎</w:t>
      </w:r>
      <w:r w:rsidR="00C7120E">
        <w:rPr>
          <w:rFonts w:ascii="仿宋" w:eastAsia="仿宋" w:hAnsi="仿宋" w:hint="eastAsia"/>
          <w:sz w:val="30"/>
          <w:szCs w:val="30"/>
        </w:rPr>
        <w:t>随时联系我们</w:t>
      </w:r>
      <w:r w:rsidR="00A21D88">
        <w:rPr>
          <w:rFonts w:ascii="仿宋" w:eastAsia="仿宋" w:hAnsi="仿宋" w:hint="eastAsia"/>
          <w:sz w:val="30"/>
          <w:szCs w:val="30"/>
        </w:rPr>
        <w:t>。</w:t>
      </w:r>
    </w:p>
    <w:p w:rsidR="00A21D88" w:rsidRDefault="00A21D88" w:rsidP="00A21D88">
      <w:pPr>
        <w:rPr>
          <w:rFonts w:ascii="仿宋" w:eastAsia="仿宋" w:hAnsi="仿宋"/>
          <w:sz w:val="24"/>
        </w:rPr>
      </w:pPr>
    </w:p>
    <w:p w:rsidR="00586D4B" w:rsidRDefault="00A21D88" w:rsidP="00586D4B">
      <w:pPr>
        <w:spacing w:before="240" w:line="396" w:lineRule="auto"/>
        <w:rPr>
          <w:rFonts w:ascii="仿宋" w:eastAsia="仿宋" w:hAnsi="仿宋"/>
          <w:sz w:val="30"/>
          <w:szCs w:val="30"/>
        </w:rPr>
      </w:pPr>
      <w:r w:rsidRPr="00967244">
        <w:rPr>
          <w:rFonts w:ascii="仿宋" w:eastAsia="仿宋" w:hAnsi="仿宋" w:hint="eastAsia"/>
          <w:sz w:val="30"/>
          <w:szCs w:val="30"/>
        </w:rPr>
        <w:t>联系电话：021-68813289</w:t>
      </w:r>
      <w:r w:rsidR="00586D4B">
        <w:rPr>
          <w:rFonts w:ascii="仿宋" w:eastAsia="仿宋" w:hAnsi="仿宋" w:hint="eastAsia"/>
          <w:sz w:val="30"/>
          <w:szCs w:val="30"/>
        </w:rPr>
        <w:t>，</w:t>
      </w:r>
      <w:r w:rsidR="00586D4B" w:rsidRPr="00967244">
        <w:rPr>
          <w:rFonts w:ascii="仿宋" w:eastAsia="仿宋" w:hAnsi="仿宋" w:hint="eastAsia"/>
          <w:sz w:val="30"/>
          <w:szCs w:val="30"/>
        </w:rPr>
        <w:t>021-68800293</w:t>
      </w:r>
    </w:p>
    <w:p w:rsidR="00A21D88" w:rsidRPr="00967244" w:rsidRDefault="00586D4B" w:rsidP="00A21D88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联系邮箱</w:t>
      </w:r>
      <w:r w:rsidR="00A21D88" w:rsidRPr="00967244"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/>
          <w:sz w:val="30"/>
          <w:szCs w:val="30"/>
        </w:rPr>
        <w:t>regtech</w:t>
      </w:r>
      <w:r w:rsidR="00A21D88" w:rsidRPr="00967244">
        <w:rPr>
          <w:rFonts w:ascii="仿宋" w:eastAsia="仿宋" w:hAnsi="仿宋" w:hint="eastAsia"/>
          <w:sz w:val="30"/>
          <w:szCs w:val="30"/>
        </w:rPr>
        <w:t>@</w:t>
      </w:r>
      <w:r w:rsidR="00A22922">
        <w:rPr>
          <w:rFonts w:ascii="仿宋" w:eastAsia="仿宋" w:hAnsi="仿宋"/>
          <w:sz w:val="30"/>
          <w:szCs w:val="30"/>
        </w:rPr>
        <w:t>sse.com.cn</w:t>
      </w:r>
    </w:p>
    <w:p w:rsidR="00A21D88" w:rsidRDefault="00A21D88" w:rsidP="00DB79EF">
      <w:pPr>
        <w:spacing w:line="360" w:lineRule="auto"/>
        <w:ind w:right="480"/>
        <w:rPr>
          <w:rFonts w:ascii="仿宋" w:eastAsia="仿宋" w:hAnsi="仿宋"/>
          <w:sz w:val="30"/>
          <w:szCs w:val="30"/>
        </w:rPr>
      </w:pPr>
    </w:p>
    <w:p w:rsidR="00DB79EF" w:rsidRDefault="00DB79EF" w:rsidP="00DB79EF">
      <w:pPr>
        <w:spacing w:line="360" w:lineRule="auto"/>
        <w:ind w:right="480"/>
        <w:rPr>
          <w:rFonts w:ascii="仿宋" w:eastAsia="仿宋" w:hAnsi="仿宋"/>
          <w:sz w:val="24"/>
        </w:rPr>
      </w:pPr>
    </w:p>
    <w:p w:rsidR="00A21D88" w:rsidRPr="000C6014" w:rsidRDefault="00A22922" w:rsidP="00A21D88">
      <w:pPr>
        <w:wordWrap w:val="0"/>
        <w:spacing w:line="360" w:lineRule="auto"/>
        <w:ind w:firstLineChars="210" w:firstLine="63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证券信息技术研究发展中心（上海）</w:t>
      </w:r>
    </w:p>
    <w:p w:rsidR="00C47C7C" w:rsidRPr="00A21D88" w:rsidRDefault="00A22922" w:rsidP="00A21D88">
      <w:pPr>
        <w:jc w:val="right"/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018</w:t>
      </w:r>
      <w:r w:rsidR="00A21D88" w:rsidRPr="000C6014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7</w:t>
      </w:r>
      <w:r w:rsidR="00A21D88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5</w:t>
      </w:r>
      <w:r w:rsidR="00A21D88">
        <w:rPr>
          <w:rFonts w:ascii="仿宋" w:eastAsia="仿宋" w:hAnsi="仿宋" w:hint="eastAsia"/>
          <w:sz w:val="30"/>
          <w:szCs w:val="30"/>
        </w:rPr>
        <w:t>日</w:t>
      </w:r>
    </w:p>
    <w:sectPr w:rsidR="00C47C7C" w:rsidRPr="00A21D88" w:rsidSect="00C47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77F" w:rsidRDefault="00CF777F" w:rsidP="00F55D31">
      <w:pPr>
        <w:spacing w:line="240" w:lineRule="auto"/>
      </w:pPr>
      <w:r>
        <w:separator/>
      </w:r>
    </w:p>
  </w:endnote>
  <w:endnote w:type="continuationSeparator" w:id="0">
    <w:p w:rsidR="00CF777F" w:rsidRDefault="00CF777F" w:rsidP="00F55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77F" w:rsidRDefault="00CF777F" w:rsidP="00F55D31">
      <w:pPr>
        <w:spacing w:line="240" w:lineRule="auto"/>
      </w:pPr>
      <w:r>
        <w:separator/>
      </w:r>
    </w:p>
  </w:footnote>
  <w:footnote w:type="continuationSeparator" w:id="0">
    <w:p w:rsidR="00CF777F" w:rsidRDefault="00CF777F" w:rsidP="00F55D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D88"/>
    <w:rsid w:val="000C0B2A"/>
    <w:rsid w:val="000C5B9B"/>
    <w:rsid w:val="00370696"/>
    <w:rsid w:val="00586D4B"/>
    <w:rsid w:val="005C40C9"/>
    <w:rsid w:val="00622DA8"/>
    <w:rsid w:val="006D4F65"/>
    <w:rsid w:val="00986328"/>
    <w:rsid w:val="00A21D88"/>
    <w:rsid w:val="00A22922"/>
    <w:rsid w:val="00B43C41"/>
    <w:rsid w:val="00B467A6"/>
    <w:rsid w:val="00C2549E"/>
    <w:rsid w:val="00C47C7C"/>
    <w:rsid w:val="00C7120E"/>
    <w:rsid w:val="00CF777F"/>
    <w:rsid w:val="00D106F6"/>
    <w:rsid w:val="00DB79EF"/>
    <w:rsid w:val="00DC056E"/>
    <w:rsid w:val="00E46021"/>
    <w:rsid w:val="00EA3505"/>
    <w:rsid w:val="00EE65A8"/>
    <w:rsid w:val="00F55D31"/>
    <w:rsid w:val="00FC7DC2"/>
    <w:rsid w:val="00FD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8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5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5D3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5D3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5D31"/>
    <w:rPr>
      <w:rFonts w:ascii="Times New Roman" w:eastAsia="宋体" w:hAnsi="Times New Roman" w:cs="Times New Roman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E46021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E46021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dsware</cp:lastModifiedBy>
  <cp:revision>11</cp:revision>
  <dcterms:created xsi:type="dcterms:W3CDTF">2017-03-23T11:34:00Z</dcterms:created>
  <dcterms:modified xsi:type="dcterms:W3CDTF">2018-07-06T05:43:00Z</dcterms:modified>
</cp:coreProperties>
</file>