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625" w:rsidRDefault="00F57C61">
      <w:pPr>
        <w:pStyle w:val="2"/>
        <w:spacing w:line="520" w:lineRule="exact"/>
        <w:rPr>
          <w:rFonts w:ascii="仿宋_GB2312" w:eastAsia="仿宋_GB2312" w:hAnsi="宋体"/>
          <w:b/>
          <w:sz w:val="32"/>
          <w:szCs w:val="32"/>
        </w:rPr>
      </w:pPr>
      <w:r>
        <w:rPr>
          <w:rFonts w:ascii="仿宋_GB2312" w:eastAsia="仿宋_GB2312" w:hAnsi="宋体" w:hint="eastAsia"/>
          <w:b/>
          <w:sz w:val="32"/>
          <w:szCs w:val="32"/>
        </w:rPr>
        <w:t>关于中国长江航运集团南京油运股份有限公司</w:t>
      </w:r>
      <w:proofErr w:type="gramStart"/>
      <w:r>
        <w:rPr>
          <w:rFonts w:ascii="仿宋_GB2312" w:eastAsia="仿宋_GB2312" w:hAnsi="宋体" w:hint="eastAsia"/>
          <w:b/>
          <w:sz w:val="32"/>
          <w:szCs w:val="32"/>
        </w:rPr>
        <w:t>原流通</w:t>
      </w:r>
      <w:proofErr w:type="gramEnd"/>
      <w:r>
        <w:rPr>
          <w:rFonts w:ascii="仿宋_GB2312" w:eastAsia="仿宋_GB2312" w:hAnsi="宋体" w:hint="eastAsia"/>
          <w:b/>
          <w:sz w:val="32"/>
          <w:szCs w:val="32"/>
        </w:rPr>
        <w:t>股股东股份确权和托管</w:t>
      </w:r>
      <w:proofErr w:type="gramStart"/>
      <w:r>
        <w:rPr>
          <w:rFonts w:ascii="仿宋_GB2312" w:eastAsia="仿宋_GB2312" w:hAnsi="宋体" w:hint="eastAsia"/>
          <w:b/>
          <w:sz w:val="32"/>
          <w:szCs w:val="32"/>
        </w:rPr>
        <w:t>的催示公告</w:t>
      </w:r>
      <w:proofErr w:type="gramEnd"/>
    </w:p>
    <w:p w:rsidR="00493625" w:rsidRDefault="00493625">
      <w:pPr>
        <w:pStyle w:val="2"/>
        <w:spacing w:line="520" w:lineRule="exact"/>
        <w:rPr>
          <w:rFonts w:ascii="仿宋_GB2312" w:eastAsia="仿宋_GB2312" w:hAnsi="宋体"/>
          <w:b/>
          <w:sz w:val="32"/>
          <w:szCs w:val="32"/>
        </w:rPr>
      </w:pPr>
    </w:p>
    <w:p w:rsidR="00493625" w:rsidRPr="005B5A22" w:rsidRDefault="00F57C61" w:rsidP="005B5A22">
      <w:pPr>
        <w:tabs>
          <w:tab w:val="left" w:pos="3240"/>
        </w:tabs>
        <w:spacing w:line="500" w:lineRule="exact"/>
        <w:ind w:firstLineChars="200" w:firstLine="560"/>
        <w:rPr>
          <w:rFonts w:ascii="仿宋_GB2312" w:eastAsia="仿宋_GB2312" w:hAnsi="宋体"/>
          <w:sz w:val="28"/>
        </w:rPr>
      </w:pPr>
      <w:r>
        <w:rPr>
          <w:rFonts w:ascii="仿宋_GB2312" w:eastAsia="仿宋_GB2312" w:hAnsi="宋体" w:cs="Times New Roman" w:hint="eastAsia"/>
          <w:sz w:val="28"/>
        </w:rPr>
        <w:t>鉴于中国长江航运集团南京油运股份有限公司（以下简称“长航油运”）已于2014年6月5日起终止上市，</w:t>
      </w:r>
      <w:r>
        <w:rPr>
          <w:rFonts w:ascii="仿宋_GB2312" w:eastAsia="仿宋_GB2312" w:hAnsi="宋体" w:hint="eastAsia"/>
          <w:sz w:val="28"/>
        </w:rPr>
        <w:t>中信证券股份有限公司（以下简称“中信证券”）已与长航油</w:t>
      </w:r>
      <w:proofErr w:type="gramStart"/>
      <w:r>
        <w:rPr>
          <w:rFonts w:ascii="仿宋_GB2312" w:eastAsia="仿宋_GB2312" w:hAnsi="宋体" w:hint="eastAsia"/>
          <w:sz w:val="28"/>
        </w:rPr>
        <w:t>运签订</w:t>
      </w:r>
      <w:proofErr w:type="gramEnd"/>
      <w:r>
        <w:rPr>
          <w:rFonts w:ascii="仿宋_GB2312" w:eastAsia="仿宋_GB2312" w:hAnsi="宋体" w:hint="eastAsia"/>
          <w:sz w:val="28"/>
        </w:rPr>
        <w:t>《推荐恢复上市、委托代办股份转让协议书》。</w:t>
      </w:r>
      <w:r>
        <w:rPr>
          <w:rFonts w:ascii="仿宋_GB2312" w:eastAsia="仿宋_GB2312" w:hAnsi="宋体" w:cs="Times New Roman" w:hint="eastAsia"/>
          <w:sz w:val="28"/>
        </w:rPr>
        <w:t>中信证券于</w:t>
      </w:r>
      <w:r>
        <w:rPr>
          <w:rFonts w:ascii="仿宋_GB2312" w:eastAsia="仿宋_GB2312" w:hAnsi="ˎ̥" w:cs="宋体" w:hint="eastAsia"/>
          <w:kern w:val="0"/>
          <w:sz w:val="28"/>
          <w:szCs w:val="28"/>
        </w:rPr>
        <w:t>2014年6月11日在</w:t>
      </w:r>
      <w:r>
        <w:rPr>
          <w:rFonts w:ascii="仿宋_GB2312" w:eastAsia="仿宋_GB2312" w:hAnsi="宋体" w:cs="Times New Roman" w:hint="eastAsia"/>
          <w:sz w:val="28"/>
        </w:rPr>
        <w:t>《中国证券报》和全国中小企业股份转让</w:t>
      </w:r>
      <w:r w:rsidR="00430D11">
        <w:rPr>
          <w:rFonts w:ascii="仿宋_GB2312" w:eastAsia="仿宋_GB2312" w:hAnsi="宋体" w:cs="Times New Roman" w:hint="eastAsia"/>
          <w:sz w:val="28"/>
        </w:rPr>
        <w:t>系统（以下简称“全国股份转让系统”）指定</w:t>
      </w:r>
      <w:r>
        <w:rPr>
          <w:rFonts w:ascii="仿宋_GB2312" w:eastAsia="仿宋_GB2312" w:hAnsi="宋体" w:cs="Times New Roman" w:hint="eastAsia"/>
          <w:sz w:val="28"/>
        </w:rPr>
        <w:t>信息披露平台（</w:t>
      </w:r>
      <w:r>
        <w:rPr>
          <w:rFonts w:ascii="仿宋_GB2312" w:eastAsia="仿宋_GB2312" w:hAnsi="宋体"/>
          <w:sz w:val="28"/>
        </w:rPr>
        <w:t>www.neeq.com.cn</w:t>
      </w:r>
      <w:r>
        <w:rPr>
          <w:rFonts w:ascii="仿宋_GB2312" w:eastAsia="仿宋_GB2312" w:hAnsi="宋体" w:hint="eastAsia"/>
          <w:sz w:val="28"/>
        </w:rPr>
        <w:t>或</w:t>
      </w:r>
      <w:r>
        <w:rPr>
          <w:rFonts w:ascii="仿宋_GB2312" w:eastAsia="仿宋_GB2312" w:hAnsi="宋体"/>
          <w:sz w:val="28"/>
        </w:rPr>
        <w:t>www.neeq.cc</w:t>
      </w:r>
      <w:r>
        <w:rPr>
          <w:rFonts w:ascii="仿宋_GB2312" w:eastAsia="仿宋_GB2312" w:hAnsi="宋体" w:cs="Times New Roman" w:hint="eastAsia"/>
          <w:sz w:val="28"/>
        </w:rPr>
        <w:t>）上</w:t>
      </w:r>
      <w:r w:rsidR="00430D11">
        <w:rPr>
          <w:rFonts w:ascii="仿宋_GB2312" w:eastAsia="仿宋_GB2312" w:hAnsi="宋体" w:cs="Times New Roman" w:hint="eastAsia"/>
          <w:sz w:val="28"/>
        </w:rPr>
        <w:t>刊登</w:t>
      </w:r>
      <w:r>
        <w:rPr>
          <w:rFonts w:ascii="仿宋_GB2312" w:eastAsia="仿宋_GB2312" w:hAnsi="宋体" w:cs="Times New Roman" w:hint="eastAsia"/>
          <w:sz w:val="28"/>
        </w:rPr>
        <w:t>了《关于中国长江航运集团南京油运股份有限公司股份确权公告》</w:t>
      </w:r>
      <w:r w:rsidR="003F4DC3">
        <w:rPr>
          <w:rFonts w:ascii="仿宋_GB2312" w:eastAsia="仿宋_GB2312" w:hAnsi="宋体" w:cs="Times New Roman" w:hint="eastAsia"/>
          <w:sz w:val="28"/>
        </w:rPr>
        <w:t>，并于2014年6月25日在《中国证券报》和全国中小企业股份转让</w:t>
      </w:r>
      <w:r w:rsidR="00430D11">
        <w:rPr>
          <w:rFonts w:ascii="仿宋_GB2312" w:eastAsia="仿宋_GB2312" w:hAnsi="宋体" w:cs="Times New Roman" w:hint="eastAsia"/>
          <w:sz w:val="28"/>
        </w:rPr>
        <w:t>系统指定</w:t>
      </w:r>
      <w:r w:rsidR="003F4DC3">
        <w:rPr>
          <w:rFonts w:ascii="仿宋_GB2312" w:eastAsia="仿宋_GB2312" w:hAnsi="宋体" w:cs="Times New Roman" w:hint="eastAsia"/>
          <w:sz w:val="28"/>
        </w:rPr>
        <w:t>信息披露平台（</w:t>
      </w:r>
      <w:r w:rsidR="003F4DC3">
        <w:rPr>
          <w:rFonts w:ascii="仿宋_GB2312" w:eastAsia="仿宋_GB2312" w:hAnsi="宋体"/>
          <w:sz w:val="28"/>
        </w:rPr>
        <w:t>www.neeq.com.cn</w:t>
      </w:r>
      <w:r w:rsidR="003F4DC3">
        <w:rPr>
          <w:rFonts w:ascii="仿宋_GB2312" w:eastAsia="仿宋_GB2312" w:hAnsi="宋体" w:hint="eastAsia"/>
          <w:sz w:val="28"/>
        </w:rPr>
        <w:t>或</w:t>
      </w:r>
      <w:r w:rsidR="003F4DC3">
        <w:rPr>
          <w:rFonts w:ascii="仿宋_GB2312" w:eastAsia="仿宋_GB2312" w:hAnsi="宋体"/>
          <w:sz w:val="28"/>
        </w:rPr>
        <w:t>www.neeq.cc</w:t>
      </w:r>
      <w:r w:rsidR="003F4DC3">
        <w:rPr>
          <w:rFonts w:ascii="仿宋_GB2312" w:eastAsia="仿宋_GB2312" w:hAnsi="宋体" w:cs="Times New Roman" w:hint="eastAsia"/>
          <w:sz w:val="28"/>
        </w:rPr>
        <w:t>）上</w:t>
      </w:r>
      <w:r w:rsidR="00430D11">
        <w:rPr>
          <w:rFonts w:ascii="仿宋_GB2312" w:eastAsia="仿宋_GB2312" w:hAnsi="宋体" w:cs="Times New Roman" w:hint="eastAsia"/>
          <w:sz w:val="28"/>
        </w:rPr>
        <w:t>刊登</w:t>
      </w:r>
      <w:r w:rsidR="003F4DC3">
        <w:rPr>
          <w:rFonts w:ascii="仿宋_GB2312" w:eastAsia="仿宋_GB2312" w:hAnsi="宋体" w:cs="Times New Roman" w:hint="eastAsia"/>
          <w:sz w:val="28"/>
        </w:rPr>
        <w:t>了《关于中国长江航运集团南京油运股份有限公司股份确权补充公告》</w:t>
      </w:r>
      <w:r>
        <w:rPr>
          <w:rFonts w:ascii="仿宋_GB2312" w:eastAsia="仿宋_GB2312" w:hAnsi="宋体" w:cs="Times New Roman" w:hint="eastAsia"/>
          <w:sz w:val="28"/>
        </w:rPr>
        <w:t>。根据该公告，</w:t>
      </w:r>
      <w:proofErr w:type="gramStart"/>
      <w:r>
        <w:rPr>
          <w:rFonts w:ascii="仿宋_GB2312" w:eastAsia="仿宋_GB2312" w:hAnsi="宋体" w:cs="Times New Roman" w:hint="eastAsia"/>
          <w:sz w:val="28"/>
        </w:rPr>
        <w:t>原</w:t>
      </w:r>
      <w:r w:rsidR="00430D11">
        <w:rPr>
          <w:rFonts w:ascii="仿宋_GB2312" w:eastAsia="仿宋_GB2312" w:hAnsi="宋体" w:cs="Times New Roman" w:hint="eastAsia"/>
          <w:sz w:val="28"/>
        </w:rPr>
        <w:t>流通</w:t>
      </w:r>
      <w:proofErr w:type="gramEnd"/>
      <w:r w:rsidR="00430D11">
        <w:rPr>
          <w:rFonts w:ascii="仿宋_GB2312" w:eastAsia="仿宋_GB2312" w:hAnsi="宋体" w:cs="Times New Roman" w:hint="eastAsia"/>
          <w:sz w:val="28"/>
        </w:rPr>
        <w:t>股</w:t>
      </w:r>
      <w:r>
        <w:rPr>
          <w:rFonts w:ascii="仿宋_GB2312" w:eastAsia="仿宋_GB2312" w:hAnsi="宋体" w:cs="Times New Roman" w:hint="eastAsia"/>
          <w:sz w:val="28"/>
        </w:rPr>
        <w:t>股东可于2014年6月19日开始到中信证券</w:t>
      </w:r>
      <w:r w:rsidR="00430D11" w:rsidRPr="00430D11">
        <w:rPr>
          <w:rFonts w:ascii="仿宋_GB2312" w:eastAsia="仿宋_GB2312" w:hAnsi="宋体" w:cs="Times New Roman" w:hint="eastAsia"/>
          <w:sz w:val="28"/>
        </w:rPr>
        <w:t>和其他可在全国股份转让系统从事经纪业务的主办券商下属证券营业部办理股份确权和托管手续。</w:t>
      </w:r>
      <w:r w:rsidR="005B5A22">
        <w:rPr>
          <w:rFonts w:ascii="仿宋_GB2312" w:eastAsia="仿宋_GB2312" w:hAnsi="宋体" w:hint="eastAsia"/>
          <w:sz w:val="28"/>
        </w:rPr>
        <w:t>如投资者信用证券账户开立在</w:t>
      </w:r>
      <w:r w:rsidR="0010384A">
        <w:rPr>
          <w:rFonts w:ascii="仿宋_GB2312" w:eastAsia="仿宋_GB2312" w:hAnsi="宋体" w:hint="eastAsia"/>
          <w:sz w:val="28"/>
        </w:rPr>
        <w:t>可在全国股份转让系统从事经纪业务的主办券商</w:t>
      </w:r>
      <w:r w:rsidR="005B5A22">
        <w:rPr>
          <w:rFonts w:ascii="仿宋_GB2312" w:eastAsia="仿宋_GB2312" w:hAnsi="宋体" w:hint="eastAsia"/>
          <w:sz w:val="28"/>
        </w:rPr>
        <w:t>，则必须在原指定交易的券商办理股份重新确权、登记和托管手续，券商在确认该投资者已与其了结债权债务关系后，将股份确权至该投资者开立的深市普通证券账户中。如投资者信用证券账户开立在</w:t>
      </w:r>
      <w:r w:rsidR="004F6C86">
        <w:rPr>
          <w:rFonts w:ascii="仿宋_GB2312" w:eastAsia="仿宋_GB2312" w:hAnsi="宋体" w:hint="eastAsia"/>
          <w:sz w:val="28"/>
        </w:rPr>
        <w:t>不</w:t>
      </w:r>
      <w:r w:rsidR="0010384A">
        <w:rPr>
          <w:rFonts w:ascii="仿宋_GB2312" w:eastAsia="仿宋_GB2312" w:hAnsi="宋体" w:hint="eastAsia"/>
          <w:sz w:val="28"/>
        </w:rPr>
        <w:t>可在全国股份转让系统从事经纪业务的主办券商</w:t>
      </w:r>
      <w:bookmarkStart w:id="0" w:name="_GoBack"/>
      <w:bookmarkEnd w:id="0"/>
      <w:r w:rsidR="005B5A22">
        <w:rPr>
          <w:rFonts w:ascii="仿宋_GB2312" w:eastAsia="仿宋_GB2312" w:hAnsi="宋体" w:hint="eastAsia"/>
          <w:sz w:val="28"/>
        </w:rPr>
        <w:t>，则必须由原指定交易的券商开具了结债权债务关系的证明文件后，携该文件及其它确权申请材料</w:t>
      </w:r>
      <w:r w:rsidR="005B5A22">
        <w:rPr>
          <w:rFonts w:ascii="仿宋_GB2312" w:eastAsia="仿宋_GB2312" w:hAnsi="ˎ̥" w:cs="宋体" w:hint="eastAsia"/>
          <w:kern w:val="0"/>
          <w:sz w:val="28"/>
          <w:szCs w:val="28"/>
        </w:rPr>
        <w:t>在中信证券</w:t>
      </w:r>
      <w:r w:rsidR="005B5A22">
        <w:rPr>
          <w:rFonts w:ascii="仿宋_GB2312" w:eastAsia="仿宋_GB2312" w:hAnsi="宋体" w:hint="eastAsia"/>
          <w:sz w:val="28"/>
        </w:rPr>
        <w:t>办理重新确权、登记和托管手续；中信证券对确权申请材料审核无误后，将股份确权至该投资者开立的深市普通证券账户中。</w:t>
      </w:r>
      <w:r>
        <w:rPr>
          <w:rFonts w:ascii="仿宋_GB2312" w:eastAsia="仿宋_GB2312" w:hAnsi="宋体" w:cs="Times New Roman" w:hint="eastAsia"/>
          <w:sz w:val="28"/>
        </w:rPr>
        <w:t>目前，长航油运股份确权和托管工作已经满足有关规定的要求，将于2014年8月6</w:t>
      </w:r>
      <w:r w:rsidR="00430D11">
        <w:rPr>
          <w:rFonts w:ascii="仿宋_GB2312" w:eastAsia="仿宋_GB2312" w:hAnsi="宋体" w:cs="Times New Roman" w:hint="eastAsia"/>
          <w:sz w:val="28"/>
        </w:rPr>
        <w:t>日起在全国股份转让系统进行股票转让</w:t>
      </w:r>
      <w:r>
        <w:rPr>
          <w:rFonts w:ascii="仿宋_GB2312" w:eastAsia="仿宋_GB2312" w:hAnsi="宋体" w:cs="Times New Roman" w:hint="eastAsia"/>
          <w:sz w:val="28"/>
        </w:rPr>
        <w:t>，为更好地保障股东利益，现</w:t>
      </w:r>
      <w:proofErr w:type="gramStart"/>
      <w:r>
        <w:rPr>
          <w:rFonts w:ascii="仿宋_GB2312" w:eastAsia="仿宋_GB2312" w:hAnsi="宋体" w:cs="Times New Roman" w:hint="eastAsia"/>
          <w:sz w:val="28"/>
        </w:rPr>
        <w:t>发布催示公告</w:t>
      </w:r>
      <w:proofErr w:type="gramEnd"/>
      <w:r>
        <w:rPr>
          <w:rFonts w:ascii="仿宋_GB2312" w:eastAsia="仿宋_GB2312" w:hAnsi="宋体" w:cs="Times New Roman" w:hint="eastAsia"/>
          <w:sz w:val="28"/>
        </w:rPr>
        <w:t>如下：</w:t>
      </w:r>
    </w:p>
    <w:p w:rsidR="00493625" w:rsidRDefault="00F57C61">
      <w:pPr>
        <w:tabs>
          <w:tab w:val="left" w:pos="3240"/>
        </w:tabs>
        <w:spacing w:line="500" w:lineRule="exact"/>
        <w:ind w:firstLineChars="200" w:firstLine="560"/>
        <w:rPr>
          <w:rFonts w:ascii="仿宋_GB2312" w:eastAsia="仿宋_GB2312" w:hAnsi="宋体" w:cs="Times New Roman"/>
          <w:sz w:val="28"/>
        </w:rPr>
      </w:pPr>
      <w:r>
        <w:rPr>
          <w:rFonts w:ascii="仿宋_GB2312" w:eastAsia="仿宋_GB2312" w:hAnsi="宋体" w:cs="Times New Roman" w:hint="eastAsia"/>
          <w:sz w:val="28"/>
        </w:rPr>
        <w:lastRenderedPageBreak/>
        <w:t>一、办理股份确权和托管手续的对象</w:t>
      </w:r>
    </w:p>
    <w:p w:rsidR="00493625" w:rsidRDefault="00F57C61">
      <w:pPr>
        <w:tabs>
          <w:tab w:val="left" w:pos="3240"/>
        </w:tabs>
        <w:spacing w:line="500" w:lineRule="exact"/>
        <w:ind w:firstLineChars="200" w:firstLine="560"/>
        <w:rPr>
          <w:rFonts w:ascii="仿宋_GB2312" w:eastAsia="仿宋_GB2312" w:hAnsi="宋体" w:cs="Times New Roman"/>
          <w:sz w:val="28"/>
        </w:rPr>
      </w:pPr>
      <w:r>
        <w:rPr>
          <w:rFonts w:ascii="仿宋_GB2312" w:eastAsia="仿宋_GB2312" w:hAnsi="宋体" w:cs="Times New Roman" w:hint="eastAsia"/>
          <w:sz w:val="28"/>
        </w:rPr>
        <w:t>尚未办理股份确权和托管的</w:t>
      </w:r>
      <w:proofErr w:type="gramStart"/>
      <w:r>
        <w:rPr>
          <w:rFonts w:ascii="仿宋_GB2312" w:eastAsia="仿宋_GB2312" w:hAnsi="宋体" w:cs="Times New Roman" w:hint="eastAsia"/>
          <w:sz w:val="28"/>
        </w:rPr>
        <w:t>原流通</w:t>
      </w:r>
      <w:proofErr w:type="gramEnd"/>
      <w:r>
        <w:rPr>
          <w:rFonts w:ascii="仿宋_GB2312" w:eastAsia="仿宋_GB2312" w:hAnsi="宋体" w:cs="Times New Roman" w:hint="eastAsia"/>
          <w:sz w:val="28"/>
        </w:rPr>
        <w:t>股股东。</w:t>
      </w:r>
    </w:p>
    <w:p w:rsidR="00493625" w:rsidRDefault="00F57C61">
      <w:pPr>
        <w:autoSpaceDE w:val="0"/>
        <w:autoSpaceDN w:val="0"/>
        <w:adjustRightInd w:val="0"/>
        <w:spacing w:line="500" w:lineRule="exact"/>
        <w:ind w:firstLineChars="200" w:firstLine="560"/>
        <w:jc w:val="left"/>
        <w:rPr>
          <w:rFonts w:ascii="仿宋_GB2312" w:eastAsia="仿宋_GB2312" w:hAnsi="ˎ̥" w:cs="宋体" w:hint="eastAsia"/>
          <w:kern w:val="0"/>
          <w:sz w:val="28"/>
          <w:szCs w:val="28"/>
        </w:rPr>
      </w:pPr>
      <w:r>
        <w:rPr>
          <w:rFonts w:ascii="仿宋_GB2312" w:eastAsia="仿宋_GB2312" w:hAnsi="ˎ̥" w:cs="宋体" w:hint="eastAsia"/>
          <w:kern w:val="0"/>
          <w:sz w:val="28"/>
          <w:szCs w:val="28"/>
        </w:rPr>
        <w:t>二、股份确权和托管的办理时间</w:t>
      </w:r>
    </w:p>
    <w:p w:rsidR="00493625" w:rsidRDefault="00F57C61">
      <w:pPr>
        <w:tabs>
          <w:tab w:val="left" w:pos="3240"/>
        </w:tabs>
        <w:spacing w:line="500" w:lineRule="exact"/>
        <w:ind w:firstLineChars="200" w:firstLine="560"/>
        <w:rPr>
          <w:rFonts w:ascii="仿宋_GB2312" w:eastAsia="仿宋_GB2312" w:hAnsi="宋体" w:cs="Times New Roman"/>
          <w:sz w:val="28"/>
        </w:rPr>
      </w:pPr>
      <w:r>
        <w:rPr>
          <w:rFonts w:ascii="仿宋_GB2312" w:eastAsia="仿宋_GB2312" w:hAnsi="宋体" w:cs="Times New Roman" w:hint="eastAsia"/>
          <w:sz w:val="28"/>
        </w:rPr>
        <w:t>星期一至星期五上午</w:t>
      </w:r>
      <w:r w:rsidR="00430D11">
        <w:rPr>
          <w:rFonts w:ascii="仿宋_GB2312" w:eastAsia="仿宋_GB2312" w:hAnsi="宋体" w:cs="Times New Roman" w:hint="eastAsia"/>
          <w:sz w:val="28"/>
        </w:rPr>
        <w:t>9:3</w:t>
      </w:r>
      <w:r>
        <w:rPr>
          <w:rFonts w:ascii="仿宋_GB2312" w:eastAsia="仿宋_GB2312" w:hAnsi="宋体" w:cs="Times New Roman" w:hint="eastAsia"/>
          <w:sz w:val="28"/>
        </w:rPr>
        <w:t>0-11:30,下午1:00-3:00,节假日除外。</w:t>
      </w:r>
    </w:p>
    <w:p w:rsidR="00493625" w:rsidRDefault="00F57C61">
      <w:pPr>
        <w:autoSpaceDE w:val="0"/>
        <w:autoSpaceDN w:val="0"/>
        <w:adjustRightInd w:val="0"/>
        <w:spacing w:line="500" w:lineRule="exact"/>
        <w:ind w:firstLineChars="200" w:firstLine="560"/>
        <w:jc w:val="left"/>
        <w:rPr>
          <w:rFonts w:ascii="仿宋_GB2312" w:eastAsia="仿宋_GB2312" w:hAnsi="ˎ̥" w:cs="宋体" w:hint="eastAsia"/>
          <w:kern w:val="0"/>
          <w:sz w:val="28"/>
          <w:szCs w:val="28"/>
        </w:rPr>
      </w:pPr>
      <w:r>
        <w:rPr>
          <w:rFonts w:ascii="仿宋_GB2312" w:eastAsia="仿宋_GB2312" w:hAnsi="ˎ̥" w:cs="宋体" w:hint="eastAsia"/>
          <w:kern w:val="0"/>
          <w:sz w:val="28"/>
          <w:szCs w:val="28"/>
        </w:rPr>
        <w:t>三、办理股份确权和托管手续的地点</w:t>
      </w:r>
    </w:p>
    <w:p w:rsidR="00493625" w:rsidRDefault="00430D11" w:rsidP="00430D11">
      <w:pPr>
        <w:autoSpaceDE w:val="0"/>
        <w:autoSpaceDN w:val="0"/>
        <w:adjustRightInd w:val="0"/>
        <w:spacing w:line="500" w:lineRule="exact"/>
        <w:ind w:firstLineChars="200" w:firstLine="560"/>
        <w:jc w:val="left"/>
        <w:rPr>
          <w:rFonts w:ascii="仿宋_GB2312" w:eastAsia="仿宋_GB2312" w:hAnsi="ˎ̥" w:cs="宋体" w:hint="eastAsia"/>
          <w:kern w:val="0"/>
          <w:sz w:val="28"/>
          <w:szCs w:val="28"/>
        </w:rPr>
      </w:pPr>
      <w:r>
        <w:rPr>
          <w:rFonts w:ascii="仿宋_GB2312" w:eastAsia="仿宋_GB2312" w:hAnsi="ˎ̥" w:cs="宋体" w:hint="eastAsia"/>
          <w:kern w:val="0"/>
          <w:sz w:val="28"/>
          <w:szCs w:val="28"/>
        </w:rPr>
        <w:t>中信证券</w:t>
      </w:r>
      <w:r w:rsidRPr="00430D11">
        <w:rPr>
          <w:rFonts w:ascii="仿宋_GB2312" w:eastAsia="仿宋_GB2312" w:hAnsi="ˎ̥" w:cs="宋体" w:hint="eastAsia"/>
          <w:kern w:val="0"/>
          <w:sz w:val="28"/>
          <w:szCs w:val="28"/>
        </w:rPr>
        <w:t>以及其他可在全国股份转让系统从事经纪业务的主办券商下属营业部。相关主办券商名单及托管单元号如下：</w:t>
      </w:r>
    </w:p>
    <w:tbl>
      <w:tblPr>
        <w:tblW w:w="8415" w:type="dxa"/>
        <w:tblInd w:w="93" w:type="dxa"/>
        <w:tblLayout w:type="fixed"/>
        <w:tblLook w:val="04A0" w:firstRow="1" w:lastRow="0" w:firstColumn="1" w:lastColumn="0" w:noHBand="0" w:noVBand="1"/>
      </w:tblPr>
      <w:tblGrid>
        <w:gridCol w:w="735"/>
        <w:gridCol w:w="1690"/>
        <w:gridCol w:w="1843"/>
        <w:gridCol w:w="709"/>
        <w:gridCol w:w="1842"/>
        <w:gridCol w:w="1596"/>
      </w:tblGrid>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widowControl/>
              <w:jc w:val="center"/>
              <w:rPr>
                <w:rFonts w:ascii="宋体" w:hAnsi="宋体" w:cs="宋体"/>
                <w:b/>
                <w:bCs/>
                <w:kern w:val="0"/>
                <w:szCs w:val="21"/>
              </w:rPr>
            </w:pPr>
            <w:r>
              <w:rPr>
                <w:rFonts w:ascii="宋体" w:hAnsi="宋体" w:cs="宋体" w:hint="eastAsia"/>
                <w:b/>
                <w:bCs/>
                <w:kern w:val="0"/>
                <w:szCs w:val="21"/>
              </w:rPr>
              <w:t>序号</w:t>
            </w:r>
          </w:p>
        </w:tc>
        <w:tc>
          <w:tcPr>
            <w:tcW w:w="1690" w:type="dxa"/>
            <w:tcBorders>
              <w:top w:val="single" w:sz="4" w:space="0" w:color="auto"/>
              <w:left w:val="nil"/>
              <w:bottom w:val="single" w:sz="4" w:space="0" w:color="auto"/>
              <w:right w:val="single" w:sz="4" w:space="0" w:color="auto"/>
            </w:tcBorders>
            <w:vAlign w:val="center"/>
          </w:tcPr>
          <w:p w:rsidR="00493625" w:rsidRDefault="00F57C61">
            <w:pPr>
              <w:widowControl/>
              <w:jc w:val="center"/>
              <w:rPr>
                <w:rFonts w:ascii="宋体" w:hAnsi="宋体" w:cs="宋体"/>
                <w:b/>
                <w:bCs/>
                <w:kern w:val="0"/>
                <w:szCs w:val="21"/>
              </w:rPr>
            </w:pPr>
            <w:r>
              <w:rPr>
                <w:rFonts w:ascii="宋体" w:hAnsi="宋体" w:cs="宋体" w:hint="eastAsia"/>
                <w:b/>
                <w:bCs/>
                <w:kern w:val="0"/>
                <w:szCs w:val="21"/>
              </w:rPr>
              <w:t>证券公司</w:t>
            </w:r>
          </w:p>
        </w:tc>
        <w:tc>
          <w:tcPr>
            <w:tcW w:w="1843" w:type="dxa"/>
            <w:tcBorders>
              <w:top w:val="single" w:sz="4" w:space="0" w:color="auto"/>
              <w:left w:val="nil"/>
              <w:bottom w:val="single" w:sz="4" w:space="0" w:color="auto"/>
              <w:right w:val="single" w:sz="4" w:space="0" w:color="auto"/>
            </w:tcBorders>
            <w:vAlign w:val="center"/>
          </w:tcPr>
          <w:p w:rsidR="00493625" w:rsidRDefault="00F57C61">
            <w:pPr>
              <w:widowControl/>
              <w:rPr>
                <w:rFonts w:ascii="宋体" w:hAnsi="宋体" w:cs="宋体"/>
                <w:b/>
                <w:bCs/>
                <w:kern w:val="0"/>
                <w:szCs w:val="21"/>
              </w:rPr>
            </w:pPr>
            <w:r>
              <w:rPr>
                <w:rFonts w:ascii="宋体" w:hAnsi="宋体" w:cs="宋体" w:hint="eastAsia"/>
                <w:b/>
                <w:bCs/>
                <w:kern w:val="0"/>
                <w:szCs w:val="21"/>
              </w:rPr>
              <w:t>托管单元号</w:t>
            </w:r>
          </w:p>
        </w:tc>
        <w:tc>
          <w:tcPr>
            <w:tcW w:w="709" w:type="dxa"/>
            <w:tcBorders>
              <w:top w:val="single" w:sz="4" w:space="0" w:color="auto"/>
              <w:left w:val="nil"/>
              <w:bottom w:val="single" w:sz="4" w:space="0" w:color="auto"/>
              <w:right w:val="single" w:sz="4" w:space="0" w:color="auto"/>
            </w:tcBorders>
            <w:vAlign w:val="center"/>
          </w:tcPr>
          <w:p w:rsidR="00493625" w:rsidRDefault="00F57C61">
            <w:pPr>
              <w:widowControl/>
              <w:jc w:val="center"/>
              <w:rPr>
                <w:rFonts w:ascii="宋体" w:hAnsi="宋体" w:cs="宋体"/>
                <w:b/>
                <w:bCs/>
                <w:kern w:val="0"/>
                <w:szCs w:val="21"/>
              </w:rPr>
            </w:pPr>
            <w:r>
              <w:rPr>
                <w:rFonts w:ascii="宋体" w:hAnsi="宋体" w:cs="宋体" w:hint="eastAsia"/>
                <w:b/>
                <w:bCs/>
                <w:kern w:val="0"/>
                <w:szCs w:val="21"/>
              </w:rPr>
              <w:t>序号</w:t>
            </w:r>
          </w:p>
        </w:tc>
        <w:tc>
          <w:tcPr>
            <w:tcW w:w="1842" w:type="dxa"/>
            <w:tcBorders>
              <w:top w:val="single" w:sz="4" w:space="0" w:color="auto"/>
              <w:left w:val="nil"/>
              <w:bottom w:val="single" w:sz="4" w:space="0" w:color="auto"/>
              <w:right w:val="single" w:sz="4" w:space="0" w:color="auto"/>
            </w:tcBorders>
            <w:vAlign w:val="center"/>
          </w:tcPr>
          <w:p w:rsidR="00493625" w:rsidRDefault="00F57C61">
            <w:pPr>
              <w:widowControl/>
              <w:jc w:val="center"/>
              <w:rPr>
                <w:rFonts w:ascii="宋体" w:hAnsi="宋体" w:cs="宋体"/>
                <w:b/>
                <w:bCs/>
                <w:kern w:val="0"/>
                <w:szCs w:val="21"/>
              </w:rPr>
            </w:pPr>
            <w:r>
              <w:rPr>
                <w:rFonts w:ascii="宋体" w:hAnsi="宋体" w:cs="宋体" w:hint="eastAsia"/>
                <w:b/>
                <w:bCs/>
                <w:kern w:val="0"/>
                <w:szCs w:val="21"/>
              </w:rPr>
              <w:t>证券公司</w:t>
            </w:r>
          </w:p>
        </w:tc>
        <w:tc>
          <w:tcPr>
            <w:tcW w:w="1596" w:type="dxa"/>
            <w:tcBorders>
              <w:top w:val="single" w:sz="4" w:space="0" w:color="auto"/>
              <w:left w:val="nil"/>
              <w:bottom w:val="single" w:sz="4" w:space="0" w:color="auto"/>
              <w:right w:val="single" w:sz="4" w:space="0" w:color="auto"/>
            </w:tcBorders>
            <w:vAlign w:val="center"/>
          </w:tcPr>
          <w:p w:rsidR="00493625" w:rsidRDefault="00F57C61">
            <w:pPr>
              <w:widowControl/>
              <w:rPr>
                <w:rFonts w:ascii="宋体" w:hAnsi="宋体" w:cs="宋体"/>
                <w:b/>
                <w:bCs/>
                <w:kern w:val="0"/>
                <w:szCs w:val="21"/>
              </w:rPr>
            </w:pPr>
            <w:r>
              <w:rPr>
                <w:rFonts w:ascii="宋体" w:hAnsi="宋体" w:cs="宋体" w:hint="eastAsia"/>
                <w:b/>
                <w:bCs/>
                <w:kern w:val="0"/>
                <w:szCs w:val="21"/>
              </w:rPr>
              <w:t>托管单元号</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1</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申银万国</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720100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38</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西南证券</w:t>
            </w:r>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724100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2</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国泰君安</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720200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39</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国</w:t>
            </w:r>
            <w:proofErr w:type="gramStart"/>
            <w:r>
              <w:rPr>
                <w:rFonts w:hint="eastAsia"/>
                <w:color w:val="000000"/>
                <w:sz w:val="22"/>
              </w:rPr>
              <w:t>海证券</w:t>
            </w:r>
            <w:proofErr w:type="gramEnd"/>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724200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3</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国信证券</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720300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40</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国金证券</w:t>
            </w:r>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724300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4</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信</w:t>
            </w:r>
            <w:proofErr w:type="gramStart"/>
            <w:r>
              <w:rPr>
                <w:rFonts w:hint="eastAsia"/>
                <w:color w:val="000000"/>
                <w:sz w:val="22"/>
              </w:rPr>
              <w:t>达证券</w:t>
            </w:r>
            <w:proofErr w:type="gramEnd"/>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720500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41</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中原证券</w:t>
            </w:r>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724400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5</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东兴证券</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720600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42</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proofErr w:type="gramStart"/>
            <w:r>
              <w:rPr>
                <w:rFonts w:hint="eastAsia"/>
                <w:color w:val="000000"/>
                <w:sz w:val="22"/>
              </w:rPr>
              <w:t>浙商证券</w:t>
            </w:r>
            <w:proofErr w:type="gramEnd"/>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724500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6</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长江证券</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720700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43</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国联证券</w:t>
            </w:r>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724600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7</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银河证券</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720800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44</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大通证券</w:t>
            </w:r>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724700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8</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渤海证券</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720900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45</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安信证券</w:t>
            </w:r>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724800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9</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海通证券</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721000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46</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民生证券</w:t>
            </w:r>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724900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10</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广发证券</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721100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47</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方正证券</w:t>
            </w:r>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725000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11</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兴业证券</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721200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48</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中金公司（一）</w:t>
            </w:r>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725200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12</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招商证券</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721300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49</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东莞证券</w:t>
            </w:r>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725300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13</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光大证券</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721500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50</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红</w:t>
            </w:r>
            <w:proofErr w:type="gramStart"/>
            <w:r>
              <w:rPr>
                <w:rFonts w:hint="eastAsia"/>
                <w:color w:val="000000"/>
                <w:sz w:val="22"/>
              </w:rPr>
              <w:t>塔证券</w:t>
            </w:r>
            <w:proofErr w:type="gramEnd"/>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725400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14</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湘财证券</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721600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51</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华</w:t>
            </w:r>
            <w:proofErr w:type="gramStart"/>
            <w:r>
              <w:rPr>
                <w:rFonts w:hint="eastAsia"/>
                <w:color w:val="000000"/>
                <w:sz w:val="22"/>
              </w:rPr>
              <w:t>龙证券</w:t>
            </w:r>
            <w:proofErr w:type="gramEnd"/>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725500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15</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华泰证券</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721700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52</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ascii="宋体" w:hAnsi="宋体" w:cs="宋体" w:hint="eastAsia"/>
                <w:color w:val="000000"/>
                <w:sz w:val="22"/>
              </w:rPr>
              <w:t>爱建证券</w:t>
            </w:r>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725600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16</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中信证券</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721800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53</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首创证券</w:t>
            </w:r>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725700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17</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东海证券</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721900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54</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华安证券</w:t>
            </w:r>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725800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18</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proofErr w:type="gramStart"/>
            <w:r>
              <w:rPr>
                <w:rFonts w:hint="eastAsia"/>
                <w:color w:val="000000"/>
                <w:sz w:val="22"/>
              </w:rPr>
              <w:t>国元证券</w:t>
            </w:r>
            <w:proofErr w:type="gramEnd"/>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722000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55</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财富证券</w:t>
            </w:r>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725900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19</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东方证券</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722100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56</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广州证券</w:t>
            </w:r>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726000</w:t>
            </w:r>
          </w:p>
        </w:tc>
      </w:tr>
      <w:tr w:rsidR="00493625">
        <w:trPr>
          <w:trHeight w:val="285"/>
        </w:trPr>
        <w:tc>
          <w:tcPr>
            <w:tcW w:w="735" w:type="dxa"/>
            <w:tcBorders>
              <w:top w:val="nil"/>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20</w:t>
            </w:r>
          </w:p>
        </w:tc>
        <w:tc>
          <w:tcPr>
            <w:tcW w:w="1690"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平安证券</w:t>
            </w:r>
          </w:p>
        </w:tc>
        <w:tc>
          <w:tcPr>
            <w:tcW w:w="1843"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722200</w:t>
            </w:r>
          </w:p>
        </w:tc>
        <w:tc>
          <w:tcPr>
            <w:tcW w:w="709" w:type="dxa"/>
            <w:tcBorders>
              <w:top w:val="nil"/>
              <w:left w:val="nil"/>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57</w:t>
            </w:r>
          </w:p>
        </w:tc>
        <w:tc>
          <w:tcPr>
            <w:tcW w:w="1842"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财通证券</w:t>
            </w:r>
          </w:p>
        </w:tc>
        <w:tc>
          <w:tcPr>
            <w:tcW w:w="1596" w:type="dxa"/>
            <w:tcBorders>
              <w:top w:val="nil"/>
              <w:left w:val="nil"/>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726100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21</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中银证券</w:t>
            </w:r>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722300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58</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恒泰证券</w:t>
            </w:r>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726200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22</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上海证券</w:t>
            </w:r>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722400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59</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第一创业</w:t>
            </w:r>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726300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23</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西部证券</w:t>
            </w:r>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722500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60</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民族证券</w:t>
            </w:r>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726400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24</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中投证券</w:t>
            </w:r>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722600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61</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世纪证券</w:t>
            </w:r>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726500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25</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宏</w:t>
            </w:r>
            <w:proofErr w:type="gramStart"/>
            <w:r>
              <w:rPr>
                <w:rFonts w:hint="eastAsia"/>
                <w:color w:val="000000"/>
                <w:sz w:val="22"/>
              </w:rPr>
              <w:t>源证券</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722700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62</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中航证券</w:t>
            </w:r>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726600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26</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南京证券</w:t>
            </w:r>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722800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63</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中金公司（二）</w:t>
            </w:r>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726700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27</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齐鲁证券</w:t>
            </w:r>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722900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64</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新时代证券</w:t>
            </w:r>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726800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28</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国都证券</w:t>
            </w:r>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723000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65</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江海证券</w:t>
            </w:r>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726900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29</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山西证券</w:t>
            </w:r>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723100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66</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ascii="宋体" w:hAnsi="宋体" w:cs="宋体" w:hint="eastAsia"/>
                <w:color w:val="000000"/>
                <w:sz w:val="22"/>
              </w:rPr>
              <w:t>太平洋证券</w:t>
            </w:r>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727000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30</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中</w:t>
            </w:r>
            <w:proofErr w:type="gramStart"/>
            <w:r>
              <w:rPr>
                <w:rFonts w:hint="eastAsia"/>
                <w:color w:val="000000"/>
                <w:sz w:val="22"/>
              </w:rPr>
              <w:t>信建投</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723200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color w:val="000000"/>
                <w:sz w:val="22"/>
              </w:rPr>
            </w:pPr>
            <w:r>
              <w:rPr>
                <w:rFonts w:hint="eastAsia"/>
                <w:color w:val="000000"/>
                <w:sz w:val="22"/>
              </w:rPr>
              <w:t>67</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proofErr w:type="gramStart"/>
            <w:r>
              <w:rPr>
                <w:rFonts w:hint="eastAsia"/>
                <w:color w:val="000000"/>
                <w:sz w:val="22"/>
              </w:rPr>
              <w:t>华融证券</w:t>
            </w:r>
            <w:proofErr w:type="gramEnd"/>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727100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31</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长城证券</w:t>
            </w:r>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723300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color w:val="000000"/>
                <w:sz w:val="22"/>
              </w:rPr>
            </w:pPr>
            <w:r>
              <w:rPr>
                <w:rFonts w:hint="eastAsia"/>
                <w:color w:val="000000"/>
                <w:sz w:val="22"/>
              </w:rPr>
              <w:t>68</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color w:val="000000"/>
                <w:sz w:val="22"/>
              </w:rPr>
            </w:pPr>
            <w:r>
              <w:rPr>
                <w:rFonts w:hint="eastAsia"/>
                <w:color w:val="000000"/>
                <w:sz w:val="22"/>
              </w:rPr>
              <w:t>华鑫证券</w:t>
            </w:r>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color w:val="000000"/>
                <w:sz w:val="22"/>
              </w:rPr>
            </w:pPr>
            <w:r>
              <w:rPr>
                <w:rFonts w:hint="eastAsia"/>
                <w:color w:val="000000"/>
                <w:sz w:val="22"/>
              </w:rPr>
              <w:t>727300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lastRenderedPageBreak/>
              <w:t>32</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proofErr w:type="gramStart"/>
            <w:r>
              <w:rPr>
                <w:rFonts w:hint="eastAsia"/>
                <w:color w:val="000000"/>
                <w:sz w:val="22"/>
              </w:rPr>
              <w:t>万联证券</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723400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color w:val="000000"/>
                <w:sz w:val="22"/>
              </w:rPr>
            </w:pPr>
            <w:r>
              <w:rPr>
                <w:rFonts w:hint="eastAsia"/>
                <w:color w:val="000000"/>
                <w:sz w:val="22"/>
              </w:rPr>
              <w:t>69</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color w:val="000000"/>
                <w:sz w:val="22"/>
              </w:rPr>
            </w:pPr>
            <w:r>
              <w:rPr>
                <w:rFonts w:hint="eastAsia"/>
                <w:color w:val="000000"/>
                <w:sz w:val="22"/>
              </w:rPr>
              <w:t>华林证券</w:t>
            </w:r>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color w:val="000000"/>
                <w:sz w:val="22"/>
              </w:rPr>
            </w:pPr>
            <w:r>
              <w:rPr>
                <w:rFonts w:hint="eastAsia"/>
                <w:color w:val="000000"/>
                <w:sz w:val="22"/>
              </w:rPr>
              <w:t>727400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33</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东吴证券</w:t>
            </w:r>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723500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color w:val="000000"/>
                <w:sz w:val="22"/>
              </w:rPr>
            </w:pPr>
            <w:r>
              <w:rPr>
                <w:rFonts w:hint="eastAsia"/>
                <w:color w:val="000000"/>
                <w:sz w:val="22"/>
              </w:rPr>
              <w:t>70</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color w:val="000000"/>
                <w:sz w:val="22"/>
              </w:rPr>
            </w:pPr>
            <w:r>
              <w:rPr>
                <w:rFonts w:hint="eastAsia"/>
                <w:color w:val="000000"/>
                <w:sz w:val="22"/>
              </w:rPr>
              <w:t>华创证券</w:t>
            </w:r>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color w:val="000000"/>
                <w:sz w:val="22"/>
              </w:rPr>
            </w:pPr>
            <w:r>
              <w:rPr>
                <w:rFonts w:hint="eastAsia"/>
                <w:color w:val="000000"/>
                <w:sz w:val="22"/>
              </w:rPr>
              <w:t>727200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34</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东北证券</w:t>
            </w:r>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723700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color w:val="000000"/>
                <w:sz w:val="22"/>
              </w:rPr>
            </w:pPr>
            <w:r>
              <w:rPr>
                <w:rFonts w:hint="eastAsia"/>
                <w:color w:val="000000"/>
                <w:sz w:val="22"/>
              </w:rPr>
              <w:t>71</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color w:val="000000"/>
                <w:sz w:val="22"/>
              </w:rPr>
            </w:pPr>
            <w:proofErr w:type="gramStart"/>
            <w:r>
              <w:rPr>
                <w:rFonts w:hint="eastAsia"/>
                <w:color w:val="000000"/>
                <w:sz w:val="22"/>
              </w:rPr>
              <w:t>财达证券</w:t>
            </w:r>
            <w:proofErr w:type="gramEnd"/>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color w:val="000000"/>
                <w:sz w:val="22"/>
              </w:rPr>
            </w:pPr>
            <w:r>
              <w:rPr>
                <w:rFonts w:hint="eastAsia"/>
                <w:color w:val="000000"/>
                <w:sz w:val="22"/>
              </w:rPr>
              <w:t>727600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35</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国盛证券</w:t>
            </w:r>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723800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color w:val="000000"/>
                <w:sz w:val="22"/>
              </w:rPr>
            </w:pPr>
            <w:r>
              <w:rPr>
                <w:rFonts w:hint="eastAsia"/>
                <w:color w:val="000000"/>
                <w:sz w:val="22"/>
              </w:rPr>
              <w:t>72</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color w:val="000000"/>
                <w:sz w:val="22"/>
              </w:rPr>
            </w:pPr>
            <w:r>
              <w:rPr>
                <w:rFonts w:hint="eastAsia"/>
                <w:color w:val="000000"/>
                <w:sz w:val="22"/>
              </w:rPr>
              <w:t>中山证券</w:t>
            </w:r>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color w:val="000000"/>
                <w:sz w:val="22"/>
              </w:rPr>
            </w:pPr>
            <w:r>
              <w:rPr>
                <w:rFonts w:hint="eastAsia"/>
                <w:color w:val="000000"/>
                <w:sz w:val="22"/>
              </w:rPr>
              <w:t>727700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36</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金元证券</w:t>
            </w:r>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723900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color w:val="000000"/>
                <w:sz w:val="22"/>
              </w:rPr>
            </w:pPr>
            <w:r>
              <w:rPr>
                <w:rFonts w:hint="eastAsia"/>
                <w:color w:val="000000"/>
                <w:sz w:val="22"/>
              </w:rPr>
              <w:t>73</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color w:val="000000"/>
                <w:sz w:val="22"/>
              </w:rPr>
            </w:pPr>
            <w:r>
              <w:rPr>
                <w:rFonts w:hint="eastAsia"/>
                <w:color w:val="000000"/>
                <w:sz w:val="22"/>
              </w:rPr>
              <w:t>华</w:t>
            </w:r>
            <w:proofErr w:type="gramStart"/>
            <w:r>
              <w:rPr>
                <w:rFonts w:hint="eastAsia"/>
                <w:color w:val="000000"/>
                <w:sz w:val="22"/>
              </w:rPr>
              <w:t>福证券</w:t>
            </w:r>
            <w:proofErr w:type="gramEnd"/>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color w:val="000000"/>
                <w:sz w:val="22"/>
              </w:rPr>
            </w:pPr>
            <w:r>
              <w:rPr>
                <w:rFonts w:hint="eastAsia"/>
                <w:color w:val="000000"/>
                <w:sz w:val="22"/>
              </w:rPr>
              <w:t>727800</w:t>
            </w:r>
          </w:p>
        </w:tc>
      </w:tr>
      <w:tr w:rsidR="00493625">
        <w:trPr>
          <w:trHeight w:val="285"/>
        </w:trPr>
        <w:tc>
          <w:tcPr>
            <w:tcW w:w="735"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rFonts w:ascii="宋体" w:hAnsi="宋体" w:cs="宋体"/>
                <w:color w:val="000000"/>
                <w:sz w:val="22"/>
              </w:rPr>
            </w:pPr>
            <w:r>
              <w:rPr>
                <w:rFonts w:hint="eastAsia"/>
                <w:color w:val="000000"/>
                <w:sz w:val="22"/>
              </w:rPr>
              <w:t>37</w:t>
            </w:r>
          </w:p>
        </w:tc>
        <w:tc>
          <w:tcPr>
            <w:tcW w:w="1690"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华西证券</w:t>
            </w:r>
          </w:p>
        </w:tc>
        <w:tc>
          <w:tcPr>
            <w:tcW w:w="1843" w:type="dxa"/>
            <w:tcBorders>
              <w:top w:val="single" w:sz="4" w:space="0" w:color="auto"/>
              <w:left w:val="single" w:sz="4" w:space="0" w:color="auto"/>
              <w:bottom w:val="single" w:sz="4" w:space="0" w:color="auto"/>
              <w:right w:val="single" w:sz="4" w:space="0" w:color="auto"/>
            </w:tcBorders>
            <w:vAlign w:val="center"/>
          </w:tcPr>
          <w:p w:rsidR="00493625" w:rsidRDefault="00F57C61">
            <w:pPr>
              <w:rPr>
                <w:rFonts w:ascii="宋体" w:hAnsi="宋体" w:cs="宋体"/>
                <w:color w:val="000000"/>
                <w:sz w:val="22"/>
              </w:rPr>
            </w:pPr>
            <w:r>
              <w:rPr>
                <w:rFonts w:hint="eastAsia"/>
                <w:color w:val="000000"/>
                <w:sz w:val="22"/>
              </w:rPr>
              <w:t>724000</w:t>
            </w:r>
          </w:p>
        </w:tc>
        <w:tc>
          <w:tcPr>
            <w:tcW w:w="709" w:type="dxa"/>
            <w:tcBorders>
              <w:top w:val="single" w:sz="4" w:space="0" w:color="auto"/>
              <w:left w:val="single" w:sz="4" w:space="0" w:color="auto"/>
              <w:bottom w:val="single" w:sz="4" w:space="0" w:color="auto"/>
              <w:right w:val="single" w:sz="4" w:space="0" w:color="auto"/>
            </w:tcBorders>
            <w:vAlign w:val="center"/>
          </w:tcPr>
          <w:p w:rsidR="00493625" w:rsidRDefault="00F57C61">
            <w:pPr>
              <w:jc w:val="right"/>
              <w:rPr>
                <w:color w:val="000000"/>
                <w:sz w:val="22"/>
              </w:rPr>
            </w:pPr>
            <w:r>
              <w:rPr>
                <w:rFonts w:hint="eastAsia"/>
                <w:color w:val="000000"/>
                <w:sz w:val="22"/>
              </w:rPr>
              <w:t>74</w:t>
            </w:r>
          </w:p>
        </w:tc>
        <w:tc>
          <w:tcPr>
            <w:tcW w:w="1842" w:type="dxa"/>
            <w:tcBorders>
              <w:top w:val="single" w:sz="4" w:space="0" w:color="auto"/>
              <w:left w:val="single" w:sz="4" w:space="0" w:color="auto"/>
              <w:bottom w:val="single" w:sz="4" w:space="0" w:color="auto"/>
              <w:right w:val="single" w:sz="4" w:space="0" w:color="auto"/>
            </w:tcBorders>
            <w:vAlign w:val="center"/>
          </w:tcPr>
          <w:p w:rsidR="00493625" w:rsidRDefault="00F57C61">
            <w:pPr>
              <w:rPr>
                <w:color w:val="000000"/>
                <w:sz w:val="22"/>
              </w:rPr>
            </w:pPr>
            <w:r>
              <w:rPr>
                <w:rFonts w:hint="eastAsia"/>
                <w:color w:val="000000"/>
                <w:sz w:val="22"/>
              </w:rPr>
              <w:t>天风证券</w:t>
            </w:r>
          </w:p>
        </w:tc>
        <w:tc>
          <w:tcPr>
            <w:tcW w:w="1596" w:type="dxa"/>
            <w:tcBorders>
              <w:top w:val="single" w:sz="4" w:space="0" w:color="auto"/>
              <w:left w:val="single" w:sz="4" w:space="0" w:color="auto"/>
              <w:bottom w:val="single" w:sz="4" w:space="0" w:color="auto"/>
              <w:right w:val="single" w:sz="4" w:space="0" w:color="auto"/>
            </w:tcBorders>
            <w:vAlign w:val="center"/>
          </w:tcPr>
          <w:p w:rsidR="00493625" w:rsidRDefault="00F57C61">
            <w:pPr>
              <w:rPr>
                <w:color w:val="000000"/>
                <w:sz w:val="22"/>
              </w:rPr>
            </w:pPr>
            <w:r>
              <w:rPr>
                <w:rFonts w:hint="eastAsia"/>
                <w:color w:val="000000"/>
                <w:sz w:val="22"/>
              </w:rPr>
              <w:t>727900</w:t>
            </w:r>
          </w:p>
        </w:tc>
      </w:tr>
    </w:tbl>
    <w:p w:rsidR="00493625" w:rsidRDefault="00F57C61">
      <w:pPr>
        <w:spacing w:line="500" w:lineRule="exact"/>
        <w:ind w:firstLineChars="200" w:firstLine="560"/>
        <w:rPr>
          <w:rFonts w:ascii="仿宋_GB2312" w:eastAsia="仿宋_GB2312" w:hAnsi="宋体" w:cs="Times New Roman"/>
          <w:sz w:val="28"/>
        </w:rPr>
      </w:pPr>
      <w:r>
        <w:rPr>
          <w:rFonts w:ascii="仿宋_GB2312" w:eastAsia="仿宋_GB2312" w:hAnsi="ˎ̥" w:cs="宋体" w:hint="eastAsia"/>
          <w:kern w:val="0"/>
          <w:sz w:val="28"/>
          <w:szCs w:val="28"/>
        </w:rPr>
        <w:t>四、办理股份确权和托管手续及收费标准请参阅</w:t>
      </w:r>
      <w:r>
        <w:rPr>
          <w:rFonts w:ascii="仿宋_GB2312" w:eastAsia="仿宋_GB2312" w:hAnsi="宋体" w:cs="Times New Roman" w:hint="eastAsia"/>
          <w:sz w:val="28"/>
        </w:rPr>
        <w:t>《关于中国长江航运集团南京油运股份有限公司股份确权公告》。</w:t>
      </w:r>
    </w:p>
    <w:p w:rsidR="00493625" w:rsidRDefault="00F57C61">
      <w:pPr>
        <w:widowControl/>
        <w:spacing w:line="270" w:lineRule="atLeast"/>
        <w:ind w:firstLineChars="200" w:firstLine="560"/>
        <w:jc w:val="left"/>
        <w:rPr>
          <w:rFonts w:ascii="仿宋_GB2312" w:eastAsia="仿宋_GB2312" w:hAnsi="ˎ̥" w:cs="宋体" w:hint="eastAsia"/>
          <w:kern w:val="0"/>
          <w:sz w:val="28"/>
          <w:szCs w:val="28"/>
        </w:rPr>
      </w:pPr>
      <w:r>
        <w:rPr>
          <w:rFonts w:ascii="仿宋_GB2312" w:eastAsia="仿宋_GB2312" w:hAnsi="ˎ̥" w:cs="宋体" w:hint="eastAsia"/>
          <w:kern w:val="0"/>
          <w:sz w:val="28"/>
          <w:szCs w:val="28"/>
        </w:rPr>
        <w:t>五、其它事项</w:t>
      </w:r>
    </w:p>
    <w:p w:rsidR="00493625" w:rsidRDefault="00F57C61">
      <w:pPr>
        <w:spacing w:line="500" w:lineRule="exact"/>
        <w:ind w:firstLineChars="200" w:firstLine="560"/>
        <w:rPr>
          <w:rFonts w:ascii="仿宋_GB2312" w:eastAsia="仿宋_GB2312" w:hAnsi="ˎ̥" w:cs="宋体" w:hint="eastAsia"/>
          <w:kern w:val="0"/>
          <w:sz w:val="28"/>
          <w:szCs w:val="28"/>
        </w:rPr>
      </w:pPr>
      <w:r>
        <w:rPr>
          <w:rFonts w:ascii="仿宋_GB2312" w:eastAsia="仿宋_GB2312" w:hAnsi="ˎ̥" w:cs="宋体" w:hint="eastAsia"/>
          <w:kern w:val="0"/>
          <w:sz w:val="28"/>
          <w:szCs w:val="28"/>
        </w:rPr>
        <w:t>原股东在办理股份确权和股份托管时，如有疑问可向中信证券咨询。</w:t>
      </w:r>
    </w:p>
    <w:p w:rsidR="00493625" w:rsidRDefault="00F57C61">
      <w:pPr>
        <w:autoSpaceDE w:val="0"/>
        <w:autoSpaceDN w:val="0"/>
        <w:adjustRightInd w:val="0"/>
        <w:spacing w:line="500" w:lineRule="exact"/>
        <w:ind w:firstLineChars="200" w:firstLine="560"/>
        <w:jc w:val="left"/>
        <w:rPr>
          <w:rFonts w:ascii="仿宋_GB2312" w:eastAsia="仿宋_GB2312" w:hAnsi="宋体"/>
          <w:kern w:val="0"/>
          <w:sz w:val="28"/>
          <w:szCs w:val="28"/>
        </w:rPr>
      </w:pPr>
      <w:r>
        <w:rPr>
          <w:rFonts w:ascii="仿宋_GB2312" w:eastAsia="仿宋_GB2312" w:hAnsi="宋体" w:hint="eastAsia"/>
          <w:kern w:val="0"/>
          <w:sz w:val="28"/>
          <w:szCs w:val="28"/>
        </w:rPr>
        <w:t>咨询电话：95548</w:t>
      </w:r>
    </w:p>
    <w:p w:rsidR="00493625" w:rsidRDefault="00F57C61">
      <w:pPr>
        <w:autoSpaceDE w:val="0"/>
        <w:autoSpaceDN w:val="0"/>
        <w:adjustRightInd w:val="0"/>
        <w:spacing w:line="500" w:lineRule="exact"/>
        <w:ind w:firstLineChars="200" w:firstLine="560"/>
        <w:jc w:val="left"/>
        <w:rPr>
          <w:rFonts w:ascii="仿宋_GB2312" w:eastAsia="仿宋_GB2312" w:hAnsi="宋体"/>
          <w:kern w:val="0"/>
          <w:sz w:val="28"/>
        </w:rPr>
      </w:pPr>
      <w:r>
        <w:rPr>
          <w:rFonts w:ascii="仿宋_GB2312" w:eastAsia="仿宋_GB2312" w:hAnsi="宋体" w:hint="eastAsia"/>
          <w:kern w:val="0"/>
          <w:sz w:val="28"/>
        </w:rPr>
        <w:t>咨询时间：周一至周五（遇有节假日除外）9∶00-22∶00。</w:t>
      </w:r>
    </w:p>
    <w:p w:rsidR="00493625" w:rsidRDefault="00F57C61">
      <w:pPr>
        <w:spacing w:line="500" w:lineRule="exact"/>
        <w:ind w:firstLineChars="200" w:firstLine="560"/>
        <w:rPr>
          <w:rFonts w:ascii="仿宋_GB2312" w:eastAsia="仿宋_GB2312" w:hAnsi="ˎ̥" w:cs="宋体" w:hint="eastAsia"/>
          <w:kern w:val="0"/>
          <w:sz w:val="28"/>
          <w:szCs w:val="28"/>
        </w:rPr>
      </w:pPr>
      <w:r>
        <w:rPr>
          <w:rFonts w:ascii="仿宋_GB2312" w:eastAsia="仿宋_GB2312" w:hAnsi="ˎ̥" w:cs="宋体" w:hint="eastAsia"/>
          <w:kern w:val="0"/>
          <w:sz w:val="28"/>
          <w:szCs w:val="28"/>
        </w:rPr>
        <w:t>六、敬请原股东尽快办理股份确权与托管手续。</w:t>
      </w:r>
    </w:p>
    <w:p w:rsidR="00493625" w:rsidRDefault="00493625">
      <w:pPr>
        <w:widowControl/>
        <w:spacing w:line="270" w:lineRule="atLeast"/>
        <w:ind w:firstLine="180"/>
        <w:jc w:val="left"/>
        <w:rPr>
          <w:rFonts w:ascii="仿宋_GB2312" w:eastAsia="仿宋_GB2312" w:hAnsi="ˎ̥" w:cs="宋体" w:hint="eastAsia"/>
          <w:kern w:val="0"/>
          <w:sz w:val="28"/>
          <w:szCs w:val="28"/>
        </w:rPr>
      </w:pPr>
    </w:p>
    <w:p w:rsidR="00493625" w:rsidRDefault="00493625">
      <w:pPr>
        <w:widowControl/>
        <w:spacing w:line="270" w:lineRule="atLeast"/>
        <w:ind w:firstLine="180"/>
        <w:jc w:val="left"/>
        <w:rPr>
          <w:rFonts w:ascii="仿宋_GB2312" w:eastAsia="仿宋_GB2312" w:hAnsi="ˎ̥" w:cs="宋体" w:hint="eastAsia"/>
          <w:kern w:val="0"/>
          <w:sz w:val="28"/>
          <w:szCs w:val="28"/>
        </w:rPr>
      </w:pPr>
    </w:p>
    <w:p w:rsidR="00493625" w:rsidRDefault="00F57C61">
      <w:pPr>
        <w:widowControl/>
        <w:ind w:firstLine="180"/>
        <w:jc w:val="right"/>
        <w:rPr>
          <w:rFonts w:ascii="仿宋_GB2312" w:eastAsia="仿宋_GB2312"/>
          <w:sz w:val="28"/>
          <w:szCs w:val="28"/>
        </w:rPr>
      </w:pPr>
      <w:r>
        <w:rPr>
          <w:rFonts w:ascii="仿宋_GB2312" w:eastAsia="仿宋_GB2312" w:hAnsi="ˎ̥" w:cs="宋体" w:hint="eastAsia"/>
          <w:kern w:val="0"/>
          <w:sz w:val="28"/>
          <w:szCs w:val="28"/>
        </w:rPr>
        <w:t>中信</w:t>
      </w:r>
      <w:r>
        <w:rPr>
          <w:rFonts w:ascii="仿宋_GB2312" w:eastAsia="仿宋_GB2312" w:hint="eastAsia"/>
          <w:sz w:val="28"/>
          <w:szCs w:val="28"/>
        </w:rPr>
        <w:t>证券股份有限公司</w:t>
      </w:r>
    </w:p>
    <w:p w:rsidR="00493625" w:rsidRDefault="00F57C61">
      <w:pPr>
        <w:widowControl/>
        <w:ind w:firstLine="180"/>
        <w:jc w:val="right"/>
        <w:rPr>
          <w:rFonts w:ascii="仿宋_GB2312" w:eastAsia="仿宋_GB2312" w:hAnsi="ˎ̥" w:cs="宋体" w:hint="eastAsia"/>
          <w:i/>
          <w:iCs/>
          <w:kern w:val="0"/>
          <w:sz w:val="28"/>
          <w:szCs w:val="28"/>
        </w:rPr>
      </w:pPr>
      <w:r>
        <w:rPr>
          <w:rFonts w:ascii="仿宋_GB2312" w:eastAsia="仿宋_GB2312" w:hint="eastAsia"/>
          <w:sz w:val="28"/>
          <w:szCs w:val="28"/>
        </w:rPr>
        <w:t>2014年7月9日</w:t>
      </w:r>
    </w:p>
    <w:p w:rsidR="00493625" w:rsidRDefault="00493625">
      <w:pPr>
        <w:rPr>
          <w:rFonts w:ascii="仿宋_GB2312" w:eastAsia="仿宋_GB2312"/>
          <w:sz w:val="28"/>
          <w:szCs w:val="28"/>
        </w:rPr>
      </w:pPr>
    </w:p>
    <w:p w:rsidR="00493625" w:rsidRDefault="00493625"/>
    <w:sectPr w:rsidR="00493625" w:rsidSect="00896A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862" w:rsidRDefault="00CD4862" w:rsidP="00501520">
      <w:r>
        <w:separator/>
      </w:r>
    </w:p>
  </w:endnote>
  <w:endnote w:type="continuationSeparator" w:id="0">
    <w:p w:rsidR="00CD4862" w:rsidRDefault="00CD4862" w:rsidP="0050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862" w:rsidRDefault="00CD4862" w:rsidP="00501520">
      <w:r>
        <w:separator/>
      </w:r>
    </w:p>
  </w:footnote>
  <w:footnote w:type="continuationSeparator" w:id="0">
    <w:p w:rsidR="00CD4862" w:rsidRDefault="00CD4862" w:rsidP="00501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25"/>
    <w:rsid w:val="000A7A33"/>
    <w:rsid w:val="0010384A"/>
    <w:rsid w:val="00164A95"/>
    <w:rsid w:val="001752AD"/>
    <w:rsid w:val="003F4DC3"/>
    <w:rsid w:val="004018CF"/>
    <w:rsid w:val="00430D11"/>
    <w:rsid w:val="00493625"/>
    <w:rsid w:val="004F6C86"/>
    <w:rsid w:val="00501520"/>
    <w:rsid w:val="005B5A22"/>
    <w:rsid w:val="005E7E8E"/>
    <w:rsid w:val="00635561"/>
    <w:rsid w:val="006D3AB0"/>
    <w:rsid w:val="00705AB1"/>
    <w:rsid w:val="00896ACE"/>
    <w:rsid w:val="008F6E00"/>
    <w:rsid w:val="00A71812"/>
    <w:rsid w:val="00B04CFC"/>
    <w:rsid w:val="00C10D3F"/>
    <w:rsid w:val="00C457CB"/>
    <w:rsid w:val="00CD4862"/>
    <w:rsid w:val="00EE3FB8"/>
    <w:rsid w:val="00F57C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Body Text 2" w:semiHidden="0" w:unhideWhenUsed="0"/>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ACE"/>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896ACE"/>
    <w:rPr>
      <w:b/>
      <w:bCs/>
    </w:rPr>
  </w:style>
  <w:style w:type="paragraph" w:styleId="a4">
    <w:name w:val="annotation text"/>
    <w:basedOn w:val="a"/>
    <w:link w:val="Char0"/>
    <w:uiPriority w:val="99"/>
    <w:semiHidden/>
    <w:unhideWhenUsed/>
    <w:rsid w:val="00896ACE"/>
    <w:pPr>
      <w:jc w:val="left"/>
    </w:pPr>
  </w:style>
  <w:style w:type="paragraph" w:styleId="a5">
    <w:name w:val="Balloon Text"/>
    <w:basedOn w:val="a"/>
    <w:link w:val="Char1"/>
    <w:uiPriority w:val="99"/>
    <w:semiHidden/>
    <w:unhideWhenUsed/>
    <w:rsid w:val="00896ACE"/>
    <w:rPr>
      <w:sz w:val="18"/>
      <w:szCs w:val="18"/>
    </w:rPr>
  </w:style>
  <w:style w:type="paragraph" w:styleId="a6">
    <w:name w:val="footer"/>
    <w:basedOn w:val="a"/>
    <w:link w:val="Char2"/>
    <w:uiPriority w:val="99"/>
    <w:unhideWhenUsed/>
    <w:rsid w:val="00896ACE"/>
    <w:pPr>
      <w:tabs>
        <w:tab w:val="center" w:pos="4153"/>
        <w:tab w:val="right" w:pos="8306"/>
      </w:tabs>
      <w:snapToGrid w:val="0"/>
      <w:jc w:val="left"/>
    </w:pPr>
    <w:rPr>
      <w:sz w:val="18"/>
      <w:szCs w:val="18"/>
    </w:rPr>
  </w:style>
  <w:style w:type="paragraph" w:styleId="a7">
    <w:name w:val="header"/>
    <w:basedOn w:val="a"/>
    <w:link w:val="Char3"/>
    <w:uiPriority w:val="99"/>
    <w:unhideWhenUsed/>
    <w:rsid w:val="00896ACE"/>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rsid w:val="00896ACE"/>
    <w:pPr>
      <w:autoSpaceDE w:val="0"/>
      <w:autoSpaceDN w:val="0"/>
      <w:adjustRightInd w:val="0"/>
      <w:jc w:val="center"/>
    </w:pPr>
    <w:rPr>
      <w:rFonts w:ascii="黑体" w:eastAsia="黑体" w:hAnsi="Times New Roman" w:cs="Times New Roman"/>
      <w:kern w:val="0"/>
      <w:sz w:val="36"/>
      <w:szCs w:val="24"/>
    </w:rPr>
  </w:style>
  <w:style w:type="character" w:styleId="a8">
    <w:name w:val="Hyperlink"/>
    <w:rsid w:val="00896ACE"/>
    <w:rPr>
      <w:color w:val="0000FF"/>
      <w:u w:val="single"/>
    </w:rPr>
  </w:style>
  <w:style w:type="character" w:styleId="a9">
    <w:name w:val="annotation reference"/>
    <w:uiPriority w:val="99"/>
    <w:semiHidden/>
    <w:unhideWhenUsed/>
    <w:rsid w:val="00896ACE"/>
    <w:rPr>
      <w:sz w:val="21"/>
      <w:szCs w:val="21"/>
    </w:rPr>
  </w:style>
  <w:style w:type="character" w:customStyle="1" w:styleId="2Char">
    <w:name w:val="正文文本 2 Char"/>
    <w:link w:val="2"/>
    <w:rsid w:val="00896ACE"/>
    <w:rPr>
      <w:rFonts w:ascii="黑体" w:eastAsia="黑体" w:hAnsi="Times New Roman" w:cs="Times New Roman"/>
      <w:kern w:val="0"/>
      <w:sz w:val="36"/>
      <w:szCs w:val="24"/>
    </w:rPr>
  </w:style>
  <w:style w:type="character" w:customStyle="1" w:styleId="Char3">
    <w:name w:val="页眉 Char"/>
    <w:link w:val="a7"/>
    <w:uiPriority w:val="99"/>
    <w:rsid w:val="00896ACE"/>
    <w:rPr>
      <w:sz w:val="18"/>
      <w:szCs w:val="18"/>
    </w:rPr>
  </w:style>
  <w:style w:type="character" w:customStyle="1" w:styleId="Char2">
    <w:name w:val="页脚 Char"/>
    <w:link w:val="a6"/>
    <w:uiPriority w:val="99"/>
    <w:rsid w:val="00896ACE"/>
    <w:rPr>
      <w:sz w:val="18"/>
      <w:szCs w:val="18"/>
    </w:rPr>
  </w:style>
  <w:style w:type="character" w:customStyle="1" w:styleId="Char0">
    <w:name w:val="批注文字 Char"/>
    <w:basedOn w:val="a0"/>
    <w:link w:val="a4"/>
    <w:uiPriority w:val="99"/>
    <w:semiHidden/>
    <w:rsid w:val="00896ACE"/>
  </w:style>
  <w:style w:type="character" w:customStyle="1" w:styleId="Char">
    <w:name w:val="批注主题 Char"/>
    <w:link w:val="a3"/>
    <w:uiPriority w:val="99"/>
    <w:semiHidden/>
    <w:rsid w:val="00896ACE"/>
    <w:rPr>
      <w:b/>
      <w:bCs/>
    </w:rPr>
  </w:style>
  <w:style w:type="character" w:customStyle="1" w:styleId="Char1">
    <w:name w:val="批注框文本 Char"/>
    <w:link w:val="a5"/>
    <w:uiPriority w:val="99"/>
    <w:semiHidden/>
    <w:rsid w:val="00896A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Body Text 2" w:semiHidden="0" w:unhideWhenUsed="0"/>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ACE"/>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896ACE"/>
    <w:rPr>
      <w:b/>
      <w:bCs/>
    </w:rPr>
  </w:style>
  <w:style w:type="paragraph" w:styleId="a4">
    <w:name w:val="annotation text"/>
    <w:basedOn w:val="a"/>
    <w:link w:val="Char0"/>
    <w:uiPriority w:val="99"/>
    <w:semiHidden/>
    <w:unhideWhenUsed/>
    <w:rsid w:val="00896ACE"/>
    <w:pPr>
      <w:jc w:val="left"/>
    </w:pPr>
  </w:style>
  <w:style w:type="paragraph" w:styleId="a5">
    <w:name w:val="Balloon Text"/>
    <w:basedOn w:val="a"/>
    <w:link w:val="Char1"/>
    <w:uiPriority w:val="99"/>
    <w:semiHidden/>
    <w:unhideWhenUsed/>
    <w:rsid w:val="00896ACE"/>
    <w:rPr>
      <w:sz w:val="18"/>
      <w:szCs w:val="18"/>
    </w:rPr>
  </w:style>
  <w:style w:type="paragraph" w:styleId="a6">
    <w:name w:val="footer"/>
    <w:basedOn w:val="a"/>
    <w:link w:val="Char2"/>
    <w:uiPriority w:val="99"/>
    <w:unhideWhenUsed/>
    <w:rsid w:val="00896ACE"/>
    <w:pPr>
      <w:tabs>
        <w:tab w:val="center" w:pos="4153"/>
        <w:tab w:val="right" w:pos="8306"/>
      </w:tabs>
      <w:snapToGrid w:val="0"/>
      <w:jc w:val="left"/>
    </w:pPr>
    <w:rPr>
      <w:sz w:val="18"/>
      <w:szCs w:val="18"/>
    </w:rPr>
  </w:style>
  <w:style w:type="paragraph" w:styleId="a7">
    <w:name w:val="header"/>
    <w:basedOn w:val="a"/>
    <w:link w:val="Char3"/>
    <w:uiPriority w:val="99"/>
    <w:unhideWhenUsed/>
    <w:rsid w:val="00896ACE"/>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rsid w:val="00896ACE"/>
    <w:pPr>
      <w:autoSpaceDE w:val="0"/>
      <w:autoSpaceDN w:val="0"/>
      <w:adjustRightInd w:val="0"/>
      <w:jc w:val="center"/>
    </w:pPr>
    <w:rPr>
      <w:rFonts w:ascii="黑体" w:eastAsia="黑体" w:hAnsi="Times New Roman" w:cs="Times New Roman"/>
      <w:kern w:val="0"/>
      <w:sz w:val="36"/>
      <w:szCs w:val="24"/>
    </w:rPr>
  </w:style>
  <w:style w:type="character" w:styleId="a8">
    <w:name w:val="Hyperlink"/>
    <w:rsid w:val="00896ACE"/>
    <w:rPr>
      <w:color w:val="0000FF"/>
      <w:u w:val="single"/>
    </w:rPr>
  </w:style>
  <w:style w:type="character" w:styleId="a9">
    <w:name w:val="annotation reference"/>
    <w:uiPriority w:val="99"/>
    <w:semiHidden/>
    <w:unhideWhenUsed/>
    <w:rsid w:val="00896ACE"/>
    <w:rPr>
      <w:sz w:val="21"/>
      <w:szCs w:val="21"/>
    </w:rPr>
  </w:style>
  <w:style w:type="character" w:customStyle="1" w:styleId="2Char">
    <w:name w:val="正文文本 2 Char"/>
    <w:link w:val="2"/>
    <w:rsid w:val="00896ACE"/>
    <w:rPr>
      <w:rFonts w:ascii="黑体" w:eastAsia="黑体" w:hAnsi="Times New Roman" w:cs="Times New Roman"/>
      <w:kern w:val="0"/>
      <w:sz w:val="36"/>
      <w:szCs w:val="24"/>
    </w:rPr>
  </w:style>
  <w:style w:type="character" w:customStyle="1" w:styleId="Char3">
    <w:name w:val="页眉 Char"/>
    <w:link w:val="a7"/>
    <w:uiPriority w:val="99"/>
    <w:rsid w:val="00896ACE"/>
    <w:rPr>
      <w:sz w:val="18"/>
      <w:szCs w:val="18"/>
    </w:rPr>
  </w:style>
  <w:style w:type="character" w:customStyle="1" w:styleId="Char2">
    <w:name w:val="页脚 Char"/>
    <w:link w:val="a6"/>
    <w:uiPriority w:val="99"/>
    <w:rsid w:val="00896ACE"/>
    <w:rPr>
      <w:sz w:val="18"/>
      <w:szCs w:val="18"/>
    </w:rPr>
  </w:style>
  <w:style w:type="character" w:customStyle="1" w:styleId="Char0">
    <w:name w:val="批注文字 Char"/>
    <w:basedOn w:val="a0"/>
    <w:link w:val="a4"/>
    <w:uiPriority w:val="99"/>
    <w:semiHidden/>
    <w:rsid w:val="00896ACE"/>
  </w:style>
  <w:style w:type="character" w:customStyle="1" w:styleId="Char">
    <w:name w:val="批注主题 Char"/>
    <w:link w:val="a3"/>
    <w:uiPriority w:val="99"/>
    <w:semiHidden/>
    <w:rsid w:val="00896ACE"/>
    <w:rPr>
      <w:b/>
      <w:bCs/>
    </w:rPr>
  </w:style>
  <w:style w:type="character" w:customStyle="1" w:styleId="Char1">
    <w:name w:val="批注框文本 Char"/>
    <w:link w:val="a5"/>
    <w:uiPriority w:val="99"/>
    <w:semiHidden/>
    <w:rsid w:val="00896A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10F3D-DA10-4A2B-907C-33B0FEB0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1940</Characters>
  <Application>Microsoft Office Word</Application>
  <DocSecurity>0</DocSecurity>
  <Lines>16</Lines>
  <Paragraphs>4</Paragraphs>
  <ScaleCrop>false</ScaleCrop>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2014-07-07T03:42:00Z</dcterms:created>
  <dcterms:modified xsi:type="dcterms:W3CDTF">2014-07-07T03:42:00Z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