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spacing w:line="520" w:lineRule="exact"/>
        <w:rPr>
          <w:rFonts w:hint="eastAsia" w:ascii="仿宋_GB2312" w:hAnsi="宋体" w:eastAsia="仿宋_GB2312"/>
          <w:b/>
          <w:sz w:val="32"/>
          <w:szCs w:val="32"/>
        </w:rPr>
      </w:pPr>
      <w:r>
        <w:rPr>
          <w:rFonts w:hint="eastAsia" w:ascii="仿宋_GB2312" w:hAnsi="宋体" w:eastAsia="仿宋_GB2312"/>
          <w:b/>
          <w:sz w:val="32"/>
          <w:szCs w:val="32"/>
        </w:rPr>
        <w:t>关于中国长江航运集团</w:t>
      </w:r>
    </w:p>
    <w:p>
      <w:pPr>
        <w:pStyle w:val="8"/>
        <w:spacing w:line="520" w:lineRule="exact"/>
        <w:rPr>
          <w:rFonts w:ascii="仿宋_GB2312" w:hAnsi="宋体" w:eastAsia="仿宋_GB2312"/>
          <w:b/>
          <w:sz w:val="32"/>
          <w:szCs w:val="32"/>
        </w:rPr>
      </w:pPr>
      <w:r>
        <w:rPr>
          <w:rFonts w:hint="eastAsia" w:ascii="仿宋_GB2312" w:hAnsi="宋体" w:eastAsia="仿宋_GB2312"/>
          <w:b/>
          <w:sz w:val="32"/>
          <w:szCs w:val="32"/>
        </w:rPr>
        <w:t>南京油运股份有限公司股份确权补充公告</w:t>
      </w:r>
    </w:p>
    <w:p>
      <w:pPr>
        <w:widowControl w:val="0"/>
        <w:tabs>
          <w:tab w:val="left" w:pos="3240"/>
        </w:tabs>
        <w:wordWrap/>
        <w:adjustRightInd/>
        <w:snapToGrid/>
        <w:spacing w:beforeLines="50" w:after="0" w:line="500" w:lineRule="exact"/>
        <w:ind w:left="0" w:leftChars="0" w:right="0" w:firstLine="560" w:firstLineChars="200"/>
        <w:jc w:val="both"/>
        <w:textAlignment w:val="auto"/>
        <w:outlineLvl w:val="9"/>
        <w:rPr>
          <w:rFonts w:ascii="仿宋_GB2312" w:hAnsi="宋体" w:eastAsia="仿宋_GB2312"/>
          <w:sz w:val="28"/>
        </w:rPr>
      </w:pPr>
      <w:r>
        <w:rPr>
          <w:rFonts w:hint="eastAsia" w:ascii="仿宋_GB2312" w:hAnsi="宋体" w:eastAsia="仿宋_GB2312" w:cs="Times New Roman"/>
          <w:sz w:val="28"/>
        </w:rPr>
        <w:t>鉴于中国长江航运集团南京油运股份有限公司（以下简称“长航油运”）已于2014年6月5日起终止在上海证券交易所挂牌上市，中信证券股份有限公司（以下简称“中信证券”）已与长航油运签订《推荐恢复上市、委托代办股份转让协议书》，为长航油运提供代办股份转让服务。现就信用证券账户中持有长航油运股份的股东办理确权、登记和托管的有关事项补充公告如下：</w:t>
      </w:r>
    </w:p>
    <w:p>
      <w:pPr>
        <w:tabs>
          <w:tab w:val="left" w:pos="3240"/>
        </w:tabs>
        <w:spacing w:line="500" w:lineRule="exact"/>
        <w:ind w:firstLine="560" w:firstLineChars="200"/>
        <w:rPr>
          <w:rFonts w:ascii="仿宋_GB2312" w:hAnsi="宋体" w:eastAsia="仿宋_GB2312"/>
          <w:sz w:val="28"/>
        </w:rPr>
      </w:pPr>
      <w:r>
        <w:rPr>
          <w:rFonts w:hint="eastAsia" w:ascii="仿宋_GB2312" w:hAnsi="宋体" w:eastAsia="仿宋_GB2312"/>
          <w:sz w:val="28"/>
        </w:rPr>
        <w:t>1、如投资者信用证券账户开立在具有全国中小企业股份转让业务资格的代办券商</w:t>
      </w:r>
      <w:r>
        <w:rPr>
          <w:rFonts w:hint="eastAsia" w:ascii="仿宋_GB2312" w:hAnsi="宋体" w:eastAsia="仿宋_GB2312" w:cs="Times New Roman"/>
          <w:sz w:val="28"/>
          <w:lang w:eastAsia="zh-CN"/>
        </w:rPr>
        <w:t>（详见下表）</w:t>
      </w:r>
      <w:r>
        <w:rPr>
          <w:rFonts w:hint="eastAsia" w:ascii="仿宋_GB2312" w:hAnsi="宋体" w:eastAsia="仿宋_GB2312"/>
          <w:sz w:val="28"/>
        </w:rPr>
        <w:t>，则必须在原指定交易的券商办理股份重新确权、登记和托管手续，券商在确认该投资者已与其了结债权债务关系后，将股份确权至该投资者开立的深市普通证券账户中。</w:t>
      </w:r>
    </w:p>
    <w:p>
      <w:pPr>
        <w:tabs>
          <w:tab w:val="left" w:pos="3240"/>
        </w:tabs>
        <w:spacing w:line="500" w:lineRule="exact"/>
        <w:ind w:firstLine="560" w:firstLineChars="200"/>
        <w:rPr>
          <w:rFonts w:ascii="仿宋_GB2312" w:hAnsi="宋体" w:eastAsia="仿宋_GB2312"/>
          <w:sz w:val="28"/>
        </w:rPr>
      </w:pPr>
      <w:r>
        <w:rPr>
          <w:rFonts w:hint="eastAsia" w:ascii="仿宋_GB2312" w:hAnsi="宋体" w:eastAsia="仿宋_GB2312"/>
          <w:sz w:val="28"/>
        </w:rPr>
        <w:t>2、如投资者信用证券账户开立在不具有全国中小企业股份转让业务资格的代办券商，则必须由原指定交易的券商开具了结债权债务关系的证明文件后，携该文件及其它确权申请材料</w:t>
      </w:r>
      <w:r>
        <w:rPr>
          <w:rFonts w:hint="eastAsia" w:ascii="仿宋_GB2312" w:hAnsi="ˎ̥" w:eastAsia="仿宋_GB2312" w:cs="宋体"/>
          <w:kern w:val="0"/>
          <w:sz w:val="28"/>
          <w:szCs w:val="28"/>
        </w:rPr>
        <w:t>在中信证券</w:t>
      </w:r>
      <w:r>
        <w:rPr>
          <w:rFonts w:hint="eastAsia" w:ascii="仿宋_GB2312" w:hAnsi="宋体" w:eastAsia="仿宋_GB2312"/>
          <w:sz w:val="28"/>
        </w:rPr>
        <w:t>办理重新确权、登记和托管手续；中信证券对确权申请材料审核无误后，将股份确权至该投资者开立的深市普通证券账户中。</w:t>
      </w:r>
    </w:p>
    <w:p>
      <w:pPr>
        <w:autoSpaceDE w:val="0"/>
        <w:autoSpaceDN w:val="0"/>
        <w:adjustRightInd w:val="0"/>
        <w:spacing w:line="50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具有全国中小企业股份转让业务资格且托管单元编码可正常使用的73家证券公司的74个编码详见下表：</w:t>
      </w:r>
    </w:p>
    <w:tbl>
      <w:tblPr>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35"/>
        <w:gridCol w:w="1690"/>
        <w:gridCol w:w="1843"/>
        <w:gridCol w:w="709"/>
        <w:gridCol w:w="1842"/>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6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证券公司</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三板托管单元</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证券公司</w:t>
            </w:r>
          </w:p>
        </w:tc>
        <w:tc>
          <w:tcPr>
            <w:tcW w:w="15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三板托管单元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1</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申银万国</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720100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38</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西南证券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2</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国泰君安</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720200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39</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国海证券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3</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国信证券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720300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40</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国金证券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4</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信达证券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720500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41</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中原证券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5</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东兴证券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720600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42</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浙商证券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6</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长江证券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720700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43</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国联证券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7</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银河证券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720800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44</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大通证券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8</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渤海证券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720900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45</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安信证券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9</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海通证券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721000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46</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民生证券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10</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广发证券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721100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47</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方正证券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11</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兴业证券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721200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48</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中金公司（一）</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12</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招商证券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721300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49</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东莞证券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13</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光大证券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721500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50</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红塔证券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14</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湘财证券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721600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51</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华龙证券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15</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华泰证券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721700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52</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ascii="宋体" w:hAnsi="宋体" w:cs="宋体"/>
                <w:color w:val="000000"/>
                <w:sz w:val="22"/>
              </w:rPr>
              <w:t>爱建证券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16</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中信证券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721800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53</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首创证券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17</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东海证券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721900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54</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华安证券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18</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国元证券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722000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55</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财富证券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19</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东方证券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722100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56</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广州证券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20</w:t>
            </w:r>
          </w:p>
        </w:tc>
        <w:tc>
          <w:tcPr>
            <w:tcW w:w="1690"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平安证券</w:t>
            </w:r>
          </w:p>
        </w:tc>
        <w:tc>
          <w:tcPr>
            <w:tcW w:w="1843"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722200</w:t>
            </w:r>
          </w:p>
        </w:tc>
        <w:tc>
          <w:tcPr>
            <w:tcW w:w="709" w:type="dxa"/>
            <w:tcBorders>
              <w:top w:val="nil"/>
              <w:left w:val="nil"/>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57</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财通证券</w:t>
            </w:r>
          </w:p>
        </w:tc>
        <w:tc>
          <w:tcPr>
            <w:tcW w:w="1596" w:type="dxa"/>
            <w:tcBorders>
              <w:top w:val="nil"/>
              <w:left w:val="nil"/>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21</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中银证券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722300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58</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恒泰证券</w:t>
            </w:r>
          </w:p>
        </w:tc>
        <w:tc>
          <w:tcPr>
            <w:tcW w:w="1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22</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上海证券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722400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59</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第一创业</w:t>
            </w:r>
          </w:p>
        </w:tc>
        <w:tc>
          <w:tcPr>
            <w:tcW w:w="1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23</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西部证券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722500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60</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民族证券</w:t>
            </w:r>
          </w:p>
        </w:tc>
        <w:tc>
          <w:tcPr>
            <w:tcW w:w="1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24</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中投证券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722600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61</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世纪证券</w:t>
            </w:r>
          </w:p>
        </w:tc>
        <w:tc>
          <w:tcPr>
            <w:tcW w:w="1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25</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宏源证券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722700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62</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中航证券</w:t>
            </w:r>
          </w:p>
        </w:tc>
        <w:tc>
          <w:tcPr>
            <w:tcW w:w="1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26</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南京证券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722800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63</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中金公司（二）</w:t>
            </w:r>
          </w:p>
        </w:tc>
        <w:tc>
          <w:tcPr>
            <w:tcW w:w="1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27</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齐鲁证券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722900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64</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新时代证券</w:t>
            </w:r>
          </w:p>
        </w:tc>
        <w:tc>
          <w:tcPr>
            <w:tcW w:w="1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28</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国都证券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723000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65</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江海证券</w:t>
            </w:r>
          </w:p>
        </w:tc>
        <w:tc>
          <w:tcPr>
            <w:tcW w:w="1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29</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山西证券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723100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66</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ascii="宋体" w:hAnsi="宋体" w:cs="宋体"/>
                <w:color w:val="000000"/>
                <w:sz w:val="22"/>
              </w:rPr>
              <w:t>太平洋证券</w:t>
            </w:r>
          </w:p>
        </w:tc>
        <w:tc>
          <w:tcPr>
            <w:tcW w:w="1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30</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中信建投</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723200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color w:val="000000"/>
                <w:sz w:val="22"/>
              </w:rPr>
            </w:pPr>
            <w:r>
              <w:rPr>
                <w:rFonts w:hint="eastAsia"/>
                <w:color w:val="000000"/>
                <w:sz w:val="22"/>
              </w:rPr>
              <w:t>67</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华融证券</w:t>
            </w:r>
          </w:p>
        </w:tc>
        <w:tc>
          <w:tcPr>
            <w:tcW w:w="1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31</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长城证券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723300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color w:val="000000"/>
                <w:sz w:val="22"/>
              </w:rPr>
            </w:pPr>
            <w:r>
              <w:rPr>
                <w:rFonts w:hint="eastAsia"/>
                <w:color w:val="000000"/>
                <w:sz w:val="22"/>
              </w:rPr>
              <w:t>68</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华鑫证券</w:t>
            </w:r>
          </w:p>
        </w:tc>
        <w:tc>
          <w:tcPr>
            <w:tcW w:w="1596"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727300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32</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万联证券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723400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color w:val="000000"/>
                <w:sz w:val="22"/>
              </w:rPr>
            </w:pPr>
            <w:r>
              <w:rPr>
                <w:rFonts w:hint="eastAsia"/>
                <w:color w:val="000000"/>
                <w:sz w:val="22"/>
              </w:rPr>
              <w:t>69</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华林证券</w:t>
            </w:r>
          </w:p>
        </w:tc>
        <w:tc>
          <w:tcPr>
            <w:tcW w:w="1596"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727400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33</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东吴证券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723500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color w:val="000000"/>
                <w:sz w:val="22"/>
              </w:rPr>
            </w:pPr>
            <w:r>
              <w:rPr>
                <w:rFonts w:hint="eastAsia"/>
                <w:color w:val="000000"/>
                <w:sz w:val="22"/>
              </w:rPr>
              <w:t>70</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华创证券</w:t>
            </w:r>
          </w:p>
        </w:tc>
        <w:tc>
          <w:tcPr>
            <w:tcW w:w="1596"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727200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34</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东北证券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723700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color w:val="000000"/>
                <w:sz w:val="22"/>
              </w:rPr>
            </w:pPr>
            <w:r>
              <w:rPr>
                <w:rFonts w:hint="eastAsia"/>
                <w:color w:val="000000"/>
                <w:sz w:val="22"/>
              </w:rPr>
              <w:t>71</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财达证券</w:t>
            </w:r>
          </w:p>
        </w:tc>
        <w:tc>
          <w:tcPr>
            <w:tcW w:w="1596"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727600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35</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国盛证券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723800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color w:val="000000"/>
                <w:sz w:val="22"/>
              </w:rPr>
            </w:pPr>
            <w:r>
              <w:rPr>
                <w:rFonts w:hint="eastAsia"/>
                <w:color w:val="000000"/>
                <w:sz w:val="22"/>
              </w:rPr>
              <w:t>72</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中山证券</w:t>
            </w:r>
          </w:p>
        </w:tc>
        <w:tc>
          <w:tcPr>
            <w:tcW w:w="1596"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727700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36</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金元证券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723900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color w:val="000000"/>
                <w:sz w:val="22"/>
              </w:rPr>
            </w:pPr>
            <w:r>
              <w:rPr>
                <w:rFonts w:hint="eastAsia"/>
                <w:color w:val="000000"/>
                <w:sz w:val="22"/>
              </w:rPr>
              <w:t>73</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华福证券</w:t>
            </w:r>
          </w:p>
        </w:tc>
        <w:tc>
          <w:tcPr>
            <w:tcW w:w="1596"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727800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22"/>
              </w:rPr>
            </w:pPr>
            <w:r>
              <w:rPr>
                <w:rFonts w:hint="eastAsia"/>
                <w:color w:val="000000"/>
                <w:sz w:val="22"/>
              </w:rPr>
              <w:t>37</w:t>
            </w:r>
          </w:p>
        </w:tc>
        <w:tc>
          <w:tcPr>
            <w:tcW w:w="16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华西证券</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724000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color w:val="000000"/>
                <w:sz w:val="22"/>
              </w:rPr>
            </w:pPr>
            <w:r>
              <w:rPr>
                <w:rFonts w:hint="eastAsia"/>
                <w:color w:val="000000"/>
                <w:sz w:val="22"/>
              </w:rPr>
              <w:t>74</w:t>
            </w:r>
          </w:p>
        </w:tc>
        <w:tc>
          <w:tcPr>
            <w:tcW w:w="1842"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天风证券</w:t>
            </w:r>
          </w:p>
        </w:tc>
        <w:tc>
          <w:tcPr>
            <w:tcW w:w="1596"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727900</w:t>
            </w:r>
          </w:p>
        </w:tc>
      </w:tr>
    </w:tbl>
    <w:p>
      <w:pPr>
        <w:spacing w:line="500" w:lineRule="exact"/>
        <w:ind w:firstLine="560" w:firstLineChars="200"/>
        <w:rPr>
          <w:rFonts w:ascii="仿宋_GB2312" w:hAnsi="宋体" w:eastAsia="仿宋_GB2312" w:cs="Times New Roman"/>
          <w:sz w:val="28"/>
        </w:rPr>
      </w:pPr>
      <w:r>
        <w:rPr>
          <w:rFonts w:hint="eastAsia" w:ascii="仿宋_GB2312" w:hAnsi="ˎ̥" w:eastAsia="仿宋_GB2312" w:cs="宋体"/>
          <w:kern w:val="0"/>
          <w:sz w:val="28"/>
          <w:szCs w:val="28"/>
        </w:rPr>
        <w:t>办理股份确权和托管手续及收费标准请参阅于2014年6月11日在</w:t>
      </w:r>
      <w:r>
        <w:rPr>
          <w:rFonts w:hint="eastAsia" w:ascii="仿宋_GB2312" w:hAnsi="宋体" w:eastAsia="仿宋_GB2312" w:cs="Times New Roman"/>
          <w:sz w:val="28"/>
        </w:rPr>
        <w:t>《中国证券报》</w:t>
      </w:r>
      <w:r>
        <w:rPr>
          <w:rFonts w:hint="eastAsia" w:ascii="仿宋_GB2312" w:hAnsi="ˎ̥" w:eastAsia="仿宋_GB2312" w:cs="宋体"/>
          <w:kern w:val="0"/>
          <w:sz w:val="28"/>
          <w:szCs w:val="28"/>
        </w:rPr>
        <w:t>及</w:t>
      </w:r>
      <w:r>
        <w:rPr>
          <w:rFonts w:hint="eastAsia" w:ascii="仿宋_GB2312" w:hAnsi="宋体" w:eastAsia="仿宋_GB2312" w:cs="Times New Roman"/>
          <w:sz w:val="28"/>
        </w:rPr>
        <w:t>全国中小企业股份转让信息披露平台（</w:t>
      </w:r>
      <w:r>
        <w:rPr>
          <w:rFonts w:ascii="仿宋_GB2312" w:hAnsi="宋体" w:eastAsia="仿宋_GB2312"/>
          <w:sz w:val="28"/>
        </w:rPr>
        <w:t>www.neeq.com.cn</w:t>
      </w:r>
      <w:r>
        <w:rPr>
          <w:rFonts w:hint="eastAsia" w:ascii="仿宋_GB2312" w:hAnsi="宋体" w:eastAsia="仿宋_GB2312"/>
          <w:sz w:val="28"/>
        </w:rPr>
        <w:t>或</w:t>
      </w:r>
      <w:r>
        <w:rPr>
          <w:rFonts w:ascii="仿宋_GB2312" w:hAnsi="宋体" w:eastAsia="仿宋_GB2312"/>
          <w:sz w:val="28"/>
        </w:rPr>
        <w:t>www.neeq.cc</w:t>
      </w:r>
      <w:r>
        <w:rPr>
          <w:rFonts w:hint="eastAsia" w:ascii="仿宋_GB2312" w:hAnsi="宋体" w:eastAsia="仿宋_GB2312" w:cs="Times New Roman"/>
          <w:sz w:val="28"/>
        </w:rPr>
        <w:t>）上披露的《关于中国长江航运集团南京油运股份有限公司股份确权公告》。</w:t>
      </w:r>
    </w:p>
    <w:p>
      <w:pPr>
        <w:spacing w:line="500" w:lineRule="exact"/>
        <w:ind w:firstLine="560" w:firstLineChars="200"/>
        <w:rPr>
          <w:rFonts w:ascii="仿宋_GB2312" w:hAnsi="ˎ̥" w:eastAsia="仿宋_GB2312" w:cs="宋体"/>
          <w:kern w:val="0"/>
          <w:sz w:val="28"/>
          <w:szCs w:val="28"/>
        </w:rPr>
      </w:pPr>
      <w:r>
        <w:rPr>
          <w:rFonts w:hint="eastAsia" w:ascii="仿宋_GB2312" w:hAnsi="ˎ̥" w:eastAsia="仿宋_GB2312" w:cs="宋体"/>
          <w:kern w:val="0"/>
          <w:sz w:val="28"/>
          <w:szCs w:val="28"/>
        </w:rPr>
        <w:t>原股东在办理股份确权和股份托管时，如有疑问可向中信证券咨询。</w:t>
      </w:r>
    </w:p>
    <w:p>
      <w:pPr>
        <w:autoSpaceDE w:val="0"/>
        <w:autoSpaceDN w:val="0"/>
        <w:adjustRightInd w:val="0"/>
        <w:spacing w:line="50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咨询电话：95548</w:t>
      </w:r>
    </w:p>
    <w:p>
      <w:pPr>
        <w:autoSpaceDE w:val="0"/>
        <w:autoSpaceDN w:val="0"/>
        <w:adjustRightInd w:val="0"/>
        <w:spacing w:line="500" w:lineRule="exact"/>
        <w:ind w:firstLine="560" w:firstLineChars="200"/>
        <w:jc w:val="left"/>
        <w:rPr>
          <w:rFonts w:ascii="仿宋_GB2312" w:hAnsi="宋体" w:eastAsia="仿宋_GB2312"/>
          <w:kern w:val="0"/>
          <w:sz w:val="28"/>
        </w:rPr>
      </w:pPr>
      <w:r>
        <w:rPr>
          <w:rFonts w:hint="eastAsia" w:ascii="仿宋_GB2312" w:hAnsi="宋体" w:eastAsia="仿宋_GB2312"/>
          <w:kern w:val="0"/>
          <w:sz w:val="28"/>
        </w:rPr>
        <w:t>咨询时间：周一至周五（遇有节假日除外）9∶00-22∶00。</w:t>
      </w:r>
    </w:p>
    <w:p>
      <w:pPr>
        <w:tabs>
          <w:tab w:val="left" w:pos="3240"/>
        </w:tabs>
        <w:spacing w:line="500" w:lineRule="exact"/>
        <w:ind w:firstLine="560" w:firstLineChars="200"/>
        <w:rPr>
          <w:rFonts w:ascii="仿宋_GB2312" w:hAnsi="宋体" w:eastAsia="仿宋_GB2312" w:cs="Times New Roman"/>
          <w:sz w:val="28"/>
        </w:rPr>
      </w:pPr>
    </w:p>
    <w:p>
      <w:pPr>
        <w:widowControl/>
        <w:ind w:firstLine="180"/>
        <w:jc w:val="right"/>
        <w:rPr>
          <w:rFonts w:ascii="仿宋_GB2312" w:eastAsia="仿宋_GB2312"/>
          <w:sz w:val="28"/>
          <w:szCs w:val="28"/>
        </w:rPr>
      </w:pPr>
      <w:r>
        <w:rPr>
          <w:rFonts w:hint="eastAsia" w:ascii="仿宋_GB2312" w:hAnsi="ˎ̥" w:eastAsia="仿宋_GB2312" w:cs="宋体"/>
          <w:kern w:val="0"/>
          <w:sz w:val="28"/>
          <w:szCs w:val="28"/>
        </w:rPr>
        <w:t>中信</w:t>
      </w:r>
      <w:r>
        <w:rPr>
          <w:rFonts w:hint="eastAsia" w:ascii="仿宋_GB2312" w:eastAsia="仿宋_GB2312"/>
          <w:sz w:val="28"/>
          <w:szCs w:val="28"/>
        </w:rPr>
        <w:t>证券股份有限公司</w:t>
      </w:r>
    </w:p>
    <w:p>
      <w:pPr>
        <w:widowControl/>
        <w:wordWrap w:val="0"/>
        <w:ind w:firstLine="180"/>
        <w:jc w:val="right"/>
        <w:rPr>
          <w:rFonts w:ascii="仿宋_GB2312" w:hAnsi="ˎ̥" w:eastAsia="仿宋_GB2312" w:cs="宋体"/>
          <w:iCs/>
          <w:kern w:val="0"/>
          <w:sz w:val="28"/>
          <w:szCs w:val="28"/>
        </w:rPr>
      </w:pPr>
      <w:r>
        <w:rPr>
          <w:rFonts w:hint="eastAsia" w:ascii="仿宋_GB2312" w:eastAsia="仿宋_GB2312"/>
          <w:sz w:val="28"/>
          <w:szCs w:val="28"/>
        </w:rPr>
        <w:t>2014年6月</w:t>
      </w:r>
      <w:r>
        <w:rPr>
          <w:rFonts w:hint="eastAsia" w:ascii="仿宋_GB2312" w:eastAsia="仿宋_GB2312"/>
          <w:sz w:val="28"/>
          <w:szCs w:val="28"/>
          <w:lang w:val="en-US" w:eastAsia="zh-CN"/>
        </w:rPr>
        <w:t>25</w:t>
      </w:r>
      <w:bookmarkStart w:id="0" w:name="_GoBack"/>
      <w:bookmarkEnd w:id="0"/>
      <w:r>
        <w:rPr>
          <w:rFonts w:hint="eastAsia" w:ascii="仿宋_GB2312" w:eastAsia="仿宋_GB2312"/>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uiPriority w:val="1"/>
  </w:style>
  <w:style w:type="paragraph" w:styleId="2">
    <w:name w:val="annotation subject"/>
    <w:basedOn w:val="3"/>
    <w:next w:val="3"/>
    <w:link w:val="16"/>
    <w:semiHidden/>
    <w:unhideWhenUsed/>
    <w:uiPriority w:val="99"/>
    <w:rPr>
      <w:b/>
      <w:bCs/>
    </w:rPr>
  </w:style>
  <w:style w:type="paragraph" w:styleId="3">
    <w:name w:val="annotation text"/>
    <w:basedOn w:val="1"/>
    <w:link w:val="15"/>
    <w:unhideWhenUsed/>
    <w:uiPriority w:val="99"/>
    <w:pPr>
      <w:jc w:val="left"/>
    </w:pPr>
  </w:style>
  <w:style w:type="paragraph" w:styleId="4">
    <w:name w:val="Document Map"/>
    <w:basedOn w:val="1"/>
    <w:link w:val="18"/>
    <w:semiHidden/>
    <w:unhideWhenUsed/>
    <w:uiPriority w:val="99"/>
    <w:rPr>
      <w:rFonts w:ascii="宋体"/>
      <w:sz w:val="18"/>
      <w:szCs w:val="18"/>
    </w:rPr>
  </w:style>
  <w:style w:type="paragraph" w:styleId="5">
    <w:name w:val="Balloon Text"/>
    <w:basedOn w:val="1"/>
    <w:link w:val="17"/>
    <w:semiHidden/>
    <w:unhideWhenUsed/>
    <w:uiPriority w:val="99"/>
    <w:rPr>
      <w:sz w:val="18"/>
      <w:szCs w:val="18"/>
    </w:rPr>
  </w:style>
  <w:style w:type="paragraph" w:styleId="6">
    <w:name w:val="footer"/>
    <w:basedOn w:val="1"/>
    <w:link w:val="20"/>
    <w:unhideWhenUsed/>
    <w:uiPriority w:val="99"/>
    <w:pPr>
      <w:tabs>
        <w:tab w:val="center" w:pos="4153"/>
        <w:tab w:val="right" w:pos="8306"/>
      </w:tabs>
      <w:snapToGrid w:val="0"/>
      <w:jc w:val="left"/>
    </w:pPr>
    <w:rPr>
      <w:sz w:val="18"/>
      <w:szCs w:val="18"/>
    </w:rPr>
  </w:style>
  <w:style w:type="paragraph" w:styleId="7">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4"/>
    <w:uiPriority w:val="0"/>
    <w:pPr>
      <w:autoSpaceDE w:val="0"/>
      <w:autoSpaceDN w:val="0"/>
      <w:adjustRightInd w:val="0"/>
      <w:jc w:val="center"/>
    </w:pPr>
    <w:rPr>
      <w:rFonts w:ascii="黑体" w:hAnsi="Times New Roman" w:eastAsia="黑体" w:cs="Times New Roman"/>
      <w:kern w:val="0"/>
      <w:sz w:val="36"/>
      <w:szCs w:val="24"/>
    </w:rPr>
  </w:style>
  <w:style w:type="paragraph" w:styleId="9">
    <w:name w:val="HTML Preformatted"/>
    <w:basedOn w:val="1"/>
    <w:link w:val="2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11">
    <w:name w:val="Hyperlink"/>
    <w:unhideWhenUsed/>
    <w:uiPriority w:val="99"/>
    <w:rPr>
      <w:color w:val="0000FF"/>
      <w:u w:val="single"/>
    </w:rPr>
  </w:style>
  <w:style w:type="character" w:styleId="12">
    <w:name w:val="annotation reference"/>
    <w:semiHidden/>
    <w:unhideWhenUsed/>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正文文本 2 Char"/>
    <w:link w:val="8"/>
    <w:uiPriority w:val="0"/>
    <w:rPr>
      <w:rFonts w:ascii="黑体" w:hAnsi="Times New Roman" w:eastAsia="黑体" w:cs="Times New Roman"/>
      <w:kern w:val="0"/>
      <w:sz w:val="36"/>
      <w:szCs w:val="24"/>
    </w:rPr>
  </w:style>
  <w:style w:type="character" w:customStyle="1" w:styleId="15">
    <w:name w:val="批注文字 Char"/>
    <w:basedOn w:val="10"/>
    <w:link w:val="3"/>
    <w:uiPriority w:val="99"/>
    <w:rPr/>
  </w:style>
  <w:style w:type="character" w:customStyle="1" w:styleId="16">
    <w:name w:val="批注主题 Char"/>
    <w:link w:val="2"/>
    <w:semiHidden/>
    <w:uiPriority w:val="99"/>
    <w:rPr>
      <w:b/>
      <w:bCs/>
    </w:rPr>
  </w:style>
  <w:style w:type="character" w:customStyle="1" w:styleId="17">
    <w:name w:val="批注框文本 Char"/>
    <w:link w:val="5"/>
    <w:semiHidden/>
    <w:uiPriority w:val="99"/>
    <w:rPr>
      <w:sz w:val="18"/>
      <w:szCs w:val="18"/>
    </w:rPr>
  </w:style>
  <w:style w:type="character" w:customStyle="1" w:styleId="18">
    <w:name w:val="文档结构图 Char"/>
    <w:link w:val="4"/>
    <w:semiHidden/>
    <w:uiPriority w:val="99"/>
    <w:rPr>
      <w:rFonts w:ascii="宋体" w:eastAsia="宋体"/>
      <w:sz w:val="18"/>
      <w:szCs w:val="18"/>
    </w:rPr>
  </w:style>
  <w:style w:type="character" w:customStyle="1" w:styleId="19">
    <w:name w:val="页眉 Char"/>
    <w:link w:val="7"/>
    <w:uiPriority w:val="99"/>
    <w:rPr>
      <w:sz w:val="18"/>
      <w:szCs w:val="18"/>
    </w:rPr>
  </w:style>
  <w:style w:type="character" w:customStyle="1" w:styleId="20">
    <w:name w:val="页脚 Char"/>
    <w:link w:val="6"/>
    <w:uiPriority w:val="99"/>
    <w:rPr>
      <w:sz w:val="18"/>
      <w:szCs w:val="18"/>
    </w:rPr>
  </w:style>
  <w:style w:type="character" w:customStyle="1" w:styleId="21">
    <w:name w:val="HTML 预设格式 Char"/>
    <w:link w:val="9"/>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307</Words>
  <Characters>1754</Characters>
  <Application>WPS Office 个人版_9.1.0.4715_{F1E327BC-269C-435d-A152-05C5408002CA}</Application>
  <DocSecurity>0</DocSecurity>
  <Lines>14</Lines>
  <Paragraphs>4</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
  <cp:lastPrinted>2014-04-10T01:10:00Z</cp:lastPrinted>
  <dcterms:created xsi:type="dcterms:W3CDTF">2014-06-23T02:11:00Z</dcterms:created>
  <dcterms:modified xsi:type="dcterms:W3CDTF">2014-06-24T02:29:03Z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