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ascii="仿宋_GB2312" w:hAnsi="宋体" w:eastAsia="仿宋_GB2312"/>
          <w:sz w:val="30"/>
          <w:szCs w:val="30"/>
        </w:rPr>
      </w:pPr>
      <w:r>
        <w:rPr>
          <w:rFonts w:hint="eastAsia" w:ascii="仿宋_GB2312" w:hAnsi="宋体" w:eastAsia="仿宋_GB2312"/>
          <w:sz w:val="30"/>
          <w:szCs w:val="30"/>
        </w:rPr>
        <w:t>附件：</w:t>
      </w:r>
    </w:p>
    <w:p>
      <w:pPr>
        <w:snapToGrid w:val="0"/>
        <w:spacing w:line="600" w:lineRule="exact"/>
        <w:ind w:right="-57" w:rightChars="-27"/>
        <w:rPr>
          <w:rFonts w:ascii="黑体" w:hAnsi="黑体" w:eastAsia="黑体"/>
          <w:bCs/>
          <w:sz w:val="44"/>
          <w:szCs w:val="44"/>
        </w:rPr>
      </w:pPr>
    </w:p>
    <w:p>
      <w:pPr>
        <w:spacing w:line="600" w:lineRule="exact"/>
        <w:ind w:right="-57" w:rightChars="-27"/>
        <w:jc w:val="center"/>
        <w:rPr>
          <w:rFonts w:hint="eastAsia" w:ascii="黑体" w:hAnsi="黑体" w:eastAsia="黑体"/>
          <w:bCs/>
          <w:sz w:val="44"/>
          <w:szCs w:val="44"/>
        </w:rPr>
      </w:pPr>
      <w:r>
        <w:rPr>
          <w:rFonts w:hint="eastAsia" w:ascii="黑体" w:hAnsi="黑体" w:eastAsia="黑体"/>
          <w:bCs/>
          <w:sz w:val="44"/>
          <w:szCs w:val="44"/>
        </w:rPr>
        <w:t>关于对杭州天目山药业股份有限公司</w:t>
      </w:r>
    </w:p>
    <w:p>
      <w:pPr>
        <w:spacing w:line="600" w:lineRule="exact"/>
        <w:ind w:right="-57" w:rightChars="-27"/>
        <w:jc w:val="center"/>
        <w:rPr>
          <w:rFonts w:ascii="黑体" w:hAnsi="黑体" w:eastAsia="黑体"/>
          <w:bCs/>
          <w:sz w:val="44"/>
          <w:szCs w:val="44"/>
        </w:rPr>
      </w:pPr>
      <w:r>
        <w:rPr>
          <w:rFonts w:hint="eastAsia" w:ascii="黑体" w:hAnsi="黑体" w:eastAsia="黑体"/>
          <w:bCs/>
          <w:sz w:val="44"/>
          <w:szCs w:val="44"/>
        </w:rPr>
        <w:t>有关责任人予以通报批评的意向书</w:t>
      </w:r>
    </w:p>
    <w:p>
      <w:pPr>
        <w:snapToGrid w:val="0"/>
        <w:spacing w:line="600" w:lineRule="exact"/>
        <w:jc w:val="center"/>
        <w:rPr>
          <w:rFonts w:ascii="黑体" w:hAnsi="黑体" w:eastAsia="黑体"/>
          <w:bCs/>
          <w:sz w:val="44"/>
          <w:szCs w:val="44"/>
        </w:rPr>
      </w:pPr>
    </w:p>
    <w:p>
      <w:pPr>
        <w:adjustRightInd w:val="0"/>
        <w:snapToGrid w:val="0"/>
        <w:spacing w:line="600" w:lineRule="exact"/>
        <w:rPr>
          <w:rFonts w:ascii="仿宋_GB2312" w:hAnsi="宋体" w:eastAsia="仿宋_GB2312"/>
          <w:sz w:val="30"/>
          <w:szCs w:val="30"/>
        </w:rPr>
      </w:pPr>
      <w:r>
        <w:rPr>
          <w:rFonts w:hint="eastAsia" w:ascii="仿宋_GB2312" w:hAnsi="宋体" w:eastAsia="仿宋_GB2312"/>
          <w:sz w:val="30"/>
          <w:szCs w:val="30"/>
        </w:rPr>
        <w:t>杭州天目山药业股份有限公司时任董事长赵锐勇：</w:t>
      </w:r>
    </w:p>
    <w:p>
      <w:pPr>
        <w:adjustRightInd w:val="0"/>
        <w:snapToGrid w:val="0"/>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经查明，2023年9月14日，杭州天目山药业股份有限公司（以下简称公司）披露《关于公司涉嫌违规担保涉及诉讼的公告》显示，2018年，时任公司董事兼总经理祝政与陆亚娟签署《借条》，约定借款总额为2,000万元，占2017年公司经审计净资产的29.80%。借款利息按照千分之一计算，公司作为担保人承担不可撤销保证责任直至主债务本息还清为止。2018年2月14日，陆亚娟向祝政转入970万元。上述担保实际发生额占公司2017年经审计净资产的14.45%。后祝政偿还了部分借款本息，剩余部分未归还。2023年8月，陆亚娟请求法院判令祝政偿还借款本金250万元、利息257.18万元及律师费、保全保险费等费用，公司对祝政不能清偿的部分承担赔偿责任。上述担保本金余额及利息合计507.18万元，占公司2022年经审计净资产绝对值的34.67%，占公司2022年经审计净利润的7.51%。</w:t>
      </w:r>
    </w:p>
    <w:p>
      <w:pPr>
        <w:adjustRightInd w:val="0"/>
        <w:snapToGrid w:val="0"/>
        <w:spacing w:line="600" w:lineRule="exact"/>
        <w:ind w:firstLine="600"/>
        <w:rPr>
          <w:rFonts w:hint="eastAsia" w:ascii="仿宋_GB2312" w:hAnsi="宋体" w:eastAsia="仿宋_GB2312"/>
          <w:sz w:val="30"/>
          <w:szCs w:val="30"/>
        </w:rPr>
      </w:pPr>
      <w:r>
        <w:rPr>
          <w:rFonts w:hint="eastAsia" w:ascii="仿宋_GB2312" w:hAnsi="宋体" w:eastAsia="仿宋_GB2312"/>
          <w:sz w:val="30"/>
          <w:szCs w:val="30"/>
        </w:rPr>
        <w:t>公司公告显示，公司档案中既没有案件所提及的《借条》原件或复印件，也没有涉及上述借款担保事项公司用印记录，上述事项未经公司内部审批手续、未经董事会、监事会和股东大会审议，系时任董事兼总经理祝政以公司名义实施的违规担保。</w:t>
      </w:r>
    </w:p>
    <w:p>
      <w:pPr>
        <w:adjustRightInd w:val="0"/>
        <w:snapToGrid w:val="0"/>
        <w:spacing w:line="600" w:lineRule="exact"/>
        <w:ind w:firstLine="600"/>
        <w:rPr>
          <w:rFonts w:ascii="仿宋_GB2312" w:hAnsi="宋体" w:eastAsia="仿宋_GB2312"/>
          <w:sz w:val="30"/>
          <w:szCs w:val="30"/>
        </w:rPr>
      </w:pPr>
      <w:r>
        <w:rPr>
          <w:rFonts w:hint="eastAsia" w:ascii="仿宋_GB2312" w:hAnsi="宋体" w:eastAsia="仿宋_GB2312"/>
          <w:sz w:val="30"/>
          <w:szCs w:val="30"/>
        </w:rPr>
        <w:t>2023年9月26日，公司披露公告称，永新华瑞文化发展有限公司已向公司支付债权人主张的金额用于清偿公司承担生效判决载明的赔偿责任，上述违规担保事项已解除。</w:t>
      </w:r>
    </w:p>
    <w:p>
      <w:pPr>
        <w:adjustRightInd w:val="0"/>
        <w:snapToGrid w:val="0"/>
        <w:spacing w:line="600" w:lineRule="exact"/>
        <w:ind w:firstLine="600"/>
        <w:rPr>
          <w:rFonts w:ascii="仿宋_GB2312" w:eastAsia="仿宋_GB2312" w:cs="宋体"/>
          <w:color w:val="000000"/>
          <w:kern w:val="0"/>
          <w:sz w:val="30"/>
          <w:szCs w:val="30"/>
          <w:lang w:val="zh-CN"/>
        </w:rPr>
      </w:pPr>
      <w:r>
        <w:rPr>
          <w:rFonts w:hint="eastAsia" w:ascii="仿宋_GB2312" w:hAnsi="宋体" w:eastAsia="仿宋_GB2312"/>
          <w:sz w:val="30"/>
          <w:szCs w:val="30"/>
        </w:rPr>
        <w:t>公司为时任董事兼总经理祝政的借款提供关联担保，但未按规定履行董事会、股东大会决策程序和信息披露义务，直至相关担保事项涉诉后才对外披露，且相关的担保可能导致公司遭受较大损失，损害投资者知情权。</w:t>
      </w:r>
      <w:r>
        <w:rPr>
          <w:rFonts w:ascii="仿宋_GB2312" w:hAnsi="宋体" w:eastAsia="仿宋_GB2312"/>
          <w:sz w:val="30"/>
          <w:szCs w:val="30"/>
        </w:rPr>
        <w:t>上述行为违反了</w:t>
      </w:r>
      <w:r>
        <w:rPr>
          <w:rFonts w:ascii="仿宋_GB2312" w:eastAsia="仿宋_GB2312" w:cs="宋体"/>
          <w:color w:val="000000"/>
          <w:kern w:val="0"/>
          <w:sz w:val="30"/>
          <w:szCs w:val="30"/>
          <w:lang w:val="zh-CN"/>
        </w:rPr>
        <w:t>《上海证券交易所股票上市规则（</w:t>
      </w:r>
      <w:r>
        <w:rPr>
          <w:rFonts w:ascii="仿宋_GB2312" w:hAnsi="宋体" w:eastAsia="仿宋_GB2312"/>
          <w:sz w:val="30"/>
          <w:szCs w:val="30"/>
        </w:rPr>
        <w:t>20</w:t>
      </w:r>
      <w:r>
        <w:rPr>
          <w:rFonts w:hint="eastAsia" w:ascii="仿宋_GB2312" w:hAnsi="宋体" w:eastAsia="仿宋_GB2312"/>
          <w:sz w:val="30"/>
          <w:szCs w:val="30"/>
        </w:rPr>
        <w:t>20年</w:t>
      </w:r>
      <w:r>
        <w:rPr>
          <w:rFonts w:ascii="仿宋_GB2312" w:hAnsi="宋体" w:eastAsia="仿宋_GB2312"/>
          <w:sz w:val="30"/>
          <w:szCs w:val="30"/>
        </w:rPr>
        <w:t>修订</w:t>
      </w:r>
      <w:r>
        <w:rPr>
          <w:rFonts w:ascii="仿宋_GB2312" w:eastAsia="仿宋_GB2312" w:cs="宋体"/>
          <w:color w:val="000000"/>
          <w:kern w:val="0"/>
          <w:sz w:val="30"/>
          <w:szCs w:val="30"/>
          <w:lang w:val="zh-CN"/>
        </w:rPr>
        <w:t>）》（以下简称《股票上市规则》）第2.1条、</w:t>
      </w:r>
      <w:r>
        <w:rPr>
          <w:rFonts w:hint="eastAsia" w:ascii="仿宋_GB2312" w:eastAsia="仿宋_GB2312" w:cs="宋体"/>
          <w:color w:val="000000"/>
          <w:kern w:val="0"/>
          <w:sz w:val="30"/>
          <w:szCs w:val="30"/>
          <w:lang w:val="zh-CN"/>
        </w:rPr>
        <w:t>第</w:t>
      </w:r>
      <w:r>
        <w:rPr>
          <w:rFonts w:hint="eastAsia" w:ascii="仿宋_GB2312" w:eastAsia="仿宋_GB2312" w:cs="宋体"/>
          <w:color w:val="000000"/>
          <w:kern w:val="0"/>
          <w:sz w:val="30"/>
          <w:szCs w:val="30"/>
        </w:rPr>
        <w:t>2.3条、第9.15条、</w:t>
      </w:r>
      <w:r>
        <w:rPr>
          <w:rFonts w:hint="eastAsia" w:ascii="仿宋_GB2312" w:eastAsia="仿宋_GB2312" w:cs="宋体"/>
          <w:color w:val="000000"/>
          <w:kern w:val="0"/>
          <w:sz w:val="30"/>
          <w:szCs w:val="30"/>
          <w:lang w:val="zh-CN"/>
        </w:rPr>
        <w:t>第</w:t>
      </w:r>
      <w:r>
        <w:rPr>
          <w:rFonts w:hint="eastAsia" w:ascii="仿宋_GB2312" w:eastAsia="仿宋_GB2312" w:cs="宋体"/>
          <w:color w:val="000000"/>
          <w:kern w:val="0"/>
          <w:sz w:val="30"/>
          <w:szCs w:val="30"/>
        </w:rPr>
        <w:t>10.2.6条</w:t>
      </w:r>
      <w:r>
        <w:rPr>
          <w:rFonts w:ascii="仿宋_GB2312" w:eastAsia="仿宋_GB2312" w:cs="宋体"/>
          <w:color w:val="000000"/>
          <w:kern w:val="0"/>
          <w:sz w:val="30"/>
          <w:szCs w:val="30"/>
          <w:lang w:val="zh-CN"/>
        </w:rPr>
        <w:t>等</w:t>
      </w:r>
      <w:r>
        <w:rPr>
          <w:rFonts w:hint="eastAsia" w:ascii="仿宋_GB2312" w:eastAsia="仿宋_GB2312" w:cs="宋体"/>
          <w:color w:val="000000"/>
          <w:kern w:val="0"/>
          <w:sz w:val="30"/>
          <w:szCs w:val="30"/>
          <w:lang w:val="zh-CN"/>
        </w:rPr>
        <w:t>有关</w:t>
      </w:r>
      <w:r>
        <w:rPr>
          <w:rFonts w:ascii="仿宋_GB2312" w:eastAsia="仿宋_GB2312" w:cs="宋体"/>
          <w:color w:val="000000"/>
          <w:kern w:val="0"/>
          <w:sz w:val="30"/>
          <w:szCs w:val="30"/>
          <w:lang w:val="zh-CN"/>
        </w:rPr>
        <w:t>规定。</w:t>
      </w:r>
    </w:p>
    <w:p>
      <w:pPr>
        <w:adjustRightInd w:val="0"/>
        <w:snapToGrid w:val="0"/>
        <w:spacing w:line="600" w:lineRule="exact"/>
        <w:ind w:firstLine="600"/>
        <w:rPr>
          <w:rFonts w:ascii="仿宋_GB2312" w:hAnsi="宋体" w:eastAsia="仿宋_GB2312"/>
          <w:sz w:val="30"/>
          <w:szCs w:val="30"/>
        </w:rPr>
      </w:pPr>
      <w:r>
        <w:rPr>
          <w:rFonts w:hint="eastAsia" w:ascii="仿宋_GB2312" w:eastAsia="仿宋_GB2312" w:cs="宋体"/>
          <w:color w:val="000000"/>
          <w:kern w:val="0"/>
          <w:sz w:val="30"/>
          <w:szCs w:val="30"/>
          <w:lang w:val="zh-CN"/>
        </w:rPr>
        <w:t>责任人方面</w:t>
      </w:r>
      <w:r>
        <w:rPr>
          <w:rFonts w:hint="eastAsia" w:ascii="仿宋_GB2312" w:eastAsia="仿宋_GB2312" w:cs="宋体"/>
          <w:color w:val="000000"/>
          <w:kern w:val="0"/>
          <w:sz w:val="30"/>
          <w:szCs w:val="30"/>
          <w:lang w:val="en-US" w:eastAsia="zh-CN"/>
        </w:rPr>
        <w:t>,</w:t>
      </w:r>
      <w:r>
        <w:rPr>
          <w:rFonts w:hint="eastAsia" w:ascii="仿宋_GB2312" w:hAnsi="宋体" w:eastAsia="仿宋_GB2312"/>
          <w:sz w:val="30"/>
          <w:szCs w:val="30"/>
        </w:rPr>
        <w:t>时任董事长赵锐勇</w:t>
      </w:r>
      <w:r>
        <w:rPr>
          <w:rFonts w:ascii="仿宋_GB2312" w:hAnsi="宋体" w:eastAsia="仿宋_GB2312"/>
          <w:sz w:val="30"/>
          <w:szCs w:val="30"/>
        </w:rPr>
        <w:t>（</w:t>
      </w:r>
      <w:r>
        <w:rPr>
          <w:rFonts w:hint="eastAsia" w:ascii="仿宋_GB2312" w:hAnsi="宋体" w:eastAsia="仿宋_GB2312"/>
          <w:sz w:val="30"/>
          <w:szCs w:val="30"/>
        </w:rPr>
        <w:t>任期2015年11月9日至2018年5月20日）</w:t>
      </w:r>
      <w:r>
        <w:rPr>
          <w:rFonts w:ascii="仿宋_GB2312" w:eastAsia="仿宋_GB2312" w:cs="宋体"/>
          <w:color w:val="000000"/>
          <w:kern w:val="0"/>
          <w:sz w:val="30"/>
          <w:szCs w:val="30"/>
          <w:lang w:val="zh-CN"/>
        </w:rPr>
        <w:t>作为公司</w:t>
      </w:r>
      <w:r>
        <w:rPr>
          <w:rFonts w:hint="eastAsia" w:ascii="仿宋_GB2312" w:eastAsia="仿宋_GB2312" w:cs="宋体"/>
          <w:color w:val="000000"/>
          <w:kern w:val="0"/>
          <w:sz w:val="30"/>
          <w:szCs w:val="30"/>
          <w:lang w:val="zh-CN"/>
        </w:rPr>
        <w:t>主要负责人、</w:t>
      </w:r>
      <w:r>
        <w:rPr>
          <w:rFonts w:hint="eastAsia" w:ascii="仿宋_GB2312" w:hAnsi="宋体" w:eastAsia="仿宋_GB2312"/>
          <w:sz w:val="30"/>
          <w:szCs w:val="30"/>
        </w:rPr>
        <w:t>信息披露第一责任人，未勤勉尽责，</w:t>
      </w:r>
      <w:r>
        <w:rPr>
          <w:rFonts w:hint="eastAsia" w:ascii="仿宋_GB2312" w:eastAsia="仿宋_GB2312" w:cs="宋体"/>
          <w:color w:val="000000"/>
          <w:kern w:val="0"/>
          <w:sz w:val="30"/>
          <w:szCs w:val="30"/>
          <w:lang w:val="zh-CN"/>
        </w:rPr>
        <w:t>未能确保公司依法合规运营</w:t>
      </w:r>
      <w:r>
        <w:rPr>
          <w:rFonts w:ascii="仿宋_GB2312" w:eastAsia="仿宋_GB2312" w:cs="宋体"/>
          <w:color w:val="000000"/>
          <w:kern w:val="0"/>
          <w:sz w:val="30"/>
          <w:szCs w:val="30"/>
          <w:lang w:val="zh-CN"/>
        </w:rPr>
        <w:t>，对公司</w:t>
      </w:r>
      <w:r>
        <w:rPr>
          <w:rFonts w:hint="eastAsia" w:ascii="仿宋_GB2312" w:eastAsia="仿宋_GB2312" w:cs="宋体"/>
          <w:color w:val="000000"/>
          <w:kern w:val="0"/>
          <w:sz w:val="30"/>
          <w:szCs w:val="30"/>
          <w:lang w:val="zh-CN"/>
        </w:rPr>
        <w:t>发生违规担保</w:t>
      </w:r>
      <w:r>
        <w:rPr>
          <w:rFonts w:ascii="仿宋_GB2312" w:eastAsia="仿宋_GB2312" w:cs="宋体"/>
          <w:color w:val="000000"/>
          <w:kern w:val="0"/>
          <w:sz w:val="30"/>
          <w:szCs w:val="30"/>
          <w:lang w:val="zh-CN"/>
        </w:rPr>
        <w:t>负有责任</w:t>
      </w:r>
      <w:r>
        <w:rPr>
          <w:rFonts w:hint="eastAsia" w:ascii="仿宋_GB2312" w:eastAsia="仿宋_GB2312" w:cs="宋体"/>
          <w:color w:val="000000"/>
          <w:kern w:val="0"/>
          <w:sz w:val="30"/>
          <w:szCs w:val="30"/>
          <w:lang w:val="zh-CN"/>
        </w:rPr>
        <w:t>。上述人员</w:t>
      </w:r>
      <w:r>
        <w:rPr>
          <w:rFonts w:ascii="仿宋_GB2312" w:eastAsia="仿宋_GB2312" w:cs="宋体"/>
          <w:color w:val="000000"/>
          <w:kern w:val="0"/>
          <w:sz w:val="30"/>
          <w:szCs w:val="30"/>
          <w:lang w:val="zh-CN"/>
        </w:rPr>
        <w:t>违反了</w:t>
      </w:r>
      <w:r>
        <w:rPr>
          <w:rFonts w:hint="eastAsia" w:ascii="仿宋_GB2312" w:hAnsi="宋体" w:eastAsia="仿宋_GB2312"/>
          <w:sz w:val="30"/>
          <w:szCs w:val="30"/>
        </w:rPr>
        <w:t>《</w:t>
      </w:r>
      <w:r>
        <w:rPr>
          <w:rFonts w:ascii="仿宋_GB2312" w:hAnsi="宋体" w:eastAsia="仿宋_GB2312"/>
          <w:sz w:val="30"/>
          <w:szCs w:val="30"/>
        </w:rPr>
        <w:t>股票上市规则》第</w:t>
      </w:r>
      <w:r>
        <w:rPr>
          <w:rFonts w:hint="eastAsia" w:ascii="仿宋_GB2312" w:hAnsi="宋体" w:eastAsia="仿宋_GB2312"/>
          <w:sz w:val="30"/>
          <w:szCs w:val="30"/>
        </w:rPr>
        <w:t>2.2</w:t>
      </w:r>
      <w:r>
        <w:rPr>
          <w:rFonts w:ascii="仿宋_GB2312" w:hAnsi="宋体" w:eastAsia="仿宋_GB2312"/>
          <w:sz w:val="30"/>
          <w:szCs w:val="30"/>
        </w:rPr>
        <w:t>条、第</w:t>
      </w:r>
      <w:r>
        <w:rPr>
          <w:rFonts w:hint="eastAsia" w:ascii="仿宋_GB2312" w:hAnsi="宋体" w:eastAsia="仿宋_GB2312"/>
          <w:sz w:val="30"/>
          <w:szCs w:val="30"/>
        </w:rPr>
        <w:t>3.1.4</w:t>
      </w:r>
      <w:r>
        <w:rPr>
          <w:rFonts w:ascii="仿宋_GB2312" w:hAnsi="宋体" w:eastAsia="仿宋_GB2312"/>
          <w:sz w:val="30"/>
          <w:szCs w:val="30"/>
        </w:rPr>
        <w:t>条</w:t>
      </w:r>
      <w:r>
        <w:rPr>
          <w:rFonts w:hint="eastAsia" w:ascii="仿宋_GB2312" w:hAnsi="宋体" w:eastAsia="仿宋_GB2312"/>
          <w:sz w:val="30"/>
          <w:szCs w:val="30"/>
        </w:rPr>
        <w:t>、第3.1.5条等</w:t>
      </w:r>
      <w:r>
        <w:rPr>
          <w:rFonts w:ascii="仿宋_GB2312" w:hAnsi="宋体" w:eastAsia="仿宋_GB2312"/>
          <w:sz w:val="30"/>
          <w:szCs w:val="30"/>
        </w:rPr>
        <w:t>有关规定</w:t>
      </w:r>
      <w:r>
        <w:rPr>
          <w:rFonts w:hint="eastAsia" w:ascii="仿宋_GB2312" w:hAnsi="宋体" w:eastAsia="仿宋_GB2312"/>
          <w:sz w:val="30"/>
          <w:szCs w:val="30"/>
        </w:rPr>
        <w:t>及</w:t>
      </w:r>
      <w:r>
        <w:rPr>
          <w:rFonts w:ascii="仿宋_GB2312" w:hAnsi="宋体" w:eastAsia="仿宋_GB2312"/>
          <w:sz w:val="30"/>
          <w:szCs w:val="30"/>
        </w:rPr>
        <w:t>其在《董事（监事、高级管理人员）</w:t>
      </w:r>
      <w:r>
        <w:rPr>
          <w:rFonts w:hint="eastAsia" w:ascii="仿宋_GB2312" w:hAnsi="宋体" w:eastAsia="仿宋_GB2312"/>
          <w:sz w:val="30"/>
          <w:szCs w:val="30"/>
        </w:rPr>
        <w:t>声明</w:t>
      </w:r>
      <w:r>
        <w:rPr>
          <w:rFonts w:ascii="仿宋_GB2312" w:hAnsi="宋体" w:eastAsia="仿宋_GB2312"/>
          <w:sz w:val="30"/>
          <w:szCs w:val="30"/>
        </w:rPr>
        <w:t>及承诺书》中作出的承诺。</w:t>
      </w:r>
    </w:p>
    <w:p>
      <w:pPr>
        <w:adjustRightInd w:val="0"/>
        <w:snapToGrid w:val="0"/>
        <w:spacing w:line="600" w:lineRule="exact"/>
        <w:ind w:firstLine="600"/>
        <w:rPr>
          <w:rFonts w:ascii="仿宋_GB2312" w:eastAsia="仿宋_GB2312" w:cs="宋体"/>
          <w:color w:val="000000"/>
          <w:kern w:val="0"/>
          <w:sz w:val="30"/>
          <w:szCs w:val="30"/>
          <w:lang w:val="zh-CN"/>
        </w:rPr>
      </w:pPr>
      <w:r>
        <w:rPr>
          <w:rFonts w:ascii="仿宋_GB2312" w:hAnsi="宋体" w:eastAsia="仿宋_GB2312"/>
          <w:sz w:val="30"/>
          <w:szCs w:val="30"/>
        </w:rPr>
        <w:t>鉴于上述违规事实和情节</w:t>
      </w:r>
      <w:r>
        <w:rPr>
          <w:rFonts w:hint="eastAsia" w:ascii="仿宋_GB2312" w:hAnsi="宋体" w:eastAsia="仿宋_GB2312"/>
          <w:sz w:val="30"/>
          <w:szCs w:val="30"/>
        </w:rPr>
        <w:t>，我部拟提请本所纪律处分委员会审核，根据</w:t>
      </w:r>
      <w:r>
        <w:rPr>
          <w:rFonts w:ascii="仿宋_GB2312" w:hAnsi="宋体" w:eastAsia="仿宋_GB2312"/>
          <w:sz w:val="30"/>
          <w:szCs w:val="30"/>
        </w:rPr>
        <w:t>《股票上市规则</w:t>
      </w:r>
      <w:r>
        <w:rPr>
          <w:rFonts w:hint="eastAsia" w:ascii="仿宋_GB2312" w:hAnsi="宋体" w:eastAsia="仿宋_GB2312"/>
          <w:sz w:val="30"/>
          <w:szCs w:val="30"/>
        </w:rPr>
        <w:t>》第16.3条</w:t>
      </w:r>
      <w:r>
        <w:rPr>
          <w:rFonts w:hint="eastAsia" w:ascii="仿宋_GB2312" w:hAnsi="宋体" w:eastAsia="仿宋_GB2312"/>
          <w:sz w:val="30"/>
          <w:szCs w:val="30"/>
          <w:lang w:eastAsia="zh-CN"/>
        </w:rPr>
        <w:t>等有关</w:t>
      </w:r>
      <w:r>
        <w:rPr>
          <w:rFonts w:ascii="仿宋_GB2312" w:hAnsi="宋体" w:eastAsia="仿宋_GB2312"/>
          <w:sz w:val="30"/>
          <w:szCs w:val="30"/>
        </w:rPr>
        <w:t>规定，对</w:t>
      </w:r>
      <w:r>
        <w:rPr>
          <w:rFonts w:hint="eastAsia" w:ascii="仿宋_GB2312" w:hAnsi="宋体" w:eastAsia="仿宋_GB2312"/>
          <w:sz w:val="30"/>
          <w:szCs w:val="30"/>
        </w:rPr>
        <w:t>杭州天目山药业股份有限公司时任董事长赵锐勇</w:t>
      </w:r>
      <w:r>
        <w:rPr>
          <w:rFonts w:hint="eastAsia" w:ascii="仿宋_GB2312" w:eastAsia="仿宋_GB2312" w:cs="宋体"/>
          <w:color w:val="000000"/>
          <w:kern w:val="0"/>
          <w:sz w:val="30"/>
          <w:szCs w:val="30"/>
          <w:lang w:val="zh-CN"/>
        </w:rPr>
        <w:t>予以</w:t>
      </w:r>
      <w:r>
        <w:rPr>
          <w:rFonts w:ascii="仿宋_GB2312" w:eastAsia="仿宋_GB2312" w:cs="宋体"/>
          <w:color w:val="000000"/>
          <w:kern w:val="0"/>
          <w:sz w:val="30"/>
          <w:szCs w:val="30"/>
          <w:lang w:val="zh-CN"/>
        </w:rPr>
        <w:t>通报批评。</w:t>
      </w:r>
    </w:p>
    <w:p>
      <w:pPr>
        <w:adjustRightInd w:val="0"/>
        <w:snapToGrid w:val="0"/>
        <w:spacing w:line="600" w:lineRule="exact"/>
        <w:ind w:firstLine="600"/>
        <w:rPr>
          <w:rFonts w:ascii="仿宋_GB2312" w:hAnsi="宋体" w:eastAsia="仿宋_GB2312"/>
          <w:sz w:val="30"/>
          <w:szCs w:val="30"/>
        </w:rPr>
      </w:pPr>
      <w:r>
        <w:rPr>
          <w:rFonts w:ascii="仿宋_GB2312" w:hAnsi="宋体" w:eastAsia="仿宋_GB2312"/>
          <w:sz w:val="30"/>
          <w:szCs w:val="30"/>
        </w:rPr>
        <w:t>上述纪律处分</w:t>
      </w:r>
      <w:r>
        <w:rPr>
          <w:rFonts w:hint="eastAsia" w:ascii="仿宋_GB2312" w:hAnsi="宋体" w:eastAsia="仿宋_GB2312"/>
          <w:sz w:val="30"/>
          <w:szCs w:val="30"/>
        </w:rPr>
        <w:t>作出后，</w:t>
      </w:r>
      <w:r>
        <w:rPr>
          <w:rFonts w:ascii="仿宋_GB2312" w:hAnsi="宋体" w:eastAsia="仿宋_GB2312"/>
          <w:sz w:val="30"/>
          <w:szCs w:val="30"/>
        </w:rPr>
        <w:t>将</w:t>
      </w:r>
      <w:r>
        <w:rPr>
          <w:rFonts w:hint="eastAsia" w:ascii="仿宋_GB2312" w:hAnsi="宋体" w:eastAsia="仿宋_GB2312"/>
          <w:sz w:val="30"/>
          <w:szCs w:val="30"/>
        </w:rPr>
        <w:t>通报中国证监会，并记入上市公司诚信档案。</w:t>
      </w:r>
    </w:p>
    <w:p>
      <w:pPr>
        <w:adjustRightInd w:val="0"/>
        <w:snapToGrid w:val="0"/>
        <w:spacing w:line="600" w:lineRule="exact"/>
        <w:jc w:val="left"/>
      </w:pPr>
    </w:p>
    <w:p>
      <w:pPr>
        <w:spacing w:line="600" w:lineRule="exact"/>
        <w:ind w:right="2" w:rightChars="1" w:firstLine="420" w:firstLineChars="200"/>
        <w:jc w:val="right"/>
        <w:rPr>
          <w:rFonts w:ascii="仿宋_GB2312" w:hAnsi="宋体" w:eastAsia="仿宋_GB2312"/>
          <w:sz w:val="30"/>
          <w:szCs w:val="30"/>
        </w:rPr>
      </w:pPr>
      <w:r>
        <w:rPr>
          <w:rFonts w:hint="eastAsia"/>
        </w:rPr>
        <w:t xml:space="preserve">                                </w:t>
      </w:r>
      <w:r>
        <w:rPr>
          <w:rFonts w:hint="eastAsia" w:ascii="仿宋_GB2312" w:hAnsi="宋体" w:eastAsia="仿宋_GB2312"/>
          <w:sz w:val="30"/>
          <w:szCs w:val="30"/>
        </w:rPr>
        <w:t>上海证券交易所上市公司</w:t>
      </w:r>
      <w:r>
        <w:rPr>
          <w:rFonts w:hint="eastAsia" w:ascii="仿宋_GB2312" w:hAnsi="宋体" w:eastAsia="仿宋_GB2312"/>
          <w:sz w:val="30"/>
          <w:szCs w:val="30"/>
          <w:lang w:eastAsia="zh-CN"/>
        </w:rPr>
        <w:t>管理二</w:t>
      </w:r>
      <w:r>
        <w:rPr>
          <w:rFonts w:hint="eastAsia" w:ascii="仿宋_GB2312" w:hAnsi="宋体" w:eastAsia="仿宋_GB2312"/>
          <w:sz w:val="30"/>
          <w:szCs w:val="30"/>
        </w:rPr>
        <w:t>部</w:t>
      </w:r>
    </w:p>
    <w:p>
      <w:pPr>
        <w:jc w:val="right"/>
      </w:pPr>
      <w:r>
        <w:rPr>
          <w:rFonts w:hint="eastAsia" w:ascii="仿宋_GB2312" w:eastAsia="仿宋_GB2312"/>
          <w:sz w:val="30"/>
          <w:szCs w:val="30"/>
          <w:lang w:eastAsia="zh-CN"/>
        </w:rPr>
        <w:t>二</w:t>
      </w:r>
      <w:r>
        <w:rPr>
          <w:rFonts w:hint="eastAsia" w:ascii="宋体" w:hAnsi="宋体" w:cs="宋体"/>
          <w:sz w:val="30"/>
          <w:szCs w:val="30"/>
          <w:lang w:eastAsia="zh-CN"/>
        </w:rPr>
        <w:t>〇</w:t>
      </w:r>
      <w:r>
        <w:rPr>
          <w:rFonts w:hint="eastAsia" w:ascii="仿宋_GB2312" w:hAnsi="仿宋_GB2312" w:eastAsia="仿宋_GB2312" w:cs="仿宋_GB2312"/>
          <w:sz w:val="30"/>
          <w:szCs w:val="30"/>
          <w:lang w:eastAsia="zh-CN"/>
        </w:rPr>
        <w:t>二三年十一月六日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BF012A"/>
    <w:rsid w:val="53BF012A"/>
    <w:rsid w:val="7297122E"/>
    <w:rsid w:val="779C77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2023-11-06T06:10:00Z</dcterms:created>
  <dc:creator>kewang</dc:creator>
  <cp:lastModifiedBy>kewang</cp:lastModifiedBy>
  <dcterms:modified xsi:type="dcterms:W3CDTF">2023-11-06T06:21:24Z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31A48CC7D57543679A6B1AC11CCAD906</vt:lpwstr>
  </property>
</Properties>
</file>