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CF" w:rsidRDefault="00ED78CF" w:rsidP="007C6ED8">
      <w:pPr>
        <w:widowControl/>
        <w:jc w:val="left"/>
        <w:rPr>
          <w:rFonts w:ascii="仿宋_GB2312" w:eastAsia="仿宋_GB2312" w:hAnsi="宋体"/>
          <w:sz w:val="30"/>
          <w:szCs w:val="30"/>
        </w:rPr>
      </w:pPr>
      <w:r>
        <w:rPr>
          <w:rFonts w:ascii="仿宋_GB2312" w:eastAsia="仿宋_GB2312" w:hAnsi="宋体" w:hint="eastAsia"/>
          <w:sz w:val="30"/>
          <w:szCs w:val="30"/>
        </w:rPr>
        <w:t>附件：</w:t>
      </w:r>
    </w:p>
    <w:p w:rsidR="00ED78CF" w:rsidRDefault="00ED78CF" w:rsidP="007C6ED8">
      <w:pPr>
        <w:widowControl/>
        <w:jc w:val="left"/>
        <w:rPr>
          <w:rFonts w:ascii="仿宋_GB2312" w:eastAsia="仿宋_GB2312" w:hAnsi="宋体"/>
          <w:sz w:val="30"/>
          <w:szCs w:val="30"/>
        </w:rPr>
      </w:pPr>
    </w:p>
    <w:p w:rsidR="00ED78CF" w:rsidRDefault="00ED78CF" w:rsidP="007C6ED8">
      <w:pPr>
        <w:pStyle w:val="a6"/>
        <w:spacing w:line="600" w:lineRule="exact"/>
        <w:ind w:left="0" w:right="0"/>
        <w:rPr>
          <w:rFonts w:ascii="黑体" w:eastAsia="黑体" w:hAnsi="黑体"/>
          <w:sz w:val="44"/>
          <w:szCs w:val="44"/>
        </w:rPr>
      </w:pPr>
      <w:r>
        <w:rPr>
          <w:rFonts w:ascii="黑体" w:eastAsia="黑体" w:hAnsi="黑体" w:hint="eastAsia"/>
          <w:sz w:val="44"/>
          <w:szCs w:val="44"/>
        </w:rPr>
        <w:t>关于对</w:t>
      </w:r>
      <w:r w:rsidRPr="005E2F89">
        <w:rPr>
          <w:rFonts w:ascii="黑体" w:eastAsia="黑体" w:hAnsi="黑体" w:hint="eastAsia"/>
          <w:sz w:val="44"/>
          <w:szCs w:val="44"/>
        </w:rPr>
        <w:t>上海凤凰企业(集团)股份有限公司</w:t>
      </w:r>
      <w:r>
        <w:rPr>
          <w:rFonts w:ascii="黑体" w:eastAsia="黑体" w:hAnsi="黑体" w:hint="eastAsia"/>
          <w:sz w:val="44"/>
          <w:szCs w:val="44"/>
        </w:rPr>
        <w:t>有关责任人予以通报批评的意向书</w:t>
      </w:r>
    </w:p>
    <w:p w:rsidR="00ED78CF" w:rsidRPr="00A413FB" w:rsidRDefault="00ED78CF" w:rsidP="007C6ED8">
      <w:pPr>
        <w:spacing w:line="360" w:lineRule="auto"/>
        <w:rPr>
          <w:rFonts w:ascii="仿宋_GB2312" w:eastAsia="仿宋_GB2312"/>
          <w:sz w:val="30"/>
          <w:szCs w:val="30"/>
        </w:rPr>
      </w:pPr>
    </w:p>
    <w:p w:rsidR="00ED78CF" w:rsidRPr="001D258B" w:rsidRDefault="00ED78CF" w:rsidP="007C6ED8">
      <w:pPr>
        <w:spacing w:line="600" w:lineRule="exact"/>
        <w:ind w:rightChars="1" w:right="2"/>
        <w:rPr>
          <w:rFonts w:ascii="仿宋_GB2312" w:eastAsia="仿宋_GB2312" w:hAnsi="宋体"/>
          <w:sz w:val="30"/>
          <w:szCs w:val="30"/>
        </w:rPr>
      </w:pPr>
      <w:r w:rsidRPr="005E2F89">
        <w:rPr>
          <w:rFonts w:ascii="仿宋_GB2312" w:eastAsia="仿宋_GB2312" w:hAnsi="宋体" w:hint="eastAsia"/>
          <w:sz w:val="30"/>
          <w:szCs w:val="30"/>
        </w:rPr>
        <w:t>上海凤凰企业(集团)股份有限公司</w:t>
      </w:r>
      <w:r w:rsidRPr="00190544">
        <w:rPr>
          <w:rFonts w:ascii="仿宋_GB2312" w:eastAsia="仿宋_GB2312" w:hAnsi="宋体" w:hint="eastAsia"/>
          <w:sz w:val="30"/>
          <w:szCs w:val="30"/>
        </w:rPr>
        <w:t>时任总经理</w:t>
      </w:r>
      <w:r w:rsidRPr="00190544">
        <w:rPr>
          <w:rFonts w:ascii="仿宋_GB2312" w:eastAsia="仿宋_GB2312" w:hAnsi="宋体"/>
          <w:sz w:val="30"/>
          <w:szCs w:val="30"/>
        </w:rPr>
        <w:t>席德华</w:t>
      </w:r>
      <w:r w:rsidRPr="001D258B">
        <w:rPr>
          <w:rFonts w:ascii="仿宋_GB2312" w:eastAsia="仿宋_GB2312" w:hAnsi="宋体" w:hint="eastAsia"/>
          <w:sz w:val="30"/>
          <w:szCs w:val="30"/>
        </w:rPr>
        <w:t>：</w:t>
      </w:r>
    </w:p>
    <w:p w:rsidR="00ED78CF" w:rsidRDefault="00ED78CF" w:rsidP="00ED78CF">
      <w:pPr>
        <w:adjustRightInd w:val="0"/>
        <w:snapToGrid w:val="0"/>
        <w:spacing w:line="600" w:lineRule="exact"/>
        <w:ind w:firstLineChars="200" w:firstLine="600"/>
        <w:rPr>
          <w:rFonts w:ascii="仿宋_GB2312" w:eastAsia="仿宋_GB2312" w:hAnsi="宋体"/>
          <w:sz w:val="30"/>
          <w:szCs w:val="30"/>
          <w:lang w:eastAsia="zh-CN"/>
        </w:rPr>
      </w:pPr>
      <w:r>
        <w:rPr>
          <w:rFonts w:ascii="仿宋_GB2312" w:eastAsia="仿宋_GB2312" w:hAnsi="宋体" w:hint="eastAsia"/>
          <w:sz w:val="30"/>
          <w:szCs w:val="30"/>
        </w:rPr>
        <w:t>根据</w:t>
      </w:r>
      <w:r w:rsidRPr="005E2F89">
        <w:rPr>
          <w:rFonts w:ascii="仿宋_GB2312" w:eastAsia="仿宋_GB2312" w:hAnsi="宋体"/>
          <w:sz w:val="30"/>
          <w:szCs w:val="30"/>
        </w:rPr>
        <w:t>中国证券监督管理委员会上海监管局《关于对上海凤凰企业（集团）股份有限公司采取出具警示函措施的决定》(沪证监决【2023】118号）、《关于对周卫中采取出具警示函措施的决定》(沪证监决【2023】116号）、《关于对席德华采取出具警示函措施的决定》(沪证监决【2023】117号）、《关于对郭建新采取出具警示函措施的决定》(沪证监决【2023】120号）、《关于对曹伟春采取出具警示函措施的决定》(沪证监决【2023】121号）</w:t>
      </w:r>
      <w:r>
        <w:rPr>
          <w:rFonts w:ascii="仿宋_GB2312" w:eastAsia="仿宋_GB2312" w:hAnsi="宋体" w:hint="eastAsia"/>
          <w:sz w:val="30"/>
          <w:szCs w:val="30"/>
        </w:rPr>
        <w:t>查明的事实</w:t>
      </w:r>
      <w:r>
        <w:rPr>
          <w:rFonts w:ascii="仿宋_GB2312" w:eastAsia="仿宋_GB2312" w:hAnsi="宋体" w:hint="eastAsia"/>
          <w:sz w:val="30"/>
          <w:szCs w:val="30"/>
          <w:lang w:eastAsia="zh-CN"/>
        </w:rPr>
        <w:t>和相关公司公告</w:t>
      </w:r>
      <w:r>
        <w:rPr>
          <w:rFonts w:ascii="仿宋_GB2312" w:eastAsia="仿宋_GB2312" w:hAnsi="宋体" w:hint="eastAsia"/>
          <w:sz w:val="30"/>
          <w:szCs w:val="30"/>
        </w:rPr>
        <w:t>，</w:t>
      </w:r>
      <w:r w:rsidRPr="005E2F89">
        <w:rPr>
          <w:rFonts w:ascii="仿宋_GB2312" w:eastAsia="仿宋_GB2312" w:hAnsi="宋体" w:hint="eastAsia"/>
          <w:sz w:val="30"/>
          <w:szCs w:val="30"/>
        </w:rPr>
        <w:t>上海凤凰企业(集团)股份有限公司</w:t>
      </w:r>
      <w:r w:rsidRPr="00A41DE8">
        <w:rPr>
          <w:rFonts w:ascii="仿宋_GB2312" w:eastAsia="仿宋_GB2312" w:hAnsi="宋体" w:hint="eastAsia"/>
          <w:sz w:val="30"/>
          <w:szCs w:val="30"/>
        </w:rPr>
        <w:t>（以下简称</w:t>
      </w:r>
      <w:r>
        <w:rPr>
          <w:rFonts w:ascii="仿宋_GB2312" w:eastAsia="仿宋_GB2312" w:hAnsi="宋体" w:hint="eastAsia"/>
          <w:sz w:val="30"/>
          <w:szCs w:val="30"/>
          <w:lang w:eastAsia="zh-CN"/>
        </w:rPr>
        <w:t>上海凤凰</w:t>
      </w:r>
      <w:r w:rsidRPr="00A41DE8">
        <w:rPr>
          <w:rFonts w:ascii="仿宋_GB2312" w:eastAsia="仿宋_GB2312" w:hAnsi="宋体" w:hint="eastAsia"/>
          <w:sz w:val="30"/>
          <w:szCs w:val="30"/>
        </w:rPr>
        <w:t>或公司）</w:t>
      </w:r>
      <w:r>
        <w:rPr>
          <w:rFonts w:ascii="仿宋_GB2312" w:eastAsia="仿宋_GB2312" w:hAnsi="宋体" w:hint="eastAsia"/>
          <w:sz w:val="30"/>
          <w:szCs w:val="30"/>
        </w:rPr>
        <w:t>在信息披露方面，有关责任人在职责履行方面存在如下违规行为。</w:t>
      </w:r>
    </w:p>
    <w:p w:rsidR="00ED78CF" w:rsidRPr="00843A29" w:rsidRDefault="00ED78CF" w:rsidP="00ED78CF">
      <w:pPr>
        <w:adjustRightInd w:val="0"/>
        <w:snapToGrid w:val="0"/>
        <w:spacing w:line="600" w:lineRule="exact"/>
        <w:ind w:firstLineChars="200" w:firstLine="602"/>
        <w:rPr>
          <w:rFonts w:ascii="黑体" w:eastAsia="黑体" w:hAnsi="黑体"/>
          <w:b/>
          <w:sz w:val="30"/>
          <w:szCs w:val="30"/>
          <w:lang w:eastAsia="zh-CN"/>
        </w:rPr>
      </w:pPr>
      <w:r w:rsidRPr="00843A29">
        <w:rPr>
          <w:rFonts w:ascii="黑体" w:eastAsia="黑体" w:hAnsi="黑体" w:hint="eastAsia"/>
          <w:b/>
          <w:sz w:val="30"/>
          <w:szCs w:val="30"/>
          <w:lang w:eastAsia="zh-CN"/>
        </w:rPr>
        <w:t>一、</w:t>
      </w:r>
      <w:r w:rsidRPr="00843A29">
        <w:rPr>
          <w:rFonts w:ascii="黑体" w:eastAsia="黑体" w:hAnsi="黑体"/>
          <w:b/>
          <w:sz w:val="30"/>
          <w:szCs w:val="30"/>
          <w:lang w:eastAsia="zh-CN"/>
        </w:rPr>
        <w:t>合并报表日基准选定错误</w:t>
      </w:r>
    </w:p>
    <w:p w:rsidR="00ED78CF" w:rsidRDefault="00ED78CF" w:rsidP="00ED78CF">
      <w:pPr>
        <w:adjustRightInd w:val="0"/>
        <w:snapToGrid w:val="0"/>
        <w:spacing w:line="600" w:lineRule="exact"/>
        <w:ind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根据行政监管措施的认定，</w:t>
      </w:r>
      <w:r w:rsidRPr="006F2697">
        <w:rPr>
          <w:rFonts w:ascii="仿宋_GB2312" w:eastAsia="仿宋_GB2312" w:hAnsi="宋体"/>
          <w:sz w:val="30"/>
          <w:szCs w:val="30"/>
        </w:rPr>
        <w:t>2015</w:t>
      </w:r>
      <w:r>
        <w:rPr>
          <w:rFonts w:ascii="仿宋_GB2312" w:eastAsia="仿宋_GB2312" w:hAnsi="宋体"/>
          <w:sz w:val="30"/>
          <w:szCs w:val="30"/>
        </w:rPr>
        <w:t>年，</w:t>
      </w:r>
      <w:r w:rsidRPr="006F2697">
        <w:rPr>
          <w:rFonts w:ascii="仿宋_GB2312" w:eastAsia="仿宋_GB2312" w:hAnsi="宋体"/>
          <w:sz w:val="30"/>
          <w:szCs w:val="30"/>
        </w:rPr>
        <w:t>公司通过发行股份的方式收购江苏美乐投资有限公司持有的江苏华久辐条制造有限公司（以下简称华久辐条)，于12月9日取得华久辐条控制权，并由此形成商誉38,483.62万元。公司在2015年年度报告编制时直接引用华久辐条2015年12月31日资产负债表，未将华久辐条自发生控制权转移至2015年12月31日的经营状况纳入公司2015</w:t>
      </w:r>
      <w:r>
        <w:rPr>
          <w:rFonts w:ascii="仿宋_GB2312" w:eastAsia="仿宋_GB2312" w:hAnsi="宋体"/>
          <w:sz w:val="30"/>
          <w:szCs w:val="30"/>
        </w:rPr>
        <w:t>年度合并利润表</w:t>
      </w:r>
      <w:r>
        <w:rPr>
          <w:rFonts w:ascii="仿宋_GB2312" w:eastAsia="仿宋_GB2312" w:hAnsi="宋体"/>
          <w:sz w:val="30"/>
          <w:szCs w:val="30"/>
        </w:rPr>
        <w:lastRenderedPageBreak/>
        <w:t>核算，导致</w:t>
      </w:r>
      <w:r w:rsidRPr="006F2697">
        <w:rPr>
          <w:rFonts w:ascii="仿宋_GB2312" w:eastAsia="仿宋_GB2312" w:hAnsi="宋体"/>
          <w:sz w:val="30"/>
          <w:szCs w:val="30"/>
        </w:rPr>
        <w:t>公司披露的2015年年度报告中利润总额少计127 万元，商誉少计106.50 万元。</w:t>
      </w:r>
    </w:p>
    <w:p w:rsidR="00ED78CF" w:rsidRPr="00843A29" w:rsidRDefault="00ED78CF" w:rsidP="00ED78CF">
      <w:pPr>
        <w:adjustRightInd w:val="0"/>
        <w:snapToGrid w:val="0"/>
        <w:spacing w:line="600" w:lineRule="exact"/>
        <w:ind w:firstLineChars="200" w:firstLine="602"/>
        <w:rPr>
          <w:rFonts w:ascii="黑体" w:eastAsia="黑体" w:hAnsi="黑体"/>
          <w:b/>
          <w:sz w:val="30"/>
          <w:szCs w:val="30"/>
          <w:lang w:eastAsia="zh-CN"/>
        </w:rPr>
      </w:pPr>
      <w:r w:rsidRPr="00843A29">
        <w:rPr>
          <w:rFonts w:ascii="黑体" w:eastAsia="黑体" w:hAnsi="黑体" w:hint="eastAsia"/>
          <w:b/>
          <w:sz w:val="30"/>
          <w:szCs w:val="30"/>
          <w:lang w:eastAsia="zh-CN"/>
        </w:rPr>
        <w:t>二、</w:t>
      </w:r>
      <w:r w:rsidRPr="00843A29">
        <w:rPr>
          <w:rFonts w:ascii="黑体" w:eastAsia="黑体" w:hAnsi="黑体"/>
          <w:b/>
          <w:sz w:val="30"/>
          <w:szCs w:val="30"/>
          <w:lang w:eastAsia="zh-CN"/>
        </w:rPr>
        <w:t>商誉减值测试过程存在会计差错</w:t>
      </w:r>
    </w:p>
    <w:p w:rsidR="00ED78CF" w:rsidRPr="00DA4287" w:rsidRDefault="00ED78CF" w:rsidP="00ED78CF">
      <w:pPr>
        <w:adjustRightInd w:val="0"/>
        <w:snapToGrid w:val="0"/>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2023年6月13日，公司披露《</w:t>
      </w:r>
      <w:r w:rsidRPr="00DA4287">
        <w:rPr>
          <w:rFonts w:ascii="仿宋_GB2312" w:eastAsia="仿宋_GB2312" w:hAnsi="宋体" w:hint="eastAsia"/>
          <w:sz w:val="30"/>
          <w:szCs w:val="30"/>
        </w:rPr>
        <w:t>关于前期会计差错更正及追溯调整的公告</w:t>
      </w:r>
      <w:r>
        <w:rPr>
          <w:rFonts w:ascii="仿宋_GB2312" w:eastAsia="仿宋_GB2312" w:hAnsi="宋体" w:hint="eastAsia"/>
          <w:sz w:val="30"/>
          <w:szCs w:val="30"/>
        </w:rPr>
        <w:t>》称，因公</w:t>
      </w:r>
      <w:r w:rsidRPr="00DA4287">
        <w:rPr>
          <w:rFonts w:ascii="仿宋_GB2312" w:eastAsia="仿宋_GB2312" w:hAnsi="宋体"/>
          <w:sz w:val="30"/>
          <w:szCs w:val="30"/>
        </w:rPr>
        <w:t>司在2018年、2022年对华久辐条商誉进行减值测试过程中存在会计差错，公司采用追溯重述法对公司2018年度、2019年度、2020年度、2021年度、2022年度及2023年第一季度相关合并财务报表数据进行追溯调整</w:t>
      </w:r>
      <w:r w:rsidRPr="00DA4287">
        <w:rPr>
          <w:rFonts w:ascii="仿宋_GB2312" w:eastAsia="仿宋_GB2312" w:hAnsi="宋体" w:hint="eastAsia"/>
          <w:sz w:val="30"/>
          <w:szCs w:val="30"/>
        </w:rPr>
        <w:t>。其中，</w:t>
      </w:r>
      <w:r w:rsidRPr="00DA4287">
        <w:rPr>
          <w:rFonts w:ascii="仿宋_GB2312" w:eastAsia="仿宋_GB2312" w:hAnsi="宋体"/>
          <w:sz w:val="30"/>
          <w:szCs w:val="30"/>
        </w:rPr>
        <w:t>2018年度减少净利润791.29万元，占更正后净利润的比例为64.50%；减少净资产791.29万元，占更正后净资产的比例为0.59%。2019年度减少净资产791.29万元，占更正后净资产的比例为0.58%。2020年度减少净资产791.29万元，占更正后净资产的比例为0.42%</w:t>
      </w:r>
      <w:r w:rsidRPr="00DA4287">
        <w:rPr>
          <w:rFonts w:ascii="仿宋_GB2312" w:eastAsia="仿宋_GB2312" w:hAnsi="宋体" w:hint="eastAsia"/>
          <w:sz w:val="30"/>
          <w:szCs w:val="30"/>
        </w:rPr>
        <w:t>。</w:t>
      </w:r>
      <w:r w:rsidRPr="00DA4287">
        <w:rPr>
          <w:rFonts w:ascii="仿宋_GB2312" w:eastAsia="仿宋_GB2312" w:hAnsi="宋体"/>
          <w:sz w:val="30"/>
          <w:szCs w:val="30"/>
        </w:rPr>
        <w:t>2021年度减少净资产791.29万元，占更正后净资产的比例为0.32%</w:t>
      </w:r>
      <w:r w:rsidRPr="00DA4287">
        <w:rPr>
          <w:rFonts w:ascii="仿宋_GB2312" w:eastAsia="仿宋_GB2312" w:hAnsi="宋体" w:hint="eastAsia"/>
          <w:sz w:val="30"/>
          <w:szCs w:val="30"/>
        </w:rPr>
        <w:t>。</w:t>
      </w:r>
      <w:r w:rsidRPr="00DA4287">
        <w:rPr>
          <w:rFonts w:ascii="仿宋_GB2312" w:eastAsia="仿宋_GB2312" w:hAnsi="宋体"/>
          <w:sz w:val="30"/>
          <w:szCs w:val="30"/>
        </w:rPr>
        <w:t>2022年度增加净利润409.78万元，占更正后净利润的比例为1.33%；减少净资产381.51万元，占更正后净资产的比例为0.18%。</w:t>
      </w:r>
    </w:p>
    <w:p w:rsidR="00ED78CF" w:rsidRDefault="00ED78CF" w:rsidP="00ED78CF">
      <w:pPr>
        <w:adjustRightInd w:val="0"/>
        <w:snapToGrid w:val="0"/>
        <w:spacing w:line="600" w:lineRule="exact"/>
        <w:ind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根据行政监管措施的认定，</w:t>
      </w:r>
      <w:r w:rsidRPr="006F2697">
        <w:rPr>
          <w:rFonts w:ascii="仿宋_GB2312" w:eastAsia="仿宋_GB2312" w:hAnsi="宋体"/>
          <w:sz w:val="30"/>
          <w:szCs w:val="30"/>
        </w:rPr>
        <w:t>公司在对收购华久辐条形成的商誉进行减值测试时存在会计差错。在2018年进行商誉减值测试时，资产组确认过程中未包含对合并对价的后续计量，在采用未来收益法评估华久辐条商誉所在资产组可收回金额时，华久辐条未来销售费用预测中未剔除不包含在资产组业务的有关费用，结合2015年商誉原值少确认，截止2018年12月31日，华久辐条商誉减值准备应补计提897.79万元，导致公司2018年合并财务报表利润总额多计897.79万元，导致公司2019年、2020年及2021年合并财务报表所</w:t>
      </w:r>
      <w:r w:rsidRPr="006F2697">
        <w:rPr>
          <w:rFonts w:ascii="仿宋_GB2312" w:eastAsia="仿宋_GB2312" w:hAnsi="宋体"/>
          <w:sz w:val="30"/>
          <w:szCs w:val="30"/>
        </w:rPr>
        <w:lastRenderedPageBreak/>
        <w:t>有者权益均多计897.79万元。在</w:t>
      </w:r>
      <w:r>
        <w:rPr>
          <w:rFonts w:ascii="仿宋_GB2312" w:eastAsia="仿宋_GB2312" w:hAnsi="宋体"/>
          <w:sz w:val="30"/>
          <w:szCs w:val="30"/>
        </w:rPr>
        <w:t>2022</w:t>
      </w:r>
      <w:r w:rsidRPr="006F2697">
        <w:rPr>
          <w:rFonts w:ascii="仿宋_GB2312" w:eastAsia="仿宋_GB2312" w:hAnsi="宋体"/>
          <w:sz w:val="30"/>
          <w:szCs w:val="30"/>
        </w:rPr>
        <w:t>年进行减值测试时，资产组确认过程中未包含对合并对价的后续计量，在采用公允价值减处置费用评估华久辐条商誉所在资产组的可收回金额时，对无形资产的评估折现系数计算存在错误，在建工程评估存在错误，结合以前年度影响，截止2022年12月31日，华久辐条商誉减值应冲回409.78</w:t>
      </w:r>
      <w:r>
        <w:rPr>
          <w:rFonts w:ascii="仿宋_GB2312" w:eastAsia="仿宋_GB2312" w:hAnsi="宋体"/>
          <w:sz w:val="30"/>
          <w:szCs w:val="30"/>
        </w:rPr>
        <w:t>万元，</w:t>
      </w:r>
      <w:r w:rsidRPr="006F2697">
        <w:rPr>
          <w:rFonts w:ascii="仿宋_GB2312" w:eastAsia="仿宋_GB2312" w:hAnsi="宋体"/>
          <w:sz w:val="30"/>
          <w:szCs w:val="30"/>
        </w:rPr>
        <w:t>公司2022年合并财务报表利润总额少计409.78万元。</w:t>
      </w:r>
    </w:p>
    <w:p w:rsidR="00ED78CF" w:rsidRPr="00843A29" w:rsidRDefault="00ED78CF" w:rsidP="00ED78CF">
      <w:pPr>
        <w:adjustRightInd w:val="0"/>
        <w:snapToGrid w:val="0"/>
        <w:spacing w:line="600" w:lineRule="exact"/>
        <w:ind w:firstLineChars="200" w:firstLine="602"/>
        <w:rPr>
          <w:rFonts w:ascii="黑体" w:eastAsia="黑体" w:hAnsi="黑体"/>
          <w:b/>
          <w:sz w:val="30"/>
          <w:szCs w:val="30"/>
          <w:lang w:eastAsia="zh-CN"/>
        </w:rPr>
      </w:pPr>
      <w:r w:rsidRPr="00843A29">
        <w:rPr>
          <w:rFonts w:ascii="黑体" w:eastAsia="黑体" w:hAnsi="黑体" w:hint="eastAsia"/>
          <w:b/>
          <w:sz w:val="30"/>
          <w:szCs w:val="30"/>
          <w:lang w:eastAsia="zh-CN"/>
        </w:rPr>
        <w:t>三、</w:t>
      </w:r>
      <w:r w:rsidRPr="00843A29">
        <w:rPr>
          <w:rFonts w:ascii="黑体" w:eastAsia="黑体" w:hAnsi="黑体"/>
          <w:b/>
          <w:sz w:val="30"/>
          <w:szCs w:val="30"/>
        </w:rPr>
        <w:t>临时报告、定期报告中委托货款展期情</w:t>
      </w:r>
      <w:r w:rsidRPr="00843A29">
        <w:rPr>
          <w:rFonts w:ascii="黑体" w:eastAsia="黑体" w:hAnsi="黑体" w:hint="eastAsia"/>
          <w:b/>
          <w:sz w:val="30"/>
          <w:szCs w:val="30"/>
          <w:lang w:eastAsia="zh-CN"/>
        </w:rPr>
        <w:t>况</w:t>
      </w:r>
      <w:r w:rsidRPr="00843A29">
        <w:rPr>
          <w:rFonts w:ascii="黑体" w:eastAsia="黑体" w:hAnsi="黑体"/>
          <w:b/>
          <w:sz w:val="30"/>
          <w:szCs w:val="30"/>
        </w:rPr>
        <w:t>披露</w:t>
      </w:r>
      <w:r>
        <w:rPr>
          <w:rFonts w:ascii="黑体" w:eastAsia="黑体" w:hAnsi="黑体" w:hint="eastAsia"/>
          <w:b/>
          <w:sz w:val="30"/>
          <w:szCs w:val="30"/>
          <w:lang w:eastAsia="zh-CN"/>
        </w:rPr>
        <w:t>不准确</w:t>
      </w:r>
    </w:p>
    <w:p w:rsidR="00ED78CF" w:rsidRPr="006F2697" w:rsidRDefault="00ED78CF" w:rsidP="00ED78CF">
      <w:pPr>
        <w:adjustRightInd w:val="0"/>
        <w:snapToGrid w:val="0"/>
        <w:spacing w:line="600" w:lineRule="exact"/>
        <w:ind w:firstLineChars="200" w:firstLine="600"/>
        <w:rPr>
          <w:rFonts w:ascii="仿宋_GB2312" w:eastAsia="仿宋_GB2312" w:hAnsi="宋体"/>
          <w:sz w:val="30"/>
          <w:szCs w:val="30"/>
          <w:lang w:eastAsia="zh-CN"/>
        </w:rPr>
      </w:pPr>
      <w:r>
        <w:rPr>
          <w:rFonts w:ascii="仿宋_GB2312" w:eastAsia="仿宋_GB2312" w:hAnsi="宋体" w:hint="eastAsia"/>
          <w:sz w:val="30"/>
          <w:szCs w:val="30"/>
          <w:lang w:eastAsia="zh-CN"/>
        </w:rPr>
        <w:t>根据行政监管措施的认定，</w:t>
      </w:r>
      <w:r w:rsidRPr="006F2697">
        <w:rPr>
          <w:rFonts w:ascii="仿宋_GB2312" w:eastAsia="仿宋_GB2312" w:hAnsi="宋体"/>
          <w:sz w:val="30"/>
          <w:szCs w:val="30"/>
        </w:rPr>
        <w:t>2022年8</w:t>
      </w:r>
      <w:r>
        <w:rPr>
          <w:rFonts w:ascii="仿宋_GB2312" w:eastAsia="仿宋_GB2312" w:hAnsi="宋体"/>
          <w:sz w:val="30"/>
          <w:szCs w:val="30"/>
        </w:rPr>
        <w:t>月，</w:t>
      </w:r>
      <w:r w:rsidRPr="006F2697">
        <w:rPr>
          <w:rFonts w:ascii="仿宋_GB2312" w:eastAsia="仿宋_GB2312" w:hAnsi="宋体"/>
          <w:sz w:val="30"/>
          <w:szCs w:val="30"/>
        </w:rPr>
        <w:t>公司在临时公告《上海凤凰企业（集团）股份有限公司关于全资子公司华久辐条对外财务资助展期的公告》中披露</w:t>
      </w:r>
      <w:r w:rsidRPr="006F2697">
        <w:rPr>
          <w:rFonts w:ascii="仿宋_GB2312" w:eastAsia="仿宋_GB2312" w:hAnsi="宋体"/>
          <w:sz w:val="30"/>
          <w:szCs w:val="30"/>
        </w:rPr>
        <w:t>“</w:t>
      </w:r>
      <w:r w:rsidRPr="006F2697">
        <w:rPr>
          <w:rFonts w:ascii="仿宋_GB2312" w:eastAsia="仿宋_GB2312" w:hAnsi="宋体"/>
          <w:sz w:val="30"/>
          <w:szCs w:val="30"/>
        </w:rPr>
        <w:t>公司拟对本委托贷款子以展期。展期的委托货款总金额为2,800.00万元</w:t>
      </w:r>
      <w:r w:rsidRPr="006F2697">
        <w:rPr>
          <w:rFonts w:ascii="仿宋_GB2312" w:eastAsia="仿宋_GB2312" w:hAnsi="宋体"/>
          <w:sz w:val="30"/>
          <w:szCs w:val="30"/>
        </w:rPr>
        <w:t>”</w:t>
      </w:r>
      <w:r>
        <w:rPr>
          <w:rFonts w:ascii="仿宋_GB2312" w:eastAsia="仿宋_GB2312" w:hAnsi="宋体"/>
          <w:sz w:val="30"/>
          <w:szCs w:val="30"/>
        </w:rPr>
        <w:t>，</w:t>
      </w:r>
      <w:r w:rsidRPr="006F2697">
        <w:rPr>
          <w:rFonts w:ascii="仿宋_GB2312" w:eastAsia="仿宋_GB2312" w:hAnsi="宋体"/>
          <w:sz w:val="30"/>
          <w:szCs w:val="30"/>
        </w:rPr>
        <w:t>公司在</w:t>
      </w:r>
      <w:r>
        <w:rPr>
          <w:rFonts w:ascii="仿宋_GB2312" w:eastAsia="仿宋_GB2312" w:hAnsi="宋体"/>
          <w:sz w:val="30"/>
          <w:szCs w:val="30"/>
        </w:rPr>
        <w:t>202</w:t>
      </w:r>
      <w:r>
        <w:rPr>
          <w:rFonts w:ascii="仿宋_GB2312" w:eastAsia="仿宋_GB2312" w:hAnsi="宋体" w:hint="eastAsia"/>
          <w:sz w:val="30"/>
          <w:szCs w:val="30"/>
          <w:lang w:eastAsia="zh-CN"/>
        </w:rPr>
        <w:t>2</w:t>
      </w:r>
      <w:r w:rsidRPr="006F2697">
        <w:rPr>
          <w:rFonts w:ascii="仿宋_GB2312" w:eastAsia="仿宋_GB2312" w:hAnsi="宋体"/>
          <w:sz w:val="30"/>
          <w:szCs w:val="30"/>
        </w:rPr>
        <w:t>年定期报告中披露</w:t>
      </w:r>
      <w:r w:rsidRPr="006F2697">
        <w:rPr>
          <w:rFonts w:ascii="仿宋_GB2312" w:eastAsia="仿宋_GB2312" w:hAnsi="宋体"/>
          <w:sz w:val="30"/>
          <w:szCs w:val="30"/>
        </w:rPr>
        <w:t>“</w:t>
      </w:r>
      <w:r w:rsidRPr="006F2697">
        <w:rPr>
          <w:rFonts w:ascii="仿宋_GB2312" w:eastAsia="仿宋_GB2312" w:hAnsi="宋体"/>
          <w:sz w:val="30"/>
          <w:szCs w:val="30"/>
        </w:rPr>
        <w:t>2022年8月，公司对上述委托货款予以展期，展期总金额为2,800.00万元</w:t>
      </w:r>
      <w:r w:rsidRPr="006F2697">
        <w:rPr>
          <w:rFonts w:ascii="仿宋_GB2312" w:eastAsia="仿宋_GB2312" w:hAnsi="宋体"/>
          <w:sz w:val="30"/>
          <w:szCs w:val="30"/>
        </w:rPr>
        <w:t>”</w:t>
      </w:r>
      <w:r w:rsidRPr="006F2697">
        <w:rPr>
          <w:rFonts w:ascii="仿宋_GB2312" w:eastAsia="仿宋_GB2312" w:hAnsi="宋体"/>
          <w:sz w:val="30"/>
          <w:szCs w:val="30"/>
        </w:rPr>
        <w:t>。经查，2021年8月、11月华久辐条分别向镇江裕久智能装备股份有限公司（以下简称裕久智能）发放了两笔委托贷款，货款金额分别为2000万元和800万元，货款期限均为12个月。2022年8月，华久辐条与裕久智能办理了2000万元委托贷款展期手续。2022年11月，800</w:t>
      </w:r>
      <w:r>
        <w:rPr>
          <w:rFonts w:ascii="仿宋_GB2312" w:eastAsia="仿宋_GB2312" w:hAnsi="宋体"/>
          <w:sz w:val="30"/>
          <w:szCs w:val="30"/>
        </w:rPr>
        <w:t>万元委托贷款到期但未能办理展期手续，出现逾期。</w:t>
      </w:r>
      <w:r w:rsidRPr="006F2697">
        <w:rPr>
          <w:rFonts w:ascii="仿宋_GB2312" w:eastAsia="仿宋_GB2312" w:hAnsi="宋体"/>
          <w:sz w:val="30"/>
          <w:szCs w:val="30"/>
        </w:rPr>
        <w:t>公司未及时披露上述情况，迟至2023年6月14日披露上述800</w:t>
      </w:r>
      <w:r>
        <w:rPr>
          <w:rFonts w:ascii="仿宋_GB2312" w:eastAsia="仿宋_GB2312" w:hAnsi="宋体"/>
          <w:sz w:val="30"/>
          <w:szCs w:val="30"/>
        </w:rPr>
        <w:t>万元货款未能办理展期手续，已出现逾期的进展。</w:t>
      </w:r>
      <w:r w:rsidRPr="006F2697">
        <w:rPr>
          <w:rFonts w:ascii="仿宋_GB2312" w:eastAsia="仿宋_GB2312" w:hAnsi="宋体"/>
          <w:sz w:val="30"/>
          <w:szCs w:val="30"/>
        </w:rPr>
        <w:t>公司在2022年年度报告中将已逾期800万元委托货款披露为已展期，存在</w:t>
      </w:r>
      <w:r>
        <w:rPr>
          <w:rFonts w:ascii="仿宋_GB2312" w:eastAsia="仿宋_GB2312" w:hAnsi="宋体" w:hint="eastAsia"/>
          <w:sz w:val="30"/>
          <w:szCs w:val="30"/>
          <w:lang w:eastAsia="zh-CN"/>
        </w:rPr>
        <w:t>不准确</w:t>
      </w:r>
      <w:r w:rsidRPr="006F2697">
        <w:rPr>
          <w:rFonts w:ascii="仿宋_GB2312" w:eastAsia="仿宋_GB2312" w:hAnsi="宋体"/>
          <w:sz w:val="30"/>
          <w:szCs w:val="30"/>
        </w:rPr>
        <w:t>。</w:t>
      </w:r>
    </w:p>
    <w:p w:rsidR="00ED78CF" w:rsidRDefault="00ED78CF" w:rsidP="00ED78CF">
      <w:pPr>
        <w:widowControl/>
        <w:shd w:val="clear" w:color="auto" w:fill="FFFFFF"/>
        <w:suppressAutoHyphens w:val="0"/>
        <w:spacing w:line="600" w:lineRule="exact"/>
        <w:ind w:firstLineChars="200" w:firstLine="600"/>
        <w:rPr>
          <w:rFonts w:ascii="仿宋_GB2312" w:eastAsia="仿宋_GB2312"/>
          <w:sz w:val="30"/>
          <w:szCs w:val="30"/>
          <w:lang w:eastAsia="zh-CN"/>
        </w:rPr>
      </w:pPr>
      <w:r w:rsidRPr="00F60377">
        <w:rPr>
          <w:rFonts w:ascii="仿宋_GB2312" w:eastAsia="仿宋_GB2312" w:hint="eastAsia"/>
          <w:sz w:val="30"/>
          <w:szCs w:val="30"/>
          <w:lang w:eastAsia="zh-CN"/>
        </w:rPr>
        <w:t>综上，定期报告是投资者关注的事项，可能对公司股票价格及投资者决策产生影响，公司理应根据会计准</w:t>
      </w:r>
      <w:r w:rsidRPr="00264723">
        <w:rPr>
          <w:rFonts w:ascii="仿宋_GB2312" w:eastAsia="仿宋_GB2312" w:hint="eastAsia"/>
          <w:sz w:val="30"/>
          <w:szCs w:val="30"/>
          <w:lang w:eastAsia="zh-CN"/>
        </w:rPr>
        <w:t>则对当期财务数据进行</w:t>
      </w:r>
      <w:r w:rsidRPr="00264723">
        <w:rPr>
          <w:rFonts w:ascii="仿宋_GB2312" w:eastAsia="仿宋_GB2312" w:hint="eastAsia"/>
          <w:sz w:val="30"/>
          <w:szCs w:val="30"/>
          <w:lang w:eastAsia="zh-CN"/>
        </w:rPr>
        <w:lastRenderedPageBreak/>
        <w:t>客观、谨慎地核算并披露。但公司</w:t>
      </w:r>
      <w:r>
        <w:rPr>
          <w:rFonts w:ascii="仿宋_GB2312" w:eastAsia="仿宋_GB2312" w:hint="eastAsia"/>
          <w:sz w:val="30"/>
          <w:szCs w:val="30"/>
          <w:lang w:eastAsia="zh-CN"/>
        </w:rPr>
        <w:t>多项财务处理不规范</w:t>
      </w:r>
      <w:r w:rsidRPr="00264723">
        <w:rPr>
          <w:rFonts w:ascii="仿宋_GB2312" w:eastAsia="仿宋_GB2312" w:hint="eastAsia"/>
          <w:sz w:val="30"/>
          <w:szCs w:val="30"/>
          <w:lang w:eastAsia="zh-CN"/>
        </w:rPr>
        <w:t>，导致公司</w:t>
      </w:r>
      <w:r>
        <w:rPr>
          <w:rFonts w:ascii="仿宋_GB2312" w:eastAsia="仿宋_GB2312" w:hint="eastAsia"/>
          <w:sz w:val="30"/>
          <w:szCs w:val="30"/>
          <w:lang w:eastAsia="zh-CN"/>
        </w:rPr>
        <w:t>连续多年</w:t>
      </w:r>
      <w:r w:rsidRPr="00264723">
        <w:rPr>
          <w:rFonts w:ascii="仿宋_GB2312" w:eastAsia="仿宋_GB2312" w:hint="eastAsia"/>
          <w:sz w:val="30"/>
          <w:szCs w:val="30"/>
          <w:lang w:eastAsia="zh-CN"/>
        </w:rPr>
        <w:t>定期报告财务数据披露不准确。上述行为违反了《公开发行证券的公司信息披露</w:t>
      </w:r>
      <w:r w:rsidRPr="006547AD">
        <w:rPr>
          <w:rFonts w:ascii="仿宋_GB2312" w:eastAsia="仿宋_GB2312" w:hint="eastAsia"/>
          <w:sz w:val="30"/>
          <w:szCs w:val="30"/>
          <w:lang w:eastAsia="zh-CN"/>
        </w:rPr>
        <w:t>编报规则第15号——财务报告的一般规定》《上海证券交易所股票上市规则（2020年修订）》</w:t>
      </w:r>
      <w:r w:rsidRPr="00A44B86">
        <w:rPr>
          <w:rFonts w:ascii="仿宋_GB2312" w:eastAsia="仿宋_GB2312" w:hint="eastAsia"/>
          <w:sz w:val="30"/>
          <w:szCs w:val="30"/>
          <w:lang w:eastAsia="zh-CN"/>
        </w:rPr>
        <w:t>（以下简称《股票上市规则（202</w:t>
      </w:r>
      <w:r>
        <w:rPr>
          <w:rFonts w:ascii="仿宋_GB2312" w:eastAsia="仿宋_GB2312" w:hint="eastAsia"/>
          <w:sz w:val="30"/>
          <w:szCs w:val="30"/>
          <w:lang w:eastAsia="zh-CN"/>
        </w:rPr>
        <w:t>0</w:t>
      </w:r>
      <w:r w:rsidRPr="00A44B86">
        <w:rPr>
          <w:rFonts w:ascii="仿宋_GB2312" w:eastAsia="仿宋_GB2312" w:hint="eastAsia"/>
          <w:sz w:val="30"/>
          <w:szCs w:val="30"/>
          <w:lang w:eastAsia="zh-CN"/>
        </w:rPr>
        <w:t>年修订）》）</w:t>
      </w:r>
      <w:r w:rsidRPr="006547AD">
        <w:rPr>
          <w:rFonts w:ascii="仿宋_GB2312" w:eastAsia="仿宋_GB2312" w:hint="eastAsia"/>
          <w:sz w:val="30"/>
          <w:szCs w:val="30"/>
          <w:lang w:eastAsia="zh-CN"/>
        </w:rPr>
        <w:t>第1.4条、第2.1条、第2.5条和《上海证券交易所股票上市规则（2022年修订）》（以下简称《股票上市规则</w:t>
      </w:r>
      <w:r w:rsidRPr="00A44B86">
        <w:rPr>
          <w:rFonts w:ascii="仿宋_GB2312" w:eastAsia="仿宋_GB2312" w:hint="eastAsia"/>
          <w:sz w:val="30"/>
          <w:szCs w:val="30"/>
          <w:lang w:eastAsia="zh-CN"/>
        </w:rPr>
        <w:t>（2022年修订）</w:t>
      </w:r>
      <w:r w:rsidRPr="006547AD">
        <w:rPr>
          <w:rFonts w:ascii="仿宋_GB2312" w:eastAsia="仿宋_GB2312" w:hint="eastAsia"/>
          <w:sz w:val="30"/>
          <w:szCs w:val="30"/>
          <w:lang w:eastAsia="zh-CN"/>
        </w:rPr>
        <w:t>》）第2.1.1条、第2.1.4条等有关规定。</w:t>
      </w:r>
    </w:p>
    <w:p w:rsidR="00ED78CF" w:rsidRPr="00B531A4" w:rsidRDefault="00ED78CF" w:rsidP="00ED78CF">
      <w:pPr>
        <w:widowControl/>
        <w:shd w:val="clear" w:color="auto" w:fill="FFFFFF"/>
        <w:suppressAutoHyphens w:val="0"/>
        <w:spacing w:line="600" w:lineRule="exact"/>
        <w:ind w:firstLineChars="200" w:firstLine="600"/>
        <w:rPr>
          <w:rFonts w:ascii="仿宋_GB2312" w:eastAsia="仿宋_GB2312"/>
          <w:sz w:val="30"/>
          <w:szCs w:val="30"/>
          <w:lang w:eastAsia="zh-CN"/>
        </w:rPr>
      </w:pPr>
      <w:r>
        <w:rPr>
          <w:rFonts w:ascii="仿宋_GB2312" w:eastAsia="仿宋_GB2312" w:hint="eastAsia"/>
          <w:sz w:val="30"/>
          <w:szCs w:val="30"/>
          <w:lang w:eastAsia="zh-CN"/>
        </w:rPr>
        <w:t>责任人方面，根据行政监管措施认定，</w:t>
      </w:r>
      <w:r w:rsidRPr="00B531A4">
        <w:rPr>
          <w:rFonts w:ascii="仿宋_GB2312" w:eastAsia="仿宋_GB2312" w:hint="eastAsia"/>
          <w:sz w:val="30"/>
          <w:szCs w:val="30"/>
          <w:lang w:eastAsia="zh-CN"/>
        </w:rPr>
        <w:t>时任总经理</w:t>
      </w:r>
      <w:r w:rsidRPr="00B531A4">
        <w:rPr>
          <w:rFonts w:ascii="仿宋_GB2312" w:eastAsia="仿宋_GB2312"/>
          <w:sz w:val="30"/>
          <w:szCs w:val="30"/>
          <w:lang w:eastAsia="zh-CN"/>
        </w:rPr>
        <w:t>席德华</w:t>
      </w:r>
      <w:r>
        <w:rPr>
          <w:rFonts w:ascii="仿宋_GB2312" w:eastAsia="仿宋_GB2312" w:hint="eastAsia"/>
          <w:sz w:val="30"/>
          <w:szCs w:val="30"/>
          <w:lang w:eastAsia="zh-CN"/>
        </w:rPr>
        <w:t>（任期</w:t>
      </w:r>
      <w:r w:rsidRPr="00B531A4">
        <w:rPr>
          <w:rFonts w:ascii="仿宋_GB2312" w:eastAsia="仿宋_GB2312" w:hint="eastAsia"/>
          <w:sz w:val="30"/>
          <w:szCs w:val="30"/>
          <w:lang w:eastAsia="zh-CN"/>
        </w:rPr>
        <w:t>2016年2月</w:t>
      </w:r>
      <w:r>
        <w:rPr>
          <w:rFonts w:ascii="仿宋_GB2312" w:eastAsia="仿宋_GB2312" w:hint="eastAsia"/>
          <w:sz w:val="30"/>
          <w:szCs w:val="30"/>
          <w:lang w:eastAsia="zh-CN"/>
        </w:rPr>
        <w:t>2日</w:t>
      </w:r>
      <w:r w:rsidRPr="00B531A4">
        <w:rPr>
          <w:rFonts w:ascii="仿宋_GB2312" w:eastAsia="仿宋_GB2312" w:hint="eastAsia"/>
          <w:sz w:val="30"/>
          <w:szCs w:val="30"/>
          <w:lang w:eastAsia="zh-CN"/>
        </w:rPr>
        <w:t>至2017年3月</w:t>
      </w:r>
      <w:r>
        <w:rPr>
          <w:rFonts w:ascii="仿宋_GB2312" w:eastAsia="仿宋_GB2312" w:hint="eastAsia"/>
          <w:sz w:val="30"/>
          <w:szCs w:val="30"/>
          <w:lang w:eastAsia="zh-CN"/>
        </w:rPr>
        <w:t>31日）作为公司日常经营管理的具体负责人，</w:t>
      </w:r>
      <w:r w:rsidRPr="00B531A4">
        <w:rPr>
          <w:rFonts w:ascii="仿宋_GB2312" w:eastAsia="仿宋_GB2312"/>
          <w:sz w:val="30"/>
          <w:szCs w:val="30"/>
          <w:lang w:eastAsia="zh-CN"/>
        </w:rPr>
        <w:t>未能忠实、勤勉地履行职责，对上述第一项问题负有责任</w:t>
      </w:r>
      <w:r>
        <w:rPr>
          <w:rFonts w:ascii="仿宋_GB2312" w:eastAsia="仿宋_GB2312" w:hint="eastAsia"/>
          <w:sz w:val="30"/>
          <w:szCs w:val="30"/>
          <w:lang w:eastAsia="zh-CN"/>
        </w:rPr>
        <w:t>。</w:t>
      </w:r>
      <w:r w:rsidRPr="0065738A">
        <w:rPr>
          <w:rFonts w:ascii="仿宋_GB2312" w:eastAsia="仿宋_GB2312" w:hint="eastAsia"/>
          <w:sz w:val="30"/>
          <w:szCs w:val="30"/>
          <w:lang w:eastAsia="zh-CN"/>
        </w:rPr>
        <w:t>违反了</w:t>
      </w:r>
      <w:r w:rsidRPr="00A44B86">
        <w:rPr>
          <w:rFonts w:ascii="仿宋_GB2312" w:eastAsia="仿宋_GB2312" w:hint="eastAsia"/>
          <w:sz w:val="30"/>
          <w:szCs w:val="30"/>
          <w:lang w:eastAsia="zh-CN"/>
        </w:rPr>
        <w:t>《股票上市规则（2020年修订）》</w:t>
      </w:r>
      <w:r w:rsidRPr="0065738A">
        <w:rPr>
          <w:rFonts w:ascii="仿宋_GB2312" w:eastAsia="仿宋_GB2312" w:hint="eastAsia"/>
          <w:sz w:val="30"/>
          <w:szCs w:val="30"/>
          <w:lang w:eastAsia="zh-CN"/>
        </w:rPr>
        <w:t>第2.2条、第3.1.4条、</w:t>
      </w:r>
      <w:r w:rsidRPr="0065738A">
        <w:rPr>
          <w:rFonts w:ascii="仿宋_GB2312" w:eastAsia="仿宋_GB2312" w:hint="eastAsia"/>
          <w:sz w:val="30"/>
          <w:szCs w:val="30"/>
        </w:rPr>
        <w:t>第3.1.5条等有</w:t>
      </w:r>
      <w:r w:rsidRPr="00C11A29">
        <w:rPr>
          <w:rFonts w:ascii="仿宋_GB2312" w:eastAsia="仿宋_GB2312" w:hint="eastAsia"/>
          <w:sz w:val="30"/>
          <w:szCs w:val="30"/>
        </w:rPr>
        <w:t>关规定及其在《董事（监事、高级管理人员）声明及承诺书》中作出的承诺。</w:t>
      </w:r>
    </w:p>
    <w:p w:rsidR="00ED78CF" w:rsidRDefault="00ED78CF" w:rsidP="00ED78CF">
      <w:pPr>
        <w:spacing w:line="600" w:lineRule="exact"/>
        <w:ind w:firstLineChars="200" w:firstLine="600"/>
        <w:rPr>
          <w:rFonts w:hAnsi="宋体"/>
          <w:sz w:val="30"/>
          <w:szCs w:val="30"/>
        </w:rPr>
      </w:pPr>
      <w:r>
        <w:rPr>
          <w:rFonts w:ascii="仿宋_GB2312" w:eastAsia="仿宋_GB2312" w:hAnsi="宋体" w:hint="eastAsia"/>
          <w:sz w:val="30"/>
          <w:szCs w:val="30"/>
        </w:rPr>
        <w:t>鉴于上述违规事实和情节，我部拟提请本所纪律处分委员会审核，根据</w:t>
      </w:r>
      <w:r w:rsidRPr="00DA07BD">
        <w:rPr>
          <w:rFonts w:ascii="仿宋_GB2312" w:eastAsia="仿宋_GB2312" w:hAnsi="宋体" w:hint="eastAsia"/>
          <w:sz w:val="30"/>
          <w:szCs w:val="30"/>
        </w:rPr>
        <w:t>《股票上市规则（2020年修订）》</w:t>
      </w:r>
      <w:r>
        <w:rPr>
          <w:rFonts w:ascii="仿宋_GB2312" w:eastAsia="仿宋_GB2312" w:hAnsi="宋体" w:hint="eastAsia"/>
          <w:sz w:val="30"/>
          <w:szCs w:val="30"/>
          <w:lang w:eastAsia="zh-CN"/>
        </w:rPr>
        <w:t>第16.3条</w:t>
      </w:r>
      <w:r>
        <w:rPr>
          <w:rFonts w:ascii="仿宋_GB2312" w:eastAsia="仿宋_GB2312" w:hAnsi="宋体" w:hint="eastAsia"/>
          <w:sz w:val="30"/>
          <w:szCs w:val="30"/>
        </w:rPr>
        <w:t>和《上海证券交易所纪律处分和监管措施实施办法》的有关规定，</w:t>
      </w:r>
      <w:r>
        <w:rPr>
          <w:rFonts w:ascii="仿宋_GB2312" w:eastAsia="仿宋_GB2312" w:hAnsi="宋体" w:cs="仿宋_GB2312" w:hint="eastAsia"/>
          <w:color w:val="000000"/>
          <w:kern w:val="0"/>
          <w:sz w:val="30"/>
          <w:szCs w:val="30"/>
        </w:rPr>
        <w:t>对</w:t>
      </w:r>
      <w:r w:rsidRPr="005E2F89">
        <w:rPr>
          <w:rFonts w:ascii="仿宋_GB2312" w:eastAsia="仿宋_GB2312" w:hAnsi="宋体" w:cs="仿宋_GB2312" w:hint="eastAsia"/>
          <w:color w:val="000000"/>
          <w:kern w:val="0"/>
          <w:sz w:val="30"/>
          <w:szCs w:val="30"/>
        </w:rPr>
        <w:t>上海凤凰企业(集团)股份有限公司</w:t>
      </w:r>
      <w:r w:rsidRPr="00190544">
        <w:rPr>
          <w:rFonts w:ascii="仿宋_GB2312" w:eastAsia="仿宋_GB2312" w:hAnsi="宋体" w:cs="仿宋_GB2312" w:hint="eastAsia"/>
          <w:color w:val="000000"/>
          <w:kern w:val="0"/>
          <w:sz w:val="30"/>
          <w:szCs w:val="30"/>
        </w:rPr>
        <w:t>时任总经理</w:t>
      </w:r>
      <w:r w:rsidRPr="00190544">
        <w:rPr>
          <w:rFonts w:ascii="仿宋_GB2312" w:eastAsia="仿宋_GB2312" w:hAnsi="宋体" w:cs="仿宋_GB2312"/>
          <w:color w:val="000000"/>
          <w:kern w:val="0"/>
          <w:sz w:val="30"/>
          <w:szCs w:val="30"/>
        </w:rPr>
        <w:t>席德华</w:t>
      </w:r>
      <w:r>
        <w:rPr>
          <w:rFonts w:ascii="仿宋_GB2312" w:eastAsia="仿宋_GB2312" w:hAnsi="宋体" w:cs="仿宋_GB2312" w:hint="eastAsia"/>
          <w:color w:val="000000"/>
          <w:kern w:val="0"/>
          <w:sz w:val="30"/>
          <w:szCs w:val="30"/>
        </w:rPr>
        <w:t>予以通报批评。</w:t>
      </w:r>
    </w:p>
    <w:p w:rsidR="00ED78CF" w:rsidRDefault="00ED78CF" w:rsidP="00ED78CF">
      <w:pPr>
        <w:pStyle w:val="Default"/>
        <w:spacing w:line="600" w:lineRule="exact"/>
        <w:ind w:firstLineChars="200" w:firstLine="600"/>
        <w:rPr>
          <w:rFonts w:hAnsi="宋体"/>
          <w:sz w:val="30"/>
          <w:szCs w:val="30"/>
        </w:rPr>
      </w:pPr>
      <w:r>
        <w:rPr>
          <w:rFonts w:hAnsi="宋体" w:hint="eastAsia"/>
          <w:sz w:val="30"/>
          <w:szCs w:val="30"/>
        </w:rPr>
        <w:t>上述纪律处分作出后，本所将通报中国证监会，并记入上市公司诚信档案。</w:t>
      </w:r>
    </w:p>
    <w:p w:rsidR="00ED78CF" w:rsidRPr="00E80928" w:rsidRDefault="00ED78CF" w:rsidP="00ED78CF">
      <w:pPr>
        <w:pStyle w:val="Default"/>
        <w:spacing w:line="360" w:lineRule="auto"/>
        <w:ind w:firstLineChars="200" w:firstLine="600"/>
        <w:rPr>
          <w:rFonts w:hAnsi="宋体"/>
          <w:sz w:val="30"/>
          <w:szCs w:val="30"/>
        </w:rPr>
      </w:pPr>
    </w:p>
    <w:p w:rsidR="00ED78CF" w:rsidRDefault="00ED78CF" w:rsidP="00ED78CF">
      <w:pPr>
        <w:pStyle w:val="Default"/>
        <w:spacing w:line="360" w:lineRule="auto"/>
        <w:ind w:firstLineChars="200" w:firstLine="600"/>
        <w:rPr>
          <w:rFonts w:hAnsi="宋体"/>
          <w:sz w:val="30"/>
          <w:szCs w:val="30"/>
        </w:rPr>
      </w:pPr>
    </w:p>
    <w:p w:rsidR="00ED78CF" w:rsidRPr="00802084" w:rsidRDefault="00ED78CF" w:rsidP="00ED78CF">
      <w:pPr>
        <w:spacing w:line="600" w:lineRule="exact"/>
        <w:ind w:rightChars="1" w:right="2" w:firstLineChars="200" w:firstLine="600"/>
        <w:jc w:val="right"/>
        <w:rPr>
          <w:rFonts w:ascii="仿宋_GB2312" w:eastAsia="仿宋_GB2312" w:hAnsi="宋体"/>
          <w:sz w:val="30"/>
          <w:szCs w:val="30"/>
        </w:rPr>
      </w:pPr>
      <w:r w:rsidRPr="00802084">
        <w:rPr>
          <w:rFonts w:ascii="仿宋_GB2312" w:eastAsia="仿宋_GB2312" w:hAnsi="宋体" w:hint="eastAsia"/>
          <w:sz w:val="30"/>
          <w:szCs w:val="30"/>
        </w:rPr>
        <w:t>上海证券交易所</w:t>
      </w:r>
      <w:r>
        <w:rPr>
          <w:rFonts w:ascii="仿宋_GB2312" w:eastAsia="仿宋_GB2312" w:hAnsi="宋体" w:hint="eastAsia"/>
          <w:sz w:val="30"/>
          <w:szCs w:val="30"/>
        </w:rPr>
        <w:t>上市公司</w:t>
      </w:r>
      <w:r>
        <w:rPr>
          <w:rFonts w:ascii="仿宋_GB2312" w:eastAsia="仿宋_GB2312" w:hAnsi="宋体" w:hint="eastAsia"/>
          <w:sz w:val="30"/>
          <w:szCs w:val="30"/>
          <w:lang w:eastAsia="zh-CN"/>
        </w:rPr>
        <w:t>管理二</w:t>
      </w:r>
      <w:r>
        <w:rPr>
          <w:rFonts w:ascii="仿宋_GB2312" w:eastAsia="仿宋_GB2312" w:hAnsi="宋体" w:hint="eastAsia"/>
          <w:sz w:val="30"/>
          <w:szCs w:val="30"/>
        </w:rPr>
        <w:t>部</w:t>
      </w:r>
    </w:p>
    <w:p w:rsidR="000D32F7" w:rsidRPr="00E80928" w:rsidRDefault="00ED78CF" w:rsidP="00E80928">
      <w:pPr>
        <w:ind w:left="4620" w:firstLine="420"/>
        <w:rPr>
          <w:rFonts w:ascii="仿宋_GB2312" w:eastAsia="仿宋_GB2312"/>
          <w:sz w:val="30"/>
          <w:szCs w:val="30"/>
          <w:lang w:eastAsia="zh-CN"/>
        </w:rPr>
      </w:pPr>
      <w:bookmarkStart w:id="0" w:name="大写年份"/>
      <w:r>
        <w:rPr>
          <w:rFonts w:ascii="仿宋_GB2312" w:eastAsia="仿宋_GB2312" w:hint="eastAsia"/>
          <w:sz w:val="30"/>
          <w:szCs w:val="30"/>
          <w:lang w:eastAsia="zh-CN"/>
        </w:rPr>
        <w:t>二</w:t>
      </w:r>
      <w:r>
        <w:rPr>
          <w:rFonts w:ascii="宋体" w:hAnsi="宋体" w:cs="宋体" w:hint="eastAsia"/>
          <w:sz w:val="30"/>
          <w:szCs w:val="30"/>
          <w:lang w:eastAsia="zh-CN"/>
        </w:rPr>
        <w:t>〇</w:t>
      </w:r>
      <w:r>
        <w:rPr>
          <w:rFonts w:ascii="仿宋_GB2312" w:eastAsia="仿宋_GB2312" w:hAnsi="仿宋_GB2312" w:cs="仿宋_GB2312" w:hint="eastAsia"/>
          <w:sz w:val="30"/>
          <w:szCs w:val="30"/>
          <w:lang w:eastAsia="zh-CN"/>
        </w:rPr>
        <w:t>二三年</w:t>
      </w:r>
      <w:r w:rsidR="00E80928">
        <w:rPr>
          <w:rFonts w:ascii="仿宋_GB2312" w:eastAsia="仿宋_GB2312" w:hAnsi="仿宋_GB2312" w:cs="仿宋_GB2312" w:hint="eastAsia"/>
          <w:sz w:val="30"/>
          <w:szCs w:val="30"/>
          <w:lang w:eastAsia="zh-CN"/>
        </w:rPr>
        <w:t>八</w:t>
      </w:r>
      <w:r>
        <w:rPr>
          <w:rFonts w:ascii="仿宋_GB2312" w:eastAsia="仿宋_GB2312" w:hAnsi="仿宋_GB2312" w:cs="仿宋_GB2312" w:hint="eastAsia"/>
          <w:sz w:val="30"/>
          <w:szCs w:val="30"/>
          <w:lang w:eastAsia="zh-CN"/>
        </w:rPr>
        <w:t>月</w:t>
      </w:r>
      <w:r w:rsidR="00E80928">
        <w:rPr>
          <w:rFonts w:ascii="仿宋_GB2312" w:eastAsia="仿宋_GB2312" w:hAnsi="仿宋_GB2312" w:cs="仿宋_GB2312" w:hint="eastAsia"/>
          <w:sz w:val="30"/>
          <w:szCs w:val="30"/>
          <w:lang w:eastAsia="zh-CN"/>
        </w:rPr>
        <w:t>三</w:t>
      </w:r>
      <w:r>
        <w:rPr>
          <w:rFonts w:ascii="仿宋_GB2312" w:eastAsia="仿宋_GB2312" w:hAnsi="仿宋_GB2312" w:cs="仿宋_GB2312" w:hint="eastAsia"/>
          <w:sz w:val="30"/>
          <w:szCs w:val="30"/>
          <w:lang w:eastAsia="zh-CN"/>
        </w:rPr>
        <w:t>日</w:t>
      </w:r>
      <w:bookmarkStart w:id="1" w:name="_GoBack"/>
      <w:bookmarkEnd w:id="0"/>
      <w:bookmarkEnd w:id="1"/>
    </w:p>
    <w:sectPr w:rsidR="000D32F7" w:rsidRPr="00E80928" w:rsidSect="00853659">
      <w:footerReference w:type="default" r:id="rId6"/>
      <w:pgSz w:w="11906" w:h="16838"/>
      <w:pgMar w:top="1440" w:right="1548" w:bottom="1440" w:left="1548" w:header="720" w:footer="992"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C39" w:rsidRDefault="002A0C39" w:rsidP="00083548">
      <w:r>
        <w:separator/>
      </w:r>
    </w:p>
  </w:endnote>
  <w:endnote w:type="continuationSeparator" w:id="1">
    <w:p w:rsidR="002A0C39" w:rsidRDefault="002A0C39" w:rsidP="00083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9A2" w:rsidRDefault="00A00262">
    <w:pPr>
      <w:pStyle w:val="a4"/>
      <w:ind w:right="360"/>
    </w:pPr>
    <w:r>
      <w:pict>
        <v:shapetype id="_x0000_t202" coordsize="21600,21600" o:spt="202" path="m,l,21600r21600,l21600,xe">
          <v:stroke joinstyle="miter"/>
          <v:path gradientshapeok="t" o:connecttype="rect"/>
        </v:shapetype>
        <v:shape id="_x0000_s2049" type="#_x0000_t202" style="position:absolute;margin-left:513.35pt;margin-top:.05pt;width:4.5pt;height:9.9pt;z-index:251660288;mso-wrap-distance-left:0;mso-wrap-distance-right:0;mso-position-horizontal-relative:page" stroked="f">
          <v:fill opacity="0" color2="black"/>
          <v:textbox inset="0,0,0,0">
            <w:txbxContent>
              <w:p w:rsidR="00E909A2" w:rsidRDefault="00A00262">
                <w:pPr>
                  <w:pStyle w:val="a4"/>
                </w:pPr>
                <w:r>
                  <w:rPr>
                    <w:rStyle w:val="a5"/>
                  </w:rPr>
                  <w:fldChar w:fldCharType="begin"/>
                </w:r>
                <w:r w:rsidR="005B7728">
                  <w:rPr>
                    <w:rStyle w:val="a5"/>
                  </w:rPr>
                  <w:instrText xml:space="preserve"> PAGE </w:instrText>
                </w:r>
                <w:r>
                  <w:rPr>
                    <w:rStyle w:val="a5"/>
                  </w:rPr>
                  <w:fldChar w:fldCharType="separate"/>
                </w:r>
                <w:r w:rsidR="00E80928">
                  <w:rPr>
                    <w:rStyle w:val="a5"/>
                    <w:noProof/>
                  </w:rPr>
                  <w:t>1</w:t>
                </w:r>
                <w:r>
                  <w:rPr>
                    <w:rStyle w:val="a5"/>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C39" w:rsidRDefault="002A0C39" w:rsidP="00083548">
      <w:r>
        <w:separator/>
      </w:r>
    </w:p>
  </w:footnote>
  <w:footnote w:type="continuationSeparator" w:id="1">
    <w:p w:rsidR="002A0C39" w:rsidRDefault="002A0C39" w:rsidP="000835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3548"/>
    <w:rsid w:val="0002686E"/>
    <w:rsid w:val="000324DB"/>
    <w:rsid w:val="00083548"/>
    <w:rsid w:val="000972CD"/>
    <w:rsid w:val="000D32F7"/>
    <w:rsid w:val="000D7466"/>
    <w:rsid w:val="0016116B"/>
    <w:rsid w:val="00220B03"/>
    <w:rsid w:val="002A0C39"/>
    <w:rsid w:val="00312F15"/>
    <w:rsid w:val="00321955"/>
    <w:rsid w:val="003C26E9"/>
    <w:rsid w:val="00404D19"/>
    <w:rsid w:val="004F37F2"/>
    <w:rsid w:val="005104D4"/>
    <w:rsid w:val="0059188C"/>
    <w:rsid w:val="005B5A4E"/>
    <w:rsid w:val="005B7728"/>
    <w:rsid w:val="00810739"/>
    <w:rsid w:val="00853659"/>
    <w:rsid w:val="00A00262"/>
    <w:rsid w:val="00B37CAB"/>
    <w:rsid w:val="00C83365"/>
    <w:rsid w:val="00D867DC"/>
    <w:rsid w:val="00E80928"/>
    <w:rsid w:val="00EA4160"/>
    <w:rsid w:val="00ED78CF"/>
    <w:rsid w:val="00F673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548"/>
    <w:pPr>
      <w:widowControl w:val="0"/>
      <w:suppressAutoHyphens/>
      <w:jc w:val="both"/>
    </w:pPr>
    <w:rPr>
      <w:rFonts w:ascii="Times New Roman" w:eastAsia="宋体"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3548"/>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kern w:val="2"/>
      <w:sz w:val="18"/>
      <w:szCs w:val="18"/>
      <w:lang w:eastAsia="zh-CN"/>
    </w:rPr>
  </w:style>
  <w:style w:type="character" w:customStyle="1" w:styleId="Char">
    <w:name w:val="页眉 Char"/>
    <w:basedOn w:val="a0"/>
    <w:link w:val="a3"/>
    <w:uiPriority w:val="99"/>
    <w:semiHidden/>
    <w:rsid w:val="00083548"/>
    <w:rPr>
      <w:sz w:val="18"/>
      <w:szCs w:val="18"/>
    </w:rPr>
  </w:style>
  <w:style w:type="paragraph" w:styleId="a4">
    <w:name w:val="footer"/>
    <w:basedOn w:val="a"/>
    <w:link w:val="Char0"/>
    <w:unhideWhenUsed/>
    <w:rsid w:val="00083548"/>
    <w:pPr>
      <w:tabs>
        <w:tab w:val="center" w:pos="4153"/>
        <w:tab w:val="right" w:pos="8306"/>
      </w:tabs>
      <w:suppressAutoHyphens w:val="0"/>
      <w:snapToGrid w:val="0"/>
      <w:jc w:val="left"/>
    </w:pPr>
    <w:rPr>
      <w:rFonts w:asciiTheme="minorHAnsi" w:eastAsiaTheme="minorEastAsia" w:hAnsiTheme="minorHAnsi" w:cstheme="minorBidi"/>
      <w:kern w:val="2"/>
      <w:sz w:val="18"/>
      <w:szCs w:val="18"/>
      <w:lang w:eastAsia="zh-CN"/>
    </w:rPr>
  </w:style>
  <w:style w:type="character" w:customStyle="1" w:styleId="Char0">
    <w:name w:val="页脚 Char"/>
    <w:basedOn w:val="a0"/>
    <w:link w:val="a4"/>
    <w:uiPriority w:val="99"/>
    <w:semiHidden/>
    <w:rsid w:val="00083548"/>
    <w:rPr>
      <w:sz w:val="18"/>
      <w:szCs w:val="18"/>
    </w:rPr>
  </w:style>
  <w:style w:type="character" w:styleId="a5">
    <w:name w:val="page number"/>
    <w:basedOn w:val="a0"/>
    <w:rsid w:val="00083548"/>
  </w:style>
  <w:style w:type="paragraph" w:styleId="a6">
    <w:name w:val="Block Text"/>
    <w:basedOn w:val="a"/>
    <w:qFormat/>
    <w:rsid w:val="00083548"/>
    <w:pPr>
      <w:spacing w:line="360" w:lineRule="auto"/>
      <w:ind w:left="840" w:right="840"/>
      <w:jc w:val="center"/>
    </w:pPr>
    <w:rPr>
      <w:sz w:val="36"/>
    </w:rPr>
  </w:style>
  <w:style w:type="paragraph" w:customStyle="1" w:styleId="Default">
    <w:name w:val="Default"/>
    <w:qFormat/>
    <w:rsid w:val="00ED78CF"/>
    <w:pPr>
      <w:widowControl w:val="0"/>
      <w:autoSpaceDE w:val="0"/>
      <w:autoSpaceDN w:val="0"/>
      <w:adjustRightInd w:val="0"/>
    </w:pPr>
    <w:rPr>
      <w:rFonts w:ascii="仿宋_GB2312" w:eastAsia="仿宋_GB2312" w:hAnsi="Calibri" w:cs="仿宋_GB2312"/>
      <w:color w:val="000000"/>
      <w:kern w:val="0"/>
      <w:sz w:val="24"/>
      <w:szCs w:val="24"/>
    </w:rPr>
  </w:style>
  <w:style w:type="paragraph" w:styleId="a7">
    <w:name w:val="Balloon Text"/>
    <w:basedOn w:val="a"/>
    <w:link w:val="Char1"/>
    <w:uiPriority w:val="99"/>
    <w:semiHidden/>
    <w:unhideWhenUsed/>
    <w:rsid w:val="00ED78CF"/>
    <w:rPr>
      <w:sz w:val="18"/>
      <w:szCs w:val="18"/>
    </w:rPr>
  </w:style>
  <w:style w:type="character" w:customStyle="1" w:styleId="Char1">
    <w:name w:val="批注框文本 Char"/>
    <w:basedOn w:val="a0"/>
    <w:link w:val="a7"/>
    <w:uiPriority w:val="99"/>
    <w:semiHidden/>
    <w:rsid w:val="00ED78CF"/>
    <w:rPr>
      <w:rFonts w:ascii="Times New Roman" w:eastAsia="宋体" w:hAnsi="Times New Roman" w:cs="Times New Roman"/>
      <w:kern w:val="1"/>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376</Words>
  <Characters>2145</Characters>
  <Application>Microsoft Office Word</Application>
  <DocSecurity>0</DocSecurity>
  <Lines>17</Lines>
  <Paragraphs>5</Paragraphs>
  <ScaleCrop>false</ScaleCrop>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2023-08-03T06:26:00Z</dcterms:created>
  <dcterms:modified xsi:type="dcterms:W3CDTF">2023-08-03T06:26:00Z</dcterms:modified>
</cp:coreProperties>
</file>