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0D" w:rsidRPr="000E4033" w:rsidRDefault="0059680D" w:rsidP="0059680D">
      <w:pPr>
        <w:widowControl/>
        <w:jc w:val="left"/>
        <w:rPr>
          <w:rFonts w:ascii="仿宋_GB2312" w:eastAsia="仿宋_GB2312" w:hAnsi="宋体"/>
          <w:b/>
          <w:sz w:val="30"/>
          <w:szCs w:val="30"/>
        </w:rPr>
      </w:pPr>
      <w:r w:rsidRPr="000E4033">
        <w:rPr>
          <w:rFonts w:ascii="仿宋_GB2312" w:eastAsia="仿宋_GB2312" w:hAnsi="宋体" w:hint="eastAsia"/>
          <w:b/>
          <w:sz w:val="30"/>
          <w:szCs w:val="30"/>
        </w:rPr>
        <w:t>附件</w:t>
      </w:r>
      <w:r w:rsidRPr="000E4033">
        <w:rPr>
          <w:rFonts w:ascii="仿宋_GB2312" w:eastAsia="仿宋_GB2312" w:hAnsi="宋体"/>
          <w:b/>
          <w:sz w:val="30"/>
          <w:szCs w:val="30"/>
        </w:rPr>
        <w:t>2</w:t>
      </w:r>
    </w:p>
    <w:p w:rsidR="0059680D" w:rsidRPr="000E4033" w:rsidRDefault="0059680D" w:rsidP="0059680D">
      <w:pPr>
        <w:widowControl/>
        <w:jc w:val="left"/>
        <w:rPr>
          <w:rFonts w:ascii="仿宋_GB2312" w:eastAsia="仿宋_GB2312" w:hAnsi="宋体"/>
          <w:sz w:val="30"/>
          <w:szCs w:val="30"/>
        </w:rPr>
      </w:pPr>
    </w:p>
    <w:p w:rsidR="0059680D" w:rsidRDefault="0059680D" w:rsidP="0059680D">
      <w:pPr>
        <w:spacing w:line="560" w:lineRule="exact"/>
        <w:jc w:val="center"/>
        <w:rPr>
          <w:rFonts w:ascii="方正大标宋简体" w:eastAsia="方正大标宋简体"/>
          <w:sz w:val="42"/>
          <w:szCs w:val="42"/>
        </w:rPr>
      </w:pPr>
      <w:r w:rsidRPr="000E4033">
        <w:rPr>
          <w:rFonts w:ascii="方正大标宋简体" w:eastAsia="方正大标宋简体" w:hint="eastAsia"/>
          <w:sz w:val="42"/>
          <w:szCs w:val="42"/>
        </w:rPr>
        <w:t>上海证券交易所港股通交易风险揭示书</w:t>
      </w:r>
    </w:p>
    <w:p w:rsidR="0059680D" w:rsidRPr="000E4033" w:rsidRDefault="0059680D" w:rsidP="0059680D">
      <w:pPr>
        <w:spacing w:line="560" w:lineRule="exact"/>
        <w:jc w:val="center"/>
        <w:rPr>
          <w:rFonts w:ascii="方正大标宋简体" w:eastAsia="方正大标宋简体"/>
          <w:sz w:val="42"/>
          <w:szCs w:val="42"/>
        </w:rPr>
      </w:pPr>
      <w:r w:rsidRPr="000E4033">
        <w:rPr>
          <w:rFonts w:ascii="方正大标宋简体" w:eastAsia="方正大标宋简体" w:hint="eastAsia"/>
          <w:sz w:val="42"/>
          <w:szCs w:val="42"/>
        </w:rPr>
        <w:t>必备条款</w:t>
      </w:r>
    </w:p>
    <w:p w:rsidR="0059680D" w:rsidRPr="000E4033" w:rsidRDefault="0059680D" w:rsidP="0059680D">
      <w:pPr>
        <w:autoSpaceDE w:val="0"/>
        <w:autoSpaceDN w:val="0"/>
        <w:adjustRightInd w:val="0"/>
        <w:spacing w:line="520" w:lineRule="exact"/>
        <w:ind w:rightChars="12" w:right="25"/>
        <w:jc w:val="center"/>
        <w:rPr>
          <w:rFonts w:ascii="仿宋_GB2312" w:eastAsia="仿宋_GB2312" w:cs="黑体"/>
          <w:kern w:val="0"/>
          <w:sz w:val="30"/>
          <w:szCs w:val="30"/>
        </w:rPr>
      </w:pPr>
      <w:r w:rsidRPr="000E4033">
        <w:rPr>
          <w:rFonts w:ascii="仿宋_GB2312" w:eastAsia="仿宋_GB2312" w:cs="黑体" w:hint="eastAsia"/>
          <w:kern w:val="0"/>
          <w:sz w:val="30"/>
          <w:szCs w:val="30"/>
        </w:rPr>
        <w:t>（</w:t>
      </w:r>
      <w:r w:rsidRPr="000E4033">
        <w:rPr>
          <w:rFonts w:ascii="仿宋_GB2312" w:eastAsia="仿宋_GB2312" w:cs="黑体"/>
          <w:kern w:val="0"/>
          <w:sz w:val="30"/>
          <w:szCs w:val="30"/>
        </w:rPr>
        <w:t>2014</w:t>
      </w:r>
      <w:r w:rsidRPr="000E4033">
        <w:rPr>
          <w:rFonts w:ascii="仿宋_GB2312" w:eastAsia="仿宋_GB2312" w:cs="黑体" w:hint="eastAsia"/>
          <w:kern w:val="0"/>
          <w:sz w:val="30"/>
          <w:szCs w:val="30"/>
        </w:rPr>
        <w:t>年</w:t>
      </w:r>
      <w:r w:rsidRPr="000E4033">
        <w:rPr>
          <w:rFonts w:ascii="仿宋_GB2312" w:eastAsia="仿宋_GB2312" w:cs="黑体"/>
          <w:kern w:val="0"/>
          <w:sz w:val="30"/>
          <w:szCs w:val="30"/>
        </w:rPr>
        <w:t>9</w:t>
      </w:r>
      <w:r w:rsidRPr="000E4033">
        <w:rPr>
          <w:rFonts w:ascii="仿宋_GB2312" w:eastAsia="仿宋_GB2312" w:cs="黑体" w:hint="eastAsia"/>
          <w:kern w:val="0"/>
          <w:sz w:val="30"/>
          <w:szCs w:val="30"/>
        </w:rPr>
        <w:t>月</w:t>
      </w:r>
      <w:r w:rsidRPr="000E4033">
        <w:rPr>
          <w:rFonts w:ascii="仿宋_GB2312" w:eastAsia="仿宋_GB2312" w:cs="黑体"/>
          <w:kern w:val="0"/>
          <w:sz w:val="30"/>
          <w:szCs w:val="30"/>
        </w:rPr>
        <w:t>26</w:t>
      </w:r>
      <w:r w:rsidRPr="000E4033">
        <w:rPr>
          <w:rFonts w:ascii="仿宋_GB2312" w:eastAsia="仿宋_GB2312" w:cs="黑体" w:hint="eastAsia"/>
          <w:kern w:val="0"/>
          <w:sz w:val="30"/>
          <w:szCs w:val="30"/>
        </w:rPr>
        <w:t xml:space="preserve">日实施　</w:t>
      </w:r>
      <w:r w:rsidRPr="000E4033">
        <w:rPr>
          <w:rFonts w:ascii="仿宋_GB2312" w:eastAsia="仿宋_GB2312" w:cs="黑体"/>
          <w:kern w:val="0"/>
          <w:sz w:val="30"/>
          <w:szCs w:val="30"/>
        </w:rPr>
        <w:t>2016</w:t>
      </w:r>
      <w:r w:rsidRPr="000E4033">
        <w:rPr>
          <w:rFonts w:ascii="仿宋_GB2312" w:eastAsia="仿宋_GB2312" w:cs="黑体" w:hint="eastAsia"/>
          <w:kern w:val="0"/>
          <w:sz w:val="30"/>
          <w:szCs w:val="30"/>
        </w:rPr>
        <w:t>年</w:t>
      </w:r>
      <w:r w:rsidRPr="000E4033">
        <w:rPr>
          <w:rFonts w:ascii="仿宋_GB2312" w:eastAsia="仿宋_GB2312" w:cs="黑体"/>
          <w:kern w:val="0"/>
          <w:sz w:val="30"/>
          <w:szCs w:val="30"/>
        </w:rPr>
        <w:t>7</w:t>
      </w:r>
      <w:r w:rsidRPr="000E4033">
        <w:rPr>
          <w:rFonts w:ascii="仿宋_GB2312" w:eastAsia="仿宋_GB2312" w:cs="黑体" w:hint="eastAsia"/>
          <w:kern w:val="0"/>
          <w:sz w:val="30"/>
          <w:szCs w:val="30"/>
        </w:rPr>
        <w:t>月</w:t>
      </w:r>
      <w:r w:rsidRPr="000E4033">
        <w:rPr>
          <w:rFonts w:ascii="仿宋_GB2312" w:eastAsia="仿宋_GB2312" w:cs="黑体"/>
          <w:kern w:val="0"/>
          <w:sz w:val="30"/>
          <w:szCs w:val="30"/>
        </w:rPr>
        <w:t>22</w:t>
      </w:r>
      <w:r w:rsidRPr="000E4033">
        <w:rPr>
          <w:rFonts w:ascii="仿宋_GB2312" w:eastAsia="仿宋_GB2312" w:cs="黑体" w:hint="eastAsia"/>
          <w:kern w:val="0"/>
          <w:sz w:val="30"/>
          <w:szCs w:val="30"/>
        </w:rPr>
        <w:t xml:space="preserve">日第一次修订　</w:t>
      </w:r>
      <w:r w:rsidRPr="000E4033">
        <w:rPr>
          <w:rFonts w:ascii="仿宋_GB2312" w:eastAsia="仿宋_GB2312" w:cs="黑体"/>
          <w:kern w:val="0"/>
          <w:sz w:val="30"/>
          <w:szCs w:val="30"/>
        </w:rPr>
        <w:t>2016</w:t>
      </w:r>
      <w:r w:rsidRPr="000E4033">
        <w:rPr>
          <w:rFonts w:ascii="仿宋_GB2312" w:eastAsia="仿宋_GB2312" w:cs="黑体" w:hint="eastAsia"/>
          <w:kern w:val="0"/>
          <w:sz w:val="30"/>
          <w:szCs w:val="30"/>
        </w:rPr>
        <w:t>年</w:t>
      </w:r>
      <w:r>
        <w:rPr>
          <w:rFonts w:ascii="仿宋_GB2312" w:eastAsia="仿宋_GB2312" w:cs="黑体" w:hint="eastAsia"/>
          <w:kern w:val="0"/>
          <w:sz w:val="30"/>
          <w:szCs w:val="30"/>
        </w:rPr>
        <w:t>9</w:t>
      </w:r>
      <w:r w:rsidRPr="000E4033">
        <w:rPr>
          <w:rFonts w:ascii="仿宋_GB2312" w:eastAsia="仿宋_GB2312" w:cs="黑体" w:hint="eastAsia"/>
          <w:kern w:val="0"/>
          <w:sz w:val="30"/>
          <w:szCs w:val="30"/>
        </w:rPr>
        <w:t>月</w:t>
      </w:r>
      <w:r>
        <w:rPr>
          <w:rFonts w:ascii="仿宋_GB2312" w:eastAsia="仿宋_GB2312" w:cs="黑体" w:hint="eastAsia"/>
          <w:kern w:val="0"/>
          <w:sz w:val="30"/>
          <w:szCs w:val="30"/>
        </w:rPr>
        <w:t>30</w:t>
      </w:r>
      <w:r w:rsidRPr="000E4033">
        <w:rPr>
          <w:rFonts w:ascii="仿宋_GB2312" w:eastAsia="仿宋_GB2312" w:cs="黑体" w:hint="eastAsia"/>
          <w:kern w:val="0"/>
          <w:sz w:val="30"/>
          <w:szCs w:val="30"/>
        </w:rPr>
        <w:t>日第二次修订）</w:t>
      </w:r>
    </w:p>
    <w:p w:rsidR="0059680D" w:rsidRPr="000E4033" w:rsidRDefault="0059680D" w:rsidP="0059680D">
      <w:pPr>
        <w:spacing w:line="560" w:lineRule="exact"/>
        <w:ind w:firstLineChars="200" w:firstLine="600"/>
        <w:rPr>
          <w:rFonts w:ascii="仿宋_GB2312" w:eastAsia="仿宋_GB2312"/>
          <w:sz w:val="30"/>
          <w:szCs w:val="30"/>
        </w:rPr>
      </w:pP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为了充分揭示沪港通下的港股通（以下简称港股通）业务相关风险，开展港股通业务的证券公司应当针对港股通投资者（以下简称投资者）制定《上海证券交易所港股通交易风险揭示书》，该风险揭示书至少应当包括下列内容：</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一、提示投资者注意，香港证券市场与内地证券市场存在诸多差异，投资者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提示投资者注意，投资者可以通过港股通买卖的股票存在一定的范围限制，且港股通股票名单会动态调整。投资者应当关注最新的港股通股票名单。对于被调出的港股通股票，自调整之日起，投资者将不得再行买入。</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三、提示投资者注意，港股通股票可能出现因公司基本面变化、</w:t>
      </w:r>
      <w:r w:rsidRPr="000E4033">
        <w:rPr>
          <w:rFonts w:ascii="仿宋_GB2312" w:eastAsia="仿宋_GB2312" w:hint="eastAsia"/>
          <w:color w:val="000000"/>
          <w:sz w:val="30"/>
          <w:szCs w:val="30"/>
        </w:rPr>
        <w:t>第三方研究分析报告的观点、</w:t>
      </w:r>
      <w:r w:rsidRPr="000E4033">
        <w:rPr>
          <w:rFonts w:ascii="仿宋_GB2312" w:eastAsia="仿宋_GB2312" w:hint="eastAsia"/>
          <w:sz w:val="30"/>
          <w:szCs w:val="30"/>
        </w:rPr>
        <w:t>异常交易情形、做空机制等原因而引起股价较大波动的情形，尤其是考虑到香港联合交易所有限公司（以下简称联交所）市场交易不设置涨跌幅限制，投资者</w:t>
      </w:r>
      <w:r w:rsidRPr="000E4033">
        <w:rPr>
          <w:rFonts w:ascii="仿宋_GB2312" w:eastAsia="仿宋_GB2312" w:hint="eastAsia"/>
          <w:sz w:val="30"/>
          <w:szCs w:val="30"/>
        </w:rPr>
        <w:lastRenderedPageBreak/>
        <w:t>应关注可能产生的风险。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四、提示投资者注意，部分港股通股票可能存在大比例折价供股或配股、频繁分拆合并股份的行为，投资者持有的股份数量、股票面值可能发生大幅变化，投资者应关注可能产生的风险。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五、提示投资者注意，与内地证券市场相比，联交所市场股票停牌制度存在一定差异，港股通股票可能出现长时间停牌现象，投资者应关注可能产生的风险。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六、提示投资者注意，与内地证券市场相比，联交所市场股票交易没有退市风险警示、退市整理等安排，相关股票存在直接退市的风险。港股通股票一旦从联交所市场退市，投资者将面临无法继续通过港股通买卖相关股票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七、提示投资者注意，港股通股票退市后，中国证券登记结算有限责任公司（以下简称中国结算）通过香港中央结算有限公司（以下简称香港结算）继续为投资者提供的退市股票名义持有人服务可能会受限，投资者应当关注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八、提示投资者注意，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九、提示投资者注意，只有沪港两地均为交易日且能够满足结算安排的交易日才为港股通交易日，具体以上海证券交易所（以下简称上交所）证券交易服务公司在其指定网站公布的日期为准。</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lastRenderedPageBreak/>
        <w:t>十、提示投资者注意，每个港股通交易日的交易时间包括开市前时段、持续交易时段和收市竞价交易时段，具体按联交所的规定执行。</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圣诞前夕（</w:t>
      </w:r>
      <w:r w:rsidRPr="000E4033">
        <w:rPr>
          <w:rFonts w:ascii="仿宋_GB2312" w:eastAsia="仿宋_GB2312"/>
          <w:sz w:val="30"/>
          <w:szCs w:val="30"/>
        </w:rPr>
        <w:t>12</w:t>
      </w:r>
      <w:r w:rsidRPr="000E4033">
        <w:rPr>
          <w:rFonts w:ascii="仿宋_GB2312" w:eastAsia="仿宋_GB2312" w:hint="eastAsia"/>
          <w:sz w:val="30"/>
          <w:szCs w:val="30"/>
        </w:rPr>
        <w:t>月</w:t>
      </w:r>
      <w:r w:rsidRPr="000E4033">
        <w:rPr>
          <w:rFonts w:ascii="仿宋_GB2312" w:eastAsia="仿宋_GB2312"/>
          <w:sz w:val="30"/>
          <w:szCs w:val="30"/>
        </w:rPr>
        <w:t>24</w:t>
      </w:r>
      <w:r w:rsidRPr="000E4033">
        <w:rPr>
          <w:rFonts w:ascii="仿宋_GB2312" w:eastAsia="仿宋_GB2312" w:hint="eastAsia"/>
          <w:sz w:val="30"/>
          <w:szCs w:val="30"/>
        </w:rPr>
        <w:t>日）、元旦前夕（</w:t>
      </w:r>
      <w:r w:rsidRPr="000E4033">
        <w:rPr>
          <w:rFonts w:ascii="仿宋_GB2312" w:eastAsia="仿宋_GB2312"/>
          <w:sz w:val="30"/>
          <w:szCs w:val="30"/>
        </w:rPr>
        <w:t>12</w:t>
      </w:r>
      <w:r w:rsidRPr="000E4033">
        <w:rPr>
          <w:rFonts w:ascii="仿宋_GB2312" w:eastAsia="仿宋_GB2312" w:hint="eastAsia"/>
          <w:sz w:val="30"/>
          <w:szCs w:val="30"/>
        </w:rPr>
        <w:t>月</w:t>
      </w:r>
      <w:r w:rsidRPr="000E4033">
        <w:rPr>
          <w:rFonts w:ascii="仿宋_GB2312" w:eastAsia="仿宋_GB2312"/>
          <w:sz w:val="30"/>
          <w:szCs w:val="30"/>
        </w:rPr>
        <w:t>31</w:t>
      </w:r>
      <w:r w:rsidRPr="000E4033">
        <w:rPr>
          <w:rFonts w:ascii="仿宋_GB2312" w:eastAsia="仿宋_GB2312" w:hint="eastAsia"/>
          <w:sz w:val="30"/>
          <w:szCs w:val="30"/>
        </w:rPr>
        <w:t>日）或除夕日为港股通交易日的，港股通仅有半天交易，且当日为非交收日。</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十一、提示投资者注意，香港出现台风、黑色暴雨或者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责任。</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十二、提示投资者注意，投资者在交易时间内提交订单依据的港币买入参考汇率和卖出参考汇率，并不等于最终结算汇率。港股通交易日日终，中国结算上海分公司进行净额换汇，将换汇成本按成交金额分摊至每笔交易，确定交易实际适用的结算汇率。</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十三、提示投资者注意，投资者参与联交所自动对盘系统交易，在联交所开市前时段和收市竞价交易时段应当采用竞价限价盘委托，在联交所持续交易时段应当采用增强限价盘委托。</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十四、提示投资者注意，投资者持有的碎股只能通过联交所半自动对盘碎股交易系统卖出。</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十五、提示投资者注意，港股通股票实施股份分拆合并期间，港股通投资者持有的该股票只在临时代码单柜交易末日、临时代码与新代码并行交易末日由临时代码转换为新代码。由于临时代</w:t>
      </w:r>
      <w:r w:rsidRPr="000E4033">
        <w:rPr>
          <w:rFonts w:ascii="仿宋_GB2312" w:eastAsia="仿宋_GB2312" w:hint="eastAsia"/>
          <w:sz w:val="30"/>
          <w:szCs w:val="30"/>
        </w:rPr>
        <w:lastRenderedPageBreak/>
        <w:t>码与原代码交易单位不同而可能产生碎股，投资者应关注可能产生的风险。</w:t>
      </w:r>
    </w:p>
    <w:p w:rsidR="0059680D" w:rsidRPr="000E4033" w:rsidRDefault="0059680D" w:rsidP="0059680D">
      <w:pPr>
        <w:spacing w:line="560" w:lineRule="exact"/>
        <w:ind w:firstLineChars="200" w:firstLine="600"/>
        <w:rPr>
          <w:rFonts w:ascii="仿宋_GB2312" w:eastAsia="仿宋_GB2312"/>
          <w:b/>
          <w:sz w:val="30"/>
          <w:szCs w:val="30"/>
        </w:rPr>
      </w:pPr>
      <w:r w:rsidRPr="000E4033">
        <w:rPr>
          <w:rFonts w:ascii="仿宋_GB2312" w:eastAsia="仿宋_GB2312" w:hint="eastAsia"/>
          <w:sz w:val="30"/>
          <w:szCs w:val="30"/>
        </w:rPr>
        <w:t>十六、提示投资者注意，港股通股票变更交易单位时，在实施原代码和临时代码并行交易期间，根据有关港股通股票在境内的登记结算安排，港股通业务仅提供原代码的交易服务，暂不提供临时代码交易服务。由于临时代码与原代码交易单位不同而可能产生碎股，投资者应关注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十七、提示投资者注意，投资者当日买入的港股通股票，经确认成交后，在交收前即可卖出，投资者应当关注因此可能产生的风险。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十八、提示投资者注意，与内地证券市场相比，联交所在订单申报的最小交易价差、每手股数、申报最大限制等方面存在一定的差异，投资者应当关注因此可能产生的风险。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十九、提示投资者注意，港股通交易中若联交所与上交所证券交易服务公司之间的报盘系统或者通信链路出现故障，可能导致</w:t>
      </w:r>
      <w:r w:rsidRPr="000E4033">
        <w:rPr>
          <w:rFonts w:ascii="仿宋_GB2312" w:eastAsia="仿宋_GB2312"/>
          <w:sz w:val="30"/>
          <w:szCs w:val="30"/>
        </w:rPr>
        <w:t>15</w:t>
      </w:r>
      <w:r w:rsidRPr="000E4033">
        <w:rPr>
          <w:rFonts w:ascii="仿宋_GB2312" w:eastAsia="仿宋_GB2312" w:hint="eastAsia"/>
          <w:sz w:val="30"/>
          <w:szCs w:val="30"/>
        </w:rPr>
        <w:t>分钟以上不能申报和撤销申报，投资者应当关注因此可能产生的风险。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二十、提示投资者注意，港股通股票交易不设置涨跌幅限制，但根据联交所业务规则，适用市场波动调节机制的港股通股票的买卖申报可能受到价格限制，投资者应当关注因此可能产生的风险。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二十一、提示投资者注意，对于适用收市竞价交易的港股通股票，根据联交所业务规则，收市竞价交易时段的买卖申报将受到价格限制，投资者应当关注因此可能产生的风险。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lastRenderedPageBreak/>
        <w:t>二十二、提示投资者注意，投资者通过港股通业务获得的香港证券市场免费一档行情，与付费方式获得的行情相比，在刷新频率、档位显示等方面存在差异，投资者应当关注依此进行投资决策的风险。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三、提示投资者注意，在香港证券市场，股票价格上涨时，股票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四、提示投资者注意，投资者因港股通股票权益分派、转换、上市公司被收购等情形或者异常情况，所取得的港股通股票以外的联交所上市证券，只能通过港股通卖出，但不得买入，上交所另有规定的除外；因港股通股票权益分派或者转换等情形取得的联交所上市股票的认购权利在联交所上市的，可以通过港股通卖出，但不得买入，也不得行权；因港股通股票权益分派、转换或者上市公司被收购等所取得的非联交所上市证券，可以享有相关权益，但不得通过港股通买入或卖出。</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二十五、提示投资者注意，香港证券市场与内地证券市场在证券资金的交收期安排上存在差异，港股通交易的交收期为</w:t>
      </w:r>
      <w:r w:rsidRPr="000E4033">
        <w:rPr>
          <w:rFonts w:ascii="仿宋_GB2312" w:eastAsia="仿宋_GB2312"/>
          <w:sz w:val="30"/>
          <w:szCs w:val="30"/>
        </w:rPr>
        <w:t>T+2</w:t>
      </w:r>
      <w:r w:rsidRPr="000E4033">
        <w:rPr>
          <w:rFonts w:ascii="仿宋_GB2312" w:eastAsia="仿宋_GB2312" w:hint="eastAsia"/>
          <w:sz w:val="30"/>
          <w:szCs w:val="30"/>
        </w:rPr>
        <w:t>日。若投资者卖出证券，在交收完成前仍享有该证券的权益。若投资者买入证券，在交收完成后才享有该证券的权益。</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同时，港股通交易的交收可能因香港出现台风或黑色暴雨等发生延迟交收。</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二十六、提示投资者注意，投资者通过港股通业务暂不能参</w:t>
      </w:r>
      <w:r w:rsidRPr="000E4033">
        <w:rPr>
          <w:rFonts w:ascii="仿宋_GB2312" w:eastAsia="仿宋_GB2312" w:hint="eastAsia"/>
          <w:sz w:val="30"/>
          <w:szCs w:val="30"/>
        </w:rPr>
        <w:lastRenderedPageBreak/>
        <w:t>与新股发行认购、超额供股和超额公开配售。</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七、提示投资者注意，对于在联交所上市公司派发的现金红利，由于中国结算需要在收到香港结算派发的外币红利资金后进行换汇、清算、发放等业务处理，投资者通过港股通业务获得的现金红利将会较香港市场有所延后。</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八、提示投资者注意，对于在联交所上市公司派发的红股，中国结算在收到香港结算派发红股到账当日或次日进行业务处理，相应红股可于处理日下一港股通交易日上市交易。投资者红股可卖首日均较香港市场晚一个港股通交易日。</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二十九、提示投资者注意，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三十、提示投资者注意，对于在联交所上市公司派发的红股以及股份分拆及合并业务产生的零碎股，中国结算对投资者账户中小于</w:t>
      </w:r>
      <w:r w:rsidRPr="000E4033">
        <w:rPr>
          <w:rFonts w:ascii="仿宋_GB2312" w:eastAsia="仿宋_GB2312"/>
          <w:sz w:val="30"/>
          <w:szCs w:val="30"/>
        </w:rPr>
        <w:t>1</w:t>
      </w:r>
      <w:r w:rsidRPr="000E4033">
        <w:rPr>
          <w:rFonts w:ascii="仿宋_GB2312" w:eastAsia="仿宋_GB2312" w:hint="eastAsia"/>
          <w:sz w:val="30"/>
          <w:szCs w:val="30"/>
        </w:rPr>
        <w:t>股的零碎股进行舍尾处理。当香港结算发放的红股总数或分拆、合并股票数额大于投资者账户舍尾取整后的总数的，中国结算按照精确算法分配差额部分。</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三十一、提示投资者注意，由于香港市场的费用收取或汇率的大幅波动等原因，可能会引起投资者账户的透支，投资者应当对账户内的余额进行关注。</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三十二、提示投资者注意，香港结算因极端情况下无法交付证券对中国结算实施现金结算的，中国结算将参照香港结算的处</w:t>
      </w:r>
      <w:r w:rsidRPr="000E4033">
        <w:rPr>
          <w:rFonts w:ascii="仿宋_GB2312" w:eastAsia="仿宋_GB2312" w:hint="eastAsia"/>
          <w:sz w:val="30"/>
          <w:szCs w:val="30"/>
        </w:rPr>
        <w:lastRenderedPageBreak/>
        <w:t>理原则进行相应业务处理。</w:t>
      </w:r>
    </w:p>
    <w:p w:rsidR="0059680D" w:rsidRPr="000E4033" w:rsidRDefault="0059680D" w:rsidP="0059680D">
      <w:pPr>
        <w:spacing w:line="560" w:lineRule="exact"/>
        <w:ind w:firstLineChars="200" w:firstLine="600"/>
        <w:rPr>
          <w:rFonts w:ascii="仿宋_GB2312" w:eastAsia="仿宋_GB2312"/>
          <w:sz w:val="30"/>
          <w:szCs w:val="30"/>
        </w:rPr>
      </w:pPr>
      <w:bookmarkStart w:id="0" w:name="_GoBack"/>
      <w:bookmarkEnd w:id="0"/>
      <w:r w:rsidRPr="000E4033">
        <w:rPr>
          <w:rFonts w:ascii="仿宋_GB2312" w:eastAsia="仿宋_GB2312" w:hint="eastAsia"/>
          <w:sz w:val="30"/>
          <w:szCs w:val="30"/>
        </w:rPr>
        <w:t>三十三、提示投资者注意，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三十四、提示投资者注意，香港市场收费标准与内地市场收费标准不同，香港地区与内地在税收安排方面也存在差异，投资者买卖港股通股票，应当按照香港市场有关规定交纳相关费用，并按照香港地区相关规定缴纳税款。</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三十五、提示投资者注意，对于因上交所、中国结算制定、修改业务规则，或者根据业务规则履行自律监管职责等造成的损失，上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三十六、除上述风险提示外，各证券公司还可以根据具体情况在本公司制定的《上海证券交易所港股通交易风险揭示书》中对港股通交易存在的风险做进一步列举。</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风险揭示书应以醒目的文字载明：</w:t>
      </w:r>
    </w:p>
    <w:p w:rsidR="0059680D" w:rsidRPr="000E4033" w:rsidRDefault="0059680D" w:rsidP="0059680D">
      <w:pPr>
        <w:spacing w:line="560" w:lineRule="exact"/>
        <w:ind w:firstLineChars="200" w:firstLine="600"/>
        <w:rPr>
          <w:rFonts w:ascii="仿宋_GB2312" w:eastAsia="仿宋_GB2312"/>
          <w:sz w:val="30"/>
          <w:szCs w:val="30"/>
        </w:rPr>
      </w:pPr>
      <w:r w:rsidRPr="000E4033">
        <w:rPr>
          <w:rFonts w:ascii="仿宋_GB2312" w:eastAsia="仿宋_GB2312" w:hint="eastAsia"/>
          <w:sz w:val="30"/>
          <w:szCs w:val="30"/>
        </w:rPr>
        <w:t>本《上海证券交易所港股通交易风险揭示书》的揭示事项仅</w:t>
      </w:r>
      <w:r w:rsidRPr="000E4033">
        <w:rPr>
          <w:rFonts w:ascii="仿宋_GB2312" w:eastAsia="仿宋_GB2312" w:hint="eastAsia"/>
          <w:sz w:val="30"/>
          <w:szCs w:val="30"/>
        </w:rPr>
        <w:lastRenderedPageBreak/>
        <w:t>为列举性质，未能详尽列明港股通交易的所有风险因素，投资者在参与港股通交易前，还应认真阅读相关业务规则和协议条款，对港股通交易特有的规则必须有所了解和掌握，并确信自己已做好足够的风险评估与财务安排，避免因参与港股通交易而遭受难以承受的损失。</w:t>
      </w:r>
    </w:p>
    <w:p w:rsidR="000271C4" w:rsidRDefault="0059680D" w:rsidP="0059680D">
      <w:r w:rsidRPr="000E4033">
        <w:rPr>
          <w:rFonts w:ascii="仿宋_GB2312" w:eastAsia="仿宋_GB2312" w:hint="eastAsia"/>
          <w:sz w:val="30"/>
          <w:szCs w:val="30"/>
        </w:rPr>
        <w:t>各证券公司应要求每个投资者在《上海证券交易所港股通交易风险揭示书》上签字，确认已知晓并理解《上海证券交易所港股通交易风险揭示书》的全部内容，愿意承担港股通交易的风险和损失。</w:t>
      </w:r>
    </w:p>
    <w:sectPr w:rsidR="000271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1C4" w:rsidRDefault="000271C4" w:rsidP="0059680D">
      <w:r>
        <w:separator/>
      </w:r>
    </w:p>
  </w:endnote>
  <w:endnote w:type="continuationSeparator" w:id="1">
    <w:p w:rsidR="000271C4" w:rsidRDefault="000271C4" w:rsidP="00596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1C4" w:rsidRDefault="000271C4" w:rsidP="0059680D">
      <w:r>
        <w:separator/>
      </w:r>
    </w:p>
  </w:footnote>
  <w:footnote w:type="continuationSeparator" w:id="1">
    <w:p w:rsidR="000271C4" w:rsidRDefault="000271C4" w:rsidP="00596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80D"/>
    <w:rsid w:val="000271C4"/>
    <w:rsid w:val="00596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68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680D"/>
    <w:rPr>
      <w:sz w:val="18"/>
      <w:szCs w:val="18"/>
    </w:rPr>
  </w:style>
  <w:style w:type="paragraph" w:styleId="a4">
    <w:name w:val="footer"/>
    <w:basedOn w:val="a"/>
    <w:link w:val="Char0"/>
    <w:uiPriority w:val="99"/>
    <w:semiHidden/>
    <w:unhideWhenUsed/>
    <w:rsid w:val="005968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68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637</Words>
  <Characters>3631</Characters>
  <Application>Microsoft Office Word</Application>
  <DocSecurity>0</DocSecurity>
  <Lines>30</Lines>
  <Paragraphs>8</Paragraphs>
  <ScaleCrop>false</ScaleCrop>
  <Company>Hewlett-Packard Company</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2016-09-30T13:44:00Z</dcterms:created>
  <dcterms:modified xsi:type="dcterms:W3CDTF">2016-09-30T13:44:00Z</dcterms:modified>
</cp:coreProperties>
</file>