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spacing w:lineRule="exact" w:line="600"/>
        <w:jc w:val="start"/>
        <w:rPr>
          <w:rFonts w:ascii="黑体;SimHei" w:hAnsi="黑体;SimHei" w:eastAsia="黑体;SimHei" w:cs="宋体;SimSun"/>
          <w:kern w:val="0"/>
          <w:sz w:val="30"/>
          <w:szCs w:val="30"/>
        </w:rPr>
      </w:pPr>
      <w:r>
        <w:rPr>
          <w:rFonts w:eastAsia="黑体;SimHei" w:cs="宋体;SimSun" w:ascii="黑体;SimHei" w:hAnsi="黑体;SimHei"/>
          <w:kern w:val="0"/>
          <w:sz w:val="30"/>
          <w:szCs w:val="30"/>
        </w:rPr>
      </w:r>
    </w:p>
    <w:p>
      <w:pPr>
        <w:pStyle w:val="Normal"/>
        <w:snapToGrid w:val="false"/>
        <w:spacing w:lineRule="exact" w:line="600"/>
        <w:jc w:val="center"/>
        <w:rPr>
          <w:rFonts w:ascii="方正大标宋简体;Arial Unicode MS" w:hAnsi="方正大标宋简体;Arial Unicode MS" w:eastAsia="方正大标宋简体;Arial Unicode MS" w:cs="黑体;SimHei"/>
          <w:bCs/>
          <w:kern w:val="0"/>
          <w:sz w:val="42"/>
          <w:szCs w:val="42"/>
        </w:rPr>
      </w:pPr>
      <w:r>
        <w:rPr>
          <w:rFonts w:ascii="方正大标宋简体;Arial Unicode MS" w:hAnsi="方正大标宋简体;Arial Unicode MS" w:cs="黑体;SimHei" w:eastAsia="方正大标宋简体;Arial Unicode MS"/>
          <w:bCs/>
          <w:kern w:val="0"/>
          <w:sz w:val="42"/>
          <w:szCs w:val="42"/>
        </w:rPr>
        <w:t>上海证券交易所融资融券交易业务指引第</w:t>
      </w:r>
      <w:r>
        <w:rPr>
          <w:rFonts w:eastAsia="方正大标宋简体;Arial Unicode MS" w:cs="黑体;SimHei" w:ascii="方正大标宋简体;Arial Unicode MS" w:hAnsi="方正大标宋简体;Arial Unicode MS"/>
          <w:bCs/>
          <w:kern w:val="0"/>
          <w:sz w:val="42"/>
          <w:szCs w:val="42"/>
        </w:rPr>
        <w:t>1</w:t>
      </w:r>
      <w:r>
        <w:rPr>
          <w:rFonts w:ascii="方正大标宋简体;Arial Unicode MS" w:hAnsi="方正大标宋简体;Arial Unicode MS" w:cs="黑体;SimHei" w:eastAsia="方正大标宋简体;Arial Unicode MS"/>
          <w:bCs/>
          <w:kern w:val="0"/>
          <w:sz w:val="42"/>
          <w:szCs w:val="42"/>
        </w:rPr>
        <w:t>号——担保物集中度管理</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880" w:end="0"/>
        <w:rPr>
          <w:rFonts w:ascii="仿宋" w:hAnsi="仿宋" w:eastAsia="方正大标宋简体;Arial Unicode MS" w:cs="宋体;SimSun"/>
          <w:bCs/>
          <w:kern w:val="0"/>
          <w:sz w:val="30"/>
          <w:szCs w:val="30"/>
        </w:rPr>
      </w:pPr>
      <w:r>
        <w:rPr>
          <w:rFonts w:eastAsia="方正大标宋简体;Arial Unicode MS" w:cs="宋体;SimSun" w:ascii="仿宋" w:hAnsi="仿宋"/>
          <w:bCs/>
          <w:kern w:val="0"/>
          <w:sz w:val="30"/>
          <w:szCs w:val="30"/>
        </w:rPr>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方正仿宋简体"/>
          <w:kern w:val="0"/>
          <w:sz w:val="30"/>
          <w:szCs w:val="30"/>
        </w:rPr>
      </w:pPr>
      <w:r>
        <w:rPr>
          <w:rFonts w:ascii="仿宋_GB2312" w:hAnsi="仿宋_GB2312" w:cs="方正仿宋简体" w:eastAsia="仿宋_GB2312"/>
          <w:kern w:val="0"/>
          <w:sz w:val="30"/>
          <w:szCs w:val="30"/>
        </w:rPr>
        <w:t>第一条 为了规范上海证券交易所（以下简称本所）会员对融资融券客户担保物管理，维护证券市场交易秩序，根据《上海证券交易所融资融券交易实施细则》（以下简称《实施细则》）等规定，制定本指引。</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方正仿宋简体"/>
          <w:kern w:val="0"/>
          <w:sz w:val="30"/>
          <w:szCs w:val="30"/>
        </w:rPr>
      </w:pPr>
      <w:r>
        <w:rPr>
          <w:rFonts w:ascii="仿宋_GB2312" w:hAnsi="仿宋_GB2312" w:cs="方正仿宋简体" w:eastAsia="仿宋_GB2312"/>
          <w:color w:val="000000"/>
          <w:kern w:val="0"/>
          <w:sz w:val="30"/>
          <w:szCs w:val="30"/>
        </w:rPr>
        <w:t>第二条 会员应当对单一客户提交的担保物中单一股票或者存托凭证（以下统称股票）市值占该客户担保物市值的比例（以下简称客户担保物集中度）进行监控，</w:t>
      </w:r>
      <w:r>
        <w:rPr>
          <w:rFonts w:ascii="仿宋_GB2312" w:hAnsi="仿宋_GB2312" w:cs="方正仿宋简体" w:eastAsia="仿宋_GB2312"/>
          <w:kern w:val="0"/>
          <w:sz w:val="30"/>
          <w:szCs w:val="30"/>
        </w:rPr>
        <w:t>并结合不同股票的风险特征，对客户担保物集中度上限实行差异化管理。</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方正仿宋简体"/>
          <w:color w:val="000000"/>
          <w:kern w:val="0"/>
          <w:sz w:val="30"/>
          <w:szCs w:val="30"/>
        </w:rPr>
      </w:pPr>
      <w:r>
        <w:rPr>
          <w:rFonts w:ascii="仿宋_GB2312" w:hAnsi="仿宋_GB2312" w:cs="方正仿宋简体" w:eastAsia="仿宋_GB2312"/>
          <w:kern w:val="0"/>
          <w:sz w:val="30"/>
          <w:szCs w:val="30"/>
        </w:rPr>
        <w:t>第三条 会员应当重点关注单一股票作为</w:t>
      </w:r>
      <w:r>
        <w:rPr>
          <w:rFonts w:ascii="仿宋_GB2312" w:hAnsi="仿宋_GB2312" w:cs="仿宋" w:eastAsia="仿宋_GB2312"/>
          <w:sz w:val="30"/>
          <w:szCs w:val="30"/>
        </w:rPr>
        <w:t>信用账户担保物总量占其上市可流通量的</w:t>
      </w:r>
      <w:r>
        <w:rPr>
          <w:rFonts w:ascii="仿宋_GB2312" w:hAnsi="仿宋_GB2312" w:cs="方正仿宋简体" w:eastAsia="仿宋_GB2312"/>
          <w:kern w:val="0"/>
          <w:sz w:val="30"/>
          <w:szCs w:val="30"/>
        </w:rPr>
        <w:t>比例（以下简称单一股票担保物比例），结合股票估值、股价波动、上市公司经营等因素加强风险识别</w:t>
      </w:r>
      <w:r>
        <w:rPr>
          <w:rFonts w:ascii="仿宋_GB2312" w:hAnsi="仿宋_GB2312" w:cs="方正仿宋简体" w:eastAsia="仿宋_GB2312"/>
          <w:color w:val="000000"/>
          <w:kern w:val="0"/>
          <w:sz w:val="30"/>
          <w:szCs w:val="30"/>
        </w:rPr>
        <w:t>。</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方正仿宋简体"/>
          <w:color w:val="000000"/>
          <w:kern w:val="0"/>
          <w:sz w:val="30"/>
          <w:szCs w:val="30"/>
        </w:rPr>
      </w:pPr>
      <w:r>
        <w:rPr>
          <w:rFonts w:ascii="仿宋_GB2312" w:hAnsi="仿宋_GB2312" w:cs="方正仿宋简体" w:eastAsia="仿宋_GB2312"/>
          <w:kern w:val="0"/>
          <w:sz w:val="30"/>
          <w:szCs w:val="30"/>
        </w:rPr>
        <w:t>本所在每个交易日开市前，向市场公布前一交易日单一股票担保物比例信息。</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方正仿宋简体"/>
          <w:kern w:val="0"/>
          <w:sz w:val="30"/>
          <w:szCs w:val="30"/>
        </w:rPr>
      </w:pPr>
      <w:r>
        <w:rPr>
          <w:rFonts w:ascii="仿宋_GB2312" w:hAnsi="仿宋_GB2312" w:cs="方正仿宋简体" w:eastAsia="仿宋_GB2312"/>
          <w:kern w:val="0"/>
          <w:sz w:val="30"/>
          <w:szCs w:val="30"/>
        </w:rPr>
        <w:t>第四条 每个交易日，对于前一交易日单一股票担保物比例在</w:t>
      </w:r>
      <w:r>
        <w:rPr>
          <w:rFonts w:eastAsia="仿宋_GB2312" w:cs="方正仿宋简体" w:ascii="仿宋_GB2312" w:hAnsi="仿宋_GB2312"/>
          <w:kern w:val="0"/>
          <w:sz w:val="30"/>
          <w:szCs w:val="30"/>
        </w:rPr>
        <w:t>25%</w:t>
      </w:r>
      <w:r>
        <w:rPr>
          <w:rFonts w:ascii="仿宋_GB2312" w:hAnsi="仿宋_GB2312" w:cs="方正仿宋简体" w:eastAsia="仿宋_GB2312"/>
          <w:kern w:val="0"/>
          <w:sz w:val="30"/>
          <w:szCs w:val="30"/>
        </w:rPr>
        <w:t>以上且该股票</w:t>
      </w:r>
      <w:r>
        <w:rPr>
          <w:rFonts w:ascii="仿宋_GB2312" w:hAnsi="仿宋_GB2312" w:cs="仿宋" w:eastAsia="仿宋_GB2312"/>
          <w:sz w:val="30"/>
          <w:szCs w:val="30"/>
        </w:rPr>
        <w:t>静态市盈率在</w:t>
      </w:r>
      <w:r>
        <w:rPr>
          <w:rFonts w:eastAsia="仿宋_GB2312" w:cs="仿宋" w:ascii="仿宋_GB2312" w:hAnsi="仿宋_GB2312"/>
          <w:sz w:val="30"/>
          <w:szCs w:val="30"/>
        </w:rPr>
        <w:t>300</w:t>
      </w:r>
      <w:r>
        <w:rPr>
          <w:rFonts w:ascii="仿宋_GB2312" w:hAnsi="仿宋_GB2312" w:cs="仿宋" w:eastAsia="仿宋_GB2312"/>
          <w:sz w:val="30"/>
          <w:szCs w:val="30"/>
        </w:rPr>
        <w:t>倍以上或者为负数的</w:t>
      </w:r>
      <w:r>
        <w:rPr>
          <w:rFonts w:ascii="仿宋_GB2312" w:hAnsi="仿宋_GB2312" w:cs="方正仿宋简体" w:eastAsia="仿宋_GB2312"/>
          <w:kern w:val="0"/>
          <w:sz w:val="30"/>
          <w:szCs w:val="30"/>
        </w:rPr>
        <w:t>，会员应当不晚于次一交易日开市前，对于该股票的客户担保物集中度在</w:t>
      </w:r>
      <w:r>
        <w:rPr>
          <w:rFonts w:eastAsia="仿宋_GB2312" w:cs="方正仿宋简体" w:ascii="仿宋_GB2312" w:hAnsi="仿宋_GB2312"/>
          <w:kern w:val="0"/>
          <w:sz w:val="30"/>
          <w:szCs w:val="30"/>
        </w:rPr>
        <w:t>70%</w:t>
      </w:r>
      <w:r>
        <w:rPr>
          <w:rFonts w:ascii="仿宋_GB2312" w:hAnsi="仿宋_GB2312" w:cs="方正仿宋简体" w:eastAsia="仿宋_GB2312"/>
          <w:kern w:val="0"/>
          <w:sz w:val="30"/>
          <w:szCs w:val="30"/>
        </w:rPr>
        <w:t>以上且维持担保比例在</w:t>
      </w:r>
      <w:r>
        <w:rPr>
          <w:rFonts w:eastAsia="仿宋_GB2312" w:cs="方正仿宋简体" w:ascii="仿宋_GB2312" w:hAnsi="仿宋_GB2312"/>
          <w:kern w:val="0"/>
          <w:sz w:val="30"/>
          <w:szCs w:val="30"/>
        </w:rPr>
        <w:t>300%</w:t>
      </w:r>
      <w:r>
        <w:rPr>
          <w:rFonts w:ascii="仿宋_GB2312" w:hAnsi="仿宋_GB2312" w:cs="方正仿宋简体" w:eastAsia="仿宋_GB2312"/>
          <w:kern w:val="0"/>
          <w:sz w:val="30"/>
          <w:szCs w:val="30"/>
        </w:rPr>
        <w:t>以下的客户，暂停接受其融资买入该股票的委托，并可以采取其他风险控制措施。</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方正仿宋简体"/>
          <w:kern w:val="0"/>
          <w:sz w:val="30"/>
          <w:szCs w:val="30"/>
        </w:rPr>
      </w:pPr>
      <w:r>
        <w:rPr>
          <w:rFonts w:ascii="仿宋_GB2312" w:hAnsi="仿宋_GB2312" w:cs="方正仿宋简体" w:eastAsia="仿宋_GB2312"/>
          <w:kern w:val="0"/>
          <w:sz w:val="30"/>
          <w:szCs w:val="30"/>
        </w:rPr>
        <w:t>会员可以按照与客户的约定，对前款要求从严进行调整。</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方正仿宋简体"/>
          <w:kern w:val="0"/>
          <w:sz w:val="30"/>
          <w:szCs w:val="30"/>
        </w:rPr>
      </w:pPr>
      <w:r>
        <w:rPr>
          <w:rFonts w:ascii="仿宋_GB2312" w:hAnsi="仿宋_GB2312" w:cs="方正仿宋简体" w:eastAsia="仿宋_GB2312"/>
          <w:kern w:val="0"/>
          <w:sz w:val="30"/>
          <w:szCs w:val="30"/>
        </w:rPr>
        <w:t>第五条 会员根据本指引第四条对客户采取暂停接受融资买入相关股票的委托等风险控制措施的，该客户未了结的相关融资融券合约仍然有效。合约到期前，会员可以根据《实施细则》相关规定为客户办理展期。</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仿宋"/>
          <w:sz w:val="30"/>
          <w:szCs w:val="30"/>
        </w:rPr>
      </w:pPr>
      <w:r>
        <w:rPr>
          <w:rFonts w:ascii="仿宋_GB2312" w:hAnsi="仿宋_GB2312" w:cs="方正仿宋简体" w:eastAsia="仿宋_GB2312"/>
          <w:kern w:val="0"/>
          <w:sz w:val="30"/>
          <w:szCs w:val="30"/>
        </w:rPr>
        <w:t>第六条 本所根据监管需要，可以对会员</w:t>
      </w:r>
      <w:r>
        <w:rPr>
          <w:rFonts w:ascii="仿宋_GB2312" w:hAnsi="仿宋_GB2312" w:cs="仿宋" w:eastAsia="仿宋_GB2312"/>
          <w:sz w:val="30"/>
          <w:szCs w:val="30"/>
        </w:rPr>
        <w:t>执行本指引的情况等进行检查。</w:t>
      </w:r>
      <w:r>
        <w:rPr>
          <w:rFonts w:ascii="仿宋_GB2312" w:hAnsi="仿宋_GB2312" w:cs="方正仿宋简体" w:eastAsia="仿宋_GB2312"/>
          <w:kern w:val="0"/>
          <w:sz w:val="30"/>
          <w:szCs w:val="30"/>
        </w:rPr>
        <w:t>会员违反本指引的，本所将根据有关业务规则采取监管措施或纪律处分。</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仿宋"/>
          <w:sz w:val="30"/>
          <w:szCs w:val="30"/>
        </w:rPr>
      </w:pPr>
      <w:r>
        <w:rPr>
          <w:rFonts w:ascii="仿宋_GB2312" w:hAnsi="仿宋_GB2312" w:cs="方正仿宋简体" w:eastAsia="仿宋_GB2312"/>
          <w:kern w:val="0"/>
          <w:sz w:val="30"/>
          <w:szCs w:val="30"/>
        </w:rPr>
        <w:t>第七条 本指引由本所负责解释。</w:t>
      </w:r>
    </w:p>
    <w:p>
      <w:pPr>
        <w:pStyle w:val="Normal"/>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firstLine="600" w:end="0"/>
        <w:rPr>
          <w:rFonts w:ascii="仿宋_GB2312" w:hAnsi="仿宋_GB2312" w:eastAsia="仿宋_GB2312" w:cs="仿宋"/>
          <w:sz w:val="30"/>
          <w:szCs w:val="30"/>
        </w:rPr>
      </w:pPr>
      <w:r>
        <w:rPr>
          <w:rFonts w:ascii="仿宋_GB2312" w:hAnsi="仿宋_GB2312" w:cs="方正仿宋简体" w:eastAsia="仿宋_GB2312"/>
          <w:kern w:val="0"/>
          <w:sz w:val="30"/>
          <w:szCs w:val="30"/>
        </w:rPr>
        <w:t xml:space="preserve">第八条 </w:t>
      </w:r>
      <w:r>
        <w:rPr>
          <w:rFonts w:ascii="仿宋_GB2312" w:hAnsi="仿宋_GB2312" w:cs="仿宋" w:eastAsia="仿宋_GB2312"/>
          <w:sz w:val="30"/>
          <w:szCs w:val="30"/>
        </w:rPr>
        <w:t>本指引自</w:t>
      </w:r>
      <w:r>
        <w:rPr>
          <w:rFonts w:eastAsia="仿宋_GB2312" w:cs="仿宋" w:ascii="仿宋_GB2312" w:hAnsi="仿宋_GB2312"/>
          <w:sz w:val="30"/>
          <w:szCs w:val="30"/>
        </w:rPr>
        <w:t>2023</w:t>
      </w:r>
      <w:r>
        <w:rPr>
          <w:rFonts w:ascii="仿宋_GB2312" w:hAnsi="仿宋_GB2312" w:cs="仿宋" w:eastAsia="仿宋_GB2312"/>
          <w:sz w:val="30"/>
          <w:szCs w:val="30"/>
        </w:rPr>
        <w:t>年</w:t>
      </w:r>
      <w:r>
        <w:rPr>
          <w:rFonts w:eastAsia="仿宋_GB2312" w:cs="仿宋" w:ascii="仿宋_GB2312" w:hAnsi="仿宋_GB2312"/>
          <w:sz w:val="30"/>
          <w:szCs w:val="30"/>
        </w:rPr>
        <w:t>7</w:t>
      </w:r>
      <w:r>
        <w:rPr>
          <w:rFonts w:ascii="仿宋_GB2312" w:hAnsi="仿宋_GB2312" w:cs="仿宋" w:eastAsia="仿宋_GB2312"/>
          <w:sz w:val="30"/>
          <w:szCs w:val="30"/>
        </w:rPr>
        <w:t>月</w:t>
      </w:r>
      <w:r>
        <w:rPr>
          <w:rFonts w:eastAsia="仿宋_GB2312" w:cs="仿宋" w:ascii="仿宋_GB2312" w:hAnsi="仿宋_GB2312"/>
          <w:sz w:val="30"/>
          <w:szCs w:val="30"/>
        </w:rPr>
        <w:t>31</w:t>
      </w:r>
      <w:r>
        <w:rPr>
          <w:rFonts w:ascii="仿宋_GB2312" w:hAnsi="仿宋_GB2312" w:cs="仿宋" w:eastAsia="仿宋_GB2312"/>
          <w:sz w:val="30"/>
          <w:szCs w:val="30"/>
        </w:rPr>
        <w:t>日起施行。</w:t>
      </w:r>
    </w:p>
    <w:p>
      <w:pPr>
        <w:pStyle w:val="Style18"/>
        <w:snapToGrid w:val="false"/>
        <w:spacing w:lineRule="exact" w:line="600"/>
        <w:rPr>
          <w:rFonts w:ascii="仿宋_GB2312" w:hAnsi="仿宋_GB2312" w:eastAsia="仿宋_GB2312" w:cs="仿宋"/>
          <w:sz w:val="30"/>
          <w:szCs w:val="30"/>
        </w:rPr>
      </w:pPr>
      <w:r>
        <w:rPr>
          <w:rFonts w:eastAsia="仿宋_GB2312" w:cs="仿宋" w:ascii="仿宋_GB2312" w:hAnsi="仿宋_GB2312"/>
          <w:sz w:val="30"/>
          <w:szCs w:val="30"/>
        </w:rPr>
      </w:r>
    </w:p>
    <w:p>
      <w:pPr>
        <w:pStyle w:val="Normal"/>
        <w:spacing w:lineRule="exact" w:line="600"/>
        <w:rPr>
          <w:rFonts w:ascii="仿宋_GB2312" w:hAnsi="仿宋_GB2312" w:eastAsia="仿宋_GB2312" w:cs="仿宋"/>
          <w:bCs/>
          <w:color w:val="000000"/>
          <w:sz w:val="28"/>
          <w:szCs w:val="30"/>
        </w:rPr>
      </w:pPr>
      <w:r>
        <w:rPr>
          <w:rFonts w:eastAsia="仿宋_GB2312" w:cs="仿宋" w:ascii="仿宋_GB2312" w:hAnsi="仿宋_GB2312"/>
          <w:bCs/>
          <w:color w:val="000000"/>
          <w:sz w:val="28"/>
          <w:szCs w:val="30"/>
        </w:rPr>
      </w:r>
    </w:p>
    <w:sectPr>
      <w:footerReference w:type="even" r:id="rId2"/>
      <w:footerReference w:type="default" r:id="rId3"/>
      <w:type w:val="nextPage"/>
      <w:pgSz w:w="11906" w:h="16838"/>
      <w:pgMar w:left="1800" w:right="1800" w:gutter="0" w:header="0" w:top="1440" w:footer="992"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楷体_GB2312">
    <w:charset w:val="86"/>
    <w:family w:val="modern"/>
    <w:pitch w:val="default"/>
  </w:font>
  <w:font w:name="仿宋_GB2312">
    <w:charset w:val="86"/>
    <w:family w:val="modern"/>
    <w:pitch w:val="default"/>
  </w:font>
  <w:font w:name="宋体">
    <w:altName w:val="SimSun"/>
    <w:charset w:val="86"/>
    <w:family w:val="auto"/>
    <w:pitch w:val="variable"/>
  </w:font>
  <w:font w:name="Arial Narrow">
    <w:charset w:val="00" w:characterSet="windows-1252"/>
    <w:family w:val="swiss"/>
    <w:pitch w:val="variable"/>
  </w:font>
  <w:font w:name="Liberation Sans">
    <w:altName w:val="Arial"/>
    <w:charset w:val="01" w:characterSet="utf-8"/>
    <w:family w:val="swiss"/>
    <w:pitch w:val="variable"/>
  </w:font>
  <w:font w:name="Cambria">
    <w:charset w:val="00" w:characterSet="windows-1252"/>
    <w:family w:val="roman"/>
    <w:pitch w:val="variable"/>
  </w:font>
  <w:font w:name="Calibri">
    <w:charset w:val="00" w:characterSet="windows-1252"/>
    <w:family w:val="swiss"/>
    <w:pitch w:val="variable"/>
  </w:font>
  <w:font w:name="黑体">
    <w:altName w:val="SimHei"/>
    <w:charset w:val="86"/>
    <w:family w:val="modern"/>
    <w:pitch w:val="default"/>
  </w:font>
  <w:font w:name="方正大标宋简体">
    <w:altName w:val="Arial Unicode MS"/>
    <w:charset w:val="86"/>
    <w:family w:val="script"/>
    <w:pitch w:val="default"/>
  </w:font>
  <w:font w:name="仿宋">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仿宋_GB2312" w:hAnsi="仿宋_GB2312" w:eastAsia="仿宋_GB2312"/>
        <w:bCs/>
        <w:sz w:val="28"/>
      </w:rPr>
      <w:t>－</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rFonts w:ascii="仿宋_GB2312" w:hAnsi="仿宋_GB2312" w:eastAsia="仿宋_GB2312"/>
        <w:bCs/>
        <w:sz w:val="28"/>
      </w:rPr>
      <w:t>－</w:t>
    </w:r>
    <w:r>
      <mc:AlternateContent>
        <mc:Choice Requires="wps">
          <w:drawing>
            <wp:anchor behindDoc="0" distT="0" distB="0" distL="0" distR="0" simplePos="0" locked="0" layoutInCell="0" allowOverlap="1" relativeHeight="3">
              <wp:simplePos x="0" y="0"/>
              <wp:positionH relativeFrom="margin">
                <wp:align>center</wp:align>
              </wp:positionH>
              <wp:positionV relativeFrom="paragraph">
                <wp:posOffset>635</wp:posOffset>
              </wp:positionV>
              <wp:extent cx="14605" cy="131445"/>
              <wp:effectExtent l="0" t="0" r="0" b="0"/>
              <wp:wrapSquare wrapText="bothSides"/>
              <wp:docPr id="1" name="Frame2"/>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1pt;mso-position-horizontal:center;mso-position-horizontal-relative:margin">
              <v:fill opacity="0f"/>
              <v:textbox inset="0in,0in,0in,0in">
                <w:txbxContent>
                  <w:p>
                    <w:pPr>
                      <w:pStyle w:val="Footer"/>
                      <w:rPr>
                        <w:rStyle w:val="PageNumber"/>
                      </w:rPr>
                    </w:pPr>
                    <w:r>
                      <w:rPr/>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Fonts w:ascii="仿宋_GB2312" w:hAnsi="仿宋_GB2312" w:eastAsia="仿宋_GB2312"/>
        <w:bCs/>
        <w:sz w:val="28"/>
      </w:rPr>
      <w:t>－</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ascii="仿宋_GB2312" w:hAnsi="仿宋_GB2312" w:eastAsia="仿宋_GB2312"/>
        <w:bCs/>
        <w:sz w:val="28"/>
      </w:rPr>
      <w:t>－</w:t>
    </w:r>
    <w:r>
      <mc:AlternateContent>
        <mc:Choice Requires="wps">
          <w:drawing>
            <wp:anchor behindDoc="0" distT="0" distB="0" distL="0" distR="0" simplePos="0" locked="0" layoutInCell="0" allowOverlap="1" relativeHeight="2">
              <wp:simplePos x="0" y="0"/>
              <wp:positionH relativeFrom="margin">
                <wp:align>center</wp:align>
              </wp:positionH>
              <wp:positionV relativeFrom="paragraph">
                <wp:posOffset>635</wp:posOffset>
              </wp:positionV>
              <wp:extent cx="14605" cy="13144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jc w:val="cen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1pt;mso-position-horizontal:center;mso-position-horizontal-relative:margin">
              <v:fill opacity="0f"/>
              <v:textbox inset="0in,0in,0in,0in">
                <w:txbxContent>
                  <w:p>
                    <w:pPr>
                      <w:pStyle w:val="Footer"/>
                      <w:jc w:val="center"/>
                      <w:rPr>
                        <w:rStyle w:val="PageNumber"/>
                      </w:rPr>
                    </w:pPr>
                    <w:r>
                      <w:rPr/>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420"/>
  <w:autoHyphenation w:val="true"/>
  <w:hyphenationZone w:val="0"/>
  <w:evenAndOddHeaders/>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0"/>
      <w:lang w:val="en-US" w:eastAsia="zh-CN" w:bidi="ar-SA"/>
    </w:rPr>
  </w:style>
  <w:style w:type="paragraph" w:styleId="Heading2">
    <w:name w:val="heading 2"/>
    <w:basedOn w:val="Normal"/>
    <w:next w:val="Normal"/>
    <w:qFormat/>
    <w:pPr>
      <w:numPr>
        <w:ilvl w:val="1"/>
        <w:numId w:val="1"/>
      </w:numPr>
      <w:spacing w:lineRule="exact" w:line="560"/>
      <w:ind w:firstLine="569" w:start="0" w:end="0"/>
      <w:outlineLvl w:val="1"/>
    </w:pPr>
    <w:rPr>
      <w:rFonts w:ascii="楷体_GB2312" w:hAnsi="楷体_GB2312" w:eastAsia="楷体_GB2312" w:cs="Times New Roman"/>
      <w:sz w:val="30"/>
      <w:szCs w:val="30"/>
    </w:rPr>
  </w:style>
  <w:style w:type="character" w:styleId="WW8Num1z0">
    <w:name w:val="WW8Num1z0"/>
    <w:qFormat/>
    <w:rPr>
      <w:rFonts w:ascii="仿宋_GB2312" w:hAnsi="仿宋_GB2312" w:eastAsia="仿宋_GB2312"/>
      <w:b/>
      <w:color w:val="000000"/>
      <w:lang w:val="en-US"/>
    </w:rPr>
  </w:style>
  <w:style w:type="character" w:styleId="WW8Num2z0">
    <w:name w:val="WW8Num2z0"/>
    <w:qFormat/>
    <w:rPr/>
  </w:style>
  <w:style w:type="character" w:styleId="Style13">
    <w:name w:val="默认段落字体"/>
    <w:qFormat/>
    <w:rPr/>
  </w:style>
  <w:style w:type="character" w:styleId="2Char">
    <w:name w:val="标题 2 Char"/>
    <w:basedOn w:val="Style13"/>
    <w:qFormat/>
    <w:rPr>
      <w:rFonts w:ascii="楷体_GB2312" w:hAnsi="楷体_GB2312" w:eastAsia="楷体_GB2312" w:cs="Times New Roman"/>
      <w:kern w:val="2"/>
      <w:sz w:val="30"/>
      <w:szCs w:val="30"/>
    </w:rPr>
  </w:style>
  <w:style w:type="character" w:styleId="Char">
    <w:name w:val="正文文本 Char"/>
    <w:basedOn w:val="Style13"/>
    <w:qFormat/>
    <w:rPr>
      <w:rFonts w:ascii="Times New Roman" w:hAnsi="Times New Roman" w:cs="Times New Roman"/>
      <w:kern w:val="2"/>
      <w:sz w:val="21"/>
    </w:rPr>
  </w:style>
  <w:style w:type="character" w:styleId="Char1">
    <w:name w:val="正文文本缩进 Char"/>
    <w:basedOn w:val="Style13"/>
    <w:qFormat/>
    <w:rPr>
      <w:rFonts w:ascii="仿宋_GB2312" w:hAnsi="仿宋_GB2312" w:eastAsia="仿宋_GB2312" w:cs="Times New Roman"/>
      <w:sz w:val="30"/>
      <w:szCs w:val="24"/>
    </w:rPr>
  </w:style>
  <w:style w:type="character" w:styleId="Char2">
    <w:name w:val="日期 Char"/>
    <w:basedOn w:val="Style13"/>
    <w:qFormat/>
    <w:rPr>
      <w:rFonts w:ascii="楷体_GB2312" w:hAnsi="楷体_GB2312" w:eastAsia="楷体_GB2312" w:cs="Times New Roman"/>
      <w:sz w:val="32"/>
      <w:szCs w:val="20"/>
    </w:rPr>
  </w:style>
  <w:style w:type="character" w:styleId="Char3">
    <w:name w:val="页脚 Char"/>
    <w:basedOn w:val="Style13"/>
    <w:qFormat/>
    <w:rPr>
      <w:rFonts w:ascii="Times New Roman" w:hAnsi="Times New Roman" w:eastAsia="宋体;SimSun" w:cs="Times New Roman"/>
      <w:sz w:val="18"/>
      <w:szCs w:val="18"/>
    </w:rPr>
  </w:style>
  <w:style w:type="character" w:styleId="Char4">
    <w:name w:val="页眉 Char"/>
    <w:basedOn w:val="Style13"/>
    <w:qFormat/>
    <w:rPr>
      <w:rFonts w:ascii="Times New Roman" w:hAnsi="Times New Roman" w:eastAsia="宋体;SimSun" w:cs="Times New Roman"/>
      <w:sz w:val="18"/>
      <w:szCs w:val="18"/>
    </w:rPr>
  </w:style>
  <w:style w:type="character" w:styleId="Char5">
    <w:name w:val="脚注文本 Char"/>
    <w:basedOn w:val="Style13"/>
    <w:qFormat/>
    <w:rPr>
      <w:kern w:val="2"/>
      <w:sz w:val="18"/>
      <w:szCs w:val="18"/>
    </w:rPr>
  </w:style>
  <w:style w:type="character" w:styleId="HTMLChar">
    <w:name w:val="HTML 预设格式 Char"/>
    <w:basedOn w:val="Style13"/>
    <w:qFormat/>
    <w:rPr>
      <w:rFonts w:ascii="宋体;SimSun" w:hAnsi="宋体;SimSun" w:cs="宋体;SimSun"/>
      <w:sz w:val="24"/>
      <w:szCs w:val="24"/>
    </w:rPr>
  </w:style>
  <w:style w:type="character" w:styleId="Char6">
    <w:name w:val="普通(网站) Char"/>
    <w:qFormat/>
    <w:rPr>
      <w:rFonts w:ascii="宋体;SimSun" w:hAnsi="宋体;SimSun" w:cs="宋体;SimSun"/>
      <w:sz w:val="24"/>
      <w:szCs w:val="24"/>
    </w:rPr>
  </w:style>
  <w:style w:type="character" w:styleId="PageNumber">
    <w:name w:val="page number"/>
    <w:basedOn w:val="Style13"/>
    <w:rPr/>
  </w:style>
  <w:style w:type="character" w:styleId="Hyperlink">
    <w:name w:val="Hyperlink"/>
    <w:rPr>
      <w:color w:val="000000"/>
      <w:u w:val="single"/>
    </w:rPr>
  </w:style>
  <w:style w:type="character" w:styleId="FootnoteCharacters">
    <w:name w:val="Footnote Characters"/>
    <w:basedOn w:val="Style13"/>
    <w:qFormat/>
    <w:rPr>
      <w:vertAlign w:val="superscript"/>
    </w:rPr>
  </w:style>
  <w:style w:type="character" w:styleId="NormalCharacter">
    <w:name w:val="NormalCharacter"/>
    <w:qFormat/>
    <w:rPr/>
  </w:style>
  <w:style w:type="character" w:styleId="afont1">
    <w:name w:val="afont1"/>
    <w:qFormat/>
    <w:rPr>
      <w:rFonts w:ascii="Arial Narrow" w:hAnsi="Arial Narrow" w:cs="Arial Narrow"/>
      <w:sz w:val="26"/>
      <w:szCs w:val="26"/>
    </w:rPr>
  </w:style>
  <w:style w:type="character" w:styleId="Char7">
    <w:name w:val="纯文本 Char"/>
    <w:qFormat/>
    <w:rPr>
      <w:rFonts w:ascii="宋体;SimSun" w:hAnsi="宋体;SimSun" w:cs="Courier New"/>
    </w:rPr>
  </w:style>
  <w:style w:type="character" w:styleId="Char11">
    <w:name w:val="纯文本 Char1"/>
    <w:basedOn w:val="Style13"/>
    <w:qFormat/>
    <w:rPr>
      <w:rFonts w:ascii="宋体;SimSun" w:hAnsi="宋体;SimSun" w:cs="Courier New"/>
      <w:kern w:val="2"/>
      <w:sz w:val="21"/>
      <w:szCs w:val="21"/>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tyle14">
    <w:name w:val="题注"/>
    <w:basedOn w:val="Normal"/>
    <w:qFormat/>
    <w:pPr>
      <w:widowControl/>
    </w:pPr>
    <w:rPr>
      <w:rFonts w:ascii="Cambria" w:hAnsi="Cambria" w:cs="宋体;SimSun"/>
      <w:kern w:val="0"/>
      <w:sz w:val="20"/>
    </w:rPr>
  </w:style>
  <w:style w:type="paragraph" w:styleId="BodyTextIndent">
    <w:name w:val="Body Text Indent"/>
    <w:basedOn w:val="Normal"/>
    <w:pPr>
      <w:tabs>
        <w:tab w:val="clear" w:pos="420"/>
        <w:tab w:val="left" w:pos="7020" w:leader="none"/>
      </w:tabs>
      <w:spacing w:lineRule="exact" w:line="600"/>
      <w:ind w:firstLine="600" w:start="0" w:end="0"/>
    </w:pPr>
    <w:rPr>
      <w:rFonts w:ascii="仿宋_GB2312" w:hAnsi="仿宋_GB2312" w:eastAsia="仿宋_GB2312"/>
      <w:sz w:val="30"/>
      <w:szCs w:val="24"/>
    </w:rPr>
  </w:style>
  <w:style w:type="paragraph" w:styleId="Style15">
    <w:name w:val="日期"/>
    <w:basedOn w:val="Normal"/>
    <w:next w:val="Normal"/>
    <w:qFormat/>
    <w:pPr/>
    <w:rPr>
      <w:rFonts w:ascii="楷体_GB2312" w:hAnsi="楷体_GB2312" w:eastAsia="楷体_GB2312"/>
      <w:sz w:val="32"/>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start"/>
    </w:pPr>
    <w:rPr>
      <w:sz w:val="18"/>
      <w:szCs w:val="18"/>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FootnoteText">
    <w:name w:val="footnote text"/>
    <w:basedOn w:val="Normal"/>
    <w:pPr>
      <w:snapToGrid w:val="false"/>
      <w:jc w:val="start"/>
    </w:pPr>
    <w:rPr>
      <w:rFonts w:ascii="Calibri" w:hAnsi="Calibri" w:cs="Calibri"/>
      <w:sz w:val="18"/>
      <w:szCs w:val="18"/>
    </w:rPr>
  </w:style>
  <w:style w:type="paragraph" w:styleId="HTML">
    <w:name w:val="HTML 预设格式"/>
    <w:basedOn w:val="Normal"/>
    <w:qFormat/>
    <w:pPr>
      <w:widowControl/>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start"/>
    </w:pPr>
    <w:rPr>
      <w:rFonts w:ascii="宋体;SimSun" w:hAnsi="宋体;SimSun" w:cs="宋体;SimSun"/>
      <w:kern w:val="0"/>
      <w:sz w:val="24"/>
      <w:szCs w:val="24"/>
    </w:rPr>
  </w:style>
  <w:style w:type="paragraph" w:styleId="Style16">
    <w:name w:val="普通(网站)"/>
    <w:basedOn w:val="Normal"/>
    <w:qFormat/>
    <w:pPr>
      <w:widowControl/>
      <w:spacing w:before="100" w:after="100"/>
      <w:jc w:val="start"/>
    </w:pPr>
    <w:rPr>
      <w:rFonts w:ascii="宋体;SimSun" w:hAnsi="宋体;SimSun" w:cs="宋体;SimSun"/>
      <w:kern w:val="0"/>
      <w:sz w:val="24"/>
      <w:szCs w:val="24"/>
      <w:lang w:val="zh-CN"/>
    </w:rPr>
  </w:style>
  <w:style w:type="paragraph" w:styleId="Style17">
    <w:name w:val="列出段落"/>
    <w:basedOn w:val="Normal"/>
    <w:qFormat/>
    <w:pPr>
      <w:ind w:firstLine="420" w:start="0" w:end="0"/>
    </w:pPr>
    <w:rPr>
      <w:rFonts w:ascii="Calibri" w:hAnsi="Calibri" w:eastAsia="宋体;SimSun" w:cs="Times New Roman"/>
      <w:szCs w:val="22"/>
    </w:rPr>
  </w:style>
  <w:style w:type="paragraph" w:styleId="Style18">
    <w:name w:val="纯文本"/>
    <w:basedOn w:val="Normal"/>
    <w:qFormat/>
    <w:pPr/>
    <w:rPr>
      <w:rFonts w:ascii="宋体;SimSun" w:hAnsi="宋体;SimSun" w:cs="Courier New"/>
      <w:kern w:val="0"/>
      <w:sz w:val="20"/>
      <w:lang w:val="zh-CN"/>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2023-04-28T17:29:00Z</dcterms:created>
  <dc:creator>费琼(编号)</dc:creator>
  <dc:description/>
  <dc:language>zh-CN</dc:language>
  <cp:lastModifiedBy>user</cp:lastModifiedBy>
  <cp:lastPrinted>2023-04-21T22:07:00Z</cp:lastPrinted>
  <dcterms:modified xsi:type="dcterms:W3CDTF">2023-04-28T17:29:00Z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FC51C9BCC847407BBE00552E0BD9C773</vt:lpwstr>
  </property>
  <property fmtid="{D5CDD505-2E9C-101B-9397-08002B2CF9AE}" pid="3" name="KSOProductBuildVer">
    <vt:lpwstr>2052-11.8.2.11718</vt:lpwstr>
  </property>
</Properties>
</file>