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fontTable.xml.rels" ContentType="application/vnd.openxmlformats-package.relationships+xml"/>
  <Override PartName="/word/_rels/document.xml.rels" ContentType="application/vnd.openxmlformats-package.relationships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s/font1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15.odttf" ContentType="application/vnd.openxmlformats-officedocument.obfuscatedFont"/>
  <Override PartName="/word/fonts/font3.odttf" ContentType="application/vnd.openxmlformats-officedocument.obfuscatedFont"/>
  <Override PartName="/word/fonts/font16.odttf" ContentType="application/vnd.openxmlformats-officedocument.obfuscatedFont"/>
  <Override PartName="/word/fonts/font4.odttf" ContentType="application/vnd.openxmlformats-officedocument.obfuscatedFont"/>
  <Override PartName="/word/fonts/font17.odttf" ContentType="application/vnd.openxmlformats-officedocument.obfuscatedFont"/>
  <Override PartName="/word/fonts/font5.odttf" ContentType="application/vnd.openxmlformats-officedocument.obfuscatedFont"/>
  <Override PartName="/word/fonts/font18.odttf" ContentType="application/vnd.openxmlformats-officedocument.obfuscatedFont"/>
  <Override PartName="/word/fonts/font6.odttf" ContentType="application/vnd.openxmlformats-officedocument.obfuscatedFont"/>
  <Override PartName="/word/fonts/font19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0.odttf" ContentType="application/vnd.openxmlformats-officedocument.obfuscatedFont"/>
  <Override PartName="/word/fonts/font13.odttf" ContentType="application/vnd.openxmlformats-officedocument.obfuscatedFont"/>
  <Override PartName="/word/fonts/font21.odttf" ContentType="application/vnd.openxmlformats-officedocument.obfuscatedFont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exact" w:line="560"/>
        <w:ind w:hanging="0"/>
        <w:rPr>
          <w:rFonts w:ascii="Times New Roman" w:hAnsi="Times New Roman" w:eastAsia="黑体" w:cs="Times New Roman"/>
          <w:spacing w:val="-4"/>
          <w:sz w:val="32"/>
          <w:szCs w:val="32"/>
          <w:highlight w:val="none"/>
          <w:lang w:val="en-US" w:eastAsia="zh-CN"/>
        </w:rPr>
      </w:pPr>
      <w:bookmarkStart w:id="0" w:name="_GoBack"/>
      <w:bookmarkEnd w:id="0"/>
      <w:r>
        <w:rPr>
          <w:rFonts w:ascii="Times New Roman" w:hAnsi="Times New Roman" w:cs="Times New Roman" w:eastAsia="黑体"/>
          <w:spacing w:val="-4"/>
          <w:sz w:val="32"/>
          <w:szCs w:val="32"/>
          <w:lang w:eastAsia="zh-CN"/>
        </w:rPr>
        <w:t>附件</w:t>
      </w:r>
      <w:r>
        <w:rPr>
          <w:rFonts w:eastAsia="黑体" w:cs="Times New Roman" w:ascii="Times New Roman" w:hAnsi="Times New Roman"/>
          <w:spacing w:val="-4"/>
          <w:sz w:val="32"/>
          <w:szCs w:val="32"/>
          <w:lang w:val="en-US" w:eastAsia="zh-CN"/>
        </w:rPr>
        <w:t>2</w:t>
      </w:r>
    </w:p>
    <w:p>
      <w:pPr>
        <w:pStyle w:val="Normal"/>
        <w:spacing w:lineRule="exact" w:line="560"/>
        <w:ind w:firstLine="824"/>
        <w:rPr>
          <w:rFonts w:ascii="Times New Roman" w:hAnsi="Times New Roman" w:eastAsia="方正大标宋简体" w:cs="Times New Roman"/>
          <w:spacing w:val="-4"/>
          <w:sz w:val="42"/>
          <w:szCs w:val="42"/>
          <w:highlight w:val="none"/>
          <w:lang w:val="en-US" w:eastAsia="zh-CN"/>
        </w:rPr>
      </w:pPr>
      <w:r>
        <w:rPr>
          <w:rFonts w:eastAsia="方正大标宋简体" w:cs="Times New Roman" w:ascii="Times New Roman" w:hAnsi="Times New Roman"/>
          <w:spacing w:val="-4"/>
          <w:sz w:val="42"/>
          <w:szCs w:val="42"/>
          <w:lang w:val="en-US" w:eastAsia="zh-CN"/>
        </w:rPr>
      </w:r>
    </w:p>
    <w:p>
      <w:pPr>
        <w:pStyle w:val="Normal"/>
        <w:spacing w:lineRule="exact" w:line="560"/>
        <w:ind w:hanging="0"/>
        <w:jc w:val="center"/>
        <w:rPr>
          <w:rFonts w:ascii="Times New Roman" w:hAnsi="Times New Roman" w:eastAsia="方正大标宋简体" w:cs="Times New Roman"/>
          <w:spacing w:val="-4"/>
          <w:sz w:val="44"/>
          <w:szCs w:val="44"/>
          <w:highlight w:val="none"/>
        </w:rPr>
      </w:pPr>
      <w:r>
        <w:rPr>
          <w:rFonts w:ascii="Times New Roman" w:hAnsi="Times New Roman" w:cs="Times New Roman" w:eastAsia="方正大标宋简体"/>
          <w:spacing w:val="-4"/>
          <w:sz w:val="44"/>
          <w:szCs w:val="44"/>
        </w:rPr>
        <w:t>《上海证券交易所上市公司证券发行上市</w:t>
      </w:r>
    </w:p>
    <w:p>
      <w:pPr>
        <w:pStyle w:val="Normal"/>
        <w:spacing w:lineRule="exact" w:line="560"/>
        <w:ind w:hanging="0"/>
        <w:jc w:val="center"/>
        <w:rPr>
          <w:rFonts w:ascii="Times New Roman" w:hAnsi="Times New Roman" w:eastAsia="方正大标宋简体" w:cs="Times New Roman"/>
          <w:spacing w:val="-4"/>
          <w:sz w:val="44"/>
          <w:szCs w:val="44"/>
          <w:highlight w:val="none"/>
        </w:rPr>
      </w:pPr>
      <w:r>
        <w:rPr>
          <w:rFonts w:ascii="Times New Roman" w:hAnsi="Times New Roman" w:cs="Times New Roman" w:eastAsia="方正大标宋简体"/>
          <w:spacing w:val="-4"/>
          <w:sz w:val="44"/>
          <w:szCs w:val="44"/>
        </w:rPr>
        <w:t>审核规则（</w:t>
      </w:r>
      <w:r>
        <w:rPr>
          <w:rFonts w:eastAsia="方正大标宋简体" w:cs="Times New Roman" w:ascii="Times New Roman" w:hAnsi="Times New Roman"/>
          <w:spacing w:val="-4"/>
          <w:sz w:val="44"/>
          <w:szCs w:val="44"/>
        </w:rPr>
        <w:t>2025</w:t>
      </w:r>
      <w:r>
        <w:rPr>
          <w:rFonts w:ascii="Times New Roman" w:hAnsi="Times New Roman" w:cs="Times New Roman" w:eastAsia="方正大标宋简体"/>
          <w:spacing w:val="-4"/>
          <w:sz w:val="44"/>
          <w:szCs w:val="44"/>
        </w:rPr>
        <w:t>年</w:t>
      </w:r>
      <w:r>
        <w:rPr>
          <w:rFonts w:eastAsia="方正大标宋简体" w:cs="Times New Roman" w:ascii="Times New Roman" w:hAnsi="Times New Roman"/>
          <w:spacing w:val="-4"/>
          <w:sz w:val="44"/>
          <w:szCs w:val="44"/>
          <w:lang w:val="en-US" w:eastAsia="zh-CN"/>
        </w:rPr>
        <w:t>4</w:t>
      </w:r>
      <w:r>
        <w:rPr>
          <w:rFonts w:ascii="Times New Roman" w:hAnsi="Times New Roman" w:cs="Times New Roman" w:eastAsia="方正大标宋简体"/>
          <w:spacing w:val="-4"/>
          <w:sz w:val="44"/>
          <w:szCs w:val="44"/>
        </w:rPr>
        <w:t>月修订）》</w:t>
      </w:r>
    </w:p>
    <w:p>
      <w:pPr>
        <w:pStyle w:val="Normal"/>
        <w:spacing w:lineRule="exact" w:line="560"/>
        <w:ind w:hanging="0"/>
        <w:jc w:val="center"/>
        <w:rPr>
          <w:rFonts w:ascii="Times New Roman" w:hAnsi="Times New Roman" w:eastAsia="方正大标宋简体" w:cs="Times New Roman"/>
          <w:spacing w:val="-4"/>
          <w:sz w:val="44"/>
          <w:szCs w:val="44"/>
          <w:highlight w:val="none"/>
        </w:rPr>
      </w:pPr>
      <w:r>
        <w:rPr>
          <w:rFonts w:ascii="Times New Roman" w:hAnsi="Times New Roman" w:cs="Times New Roman" w:eastAsia="方正大标宋简体"/>
          <w:spacing w:val="-4"/>
          <w:sz w:val="44"/>
          <w:szCs w:val="44"/>
        </w:rPr>
        <w:t>修订说明</w:t>
      </w:r>
    </w:p>
    <w:p>
      <w:pPr>
        <w:pStyle w:val="Normal"/>
        <w:numPr>
          <w:ilvl w:val="0"/>
          <w:numId w:val="0"/>
        </w:numPr>
        <w:snapToGrid w:val="false"/>
        <w:spacing w:lineRule="exact" w:line="560"/>
        <w:ind w:firstLine="640"/>
        <w:outlineLvl w:val="0"/>
        <w:rPr>
          <w:rFonts w:ascii="Times New Roman" w:hAnsi="Times New Roman" w:eastAsia="仿宋" w:cs="Times New Roman"/>
          <w:kern w:val="0"/>
          <w:sz w:val="32"/>
          <w:szCs w:val="30"/>
          <w:highlight w:val="none"/>
        </w:rPr>
      </w:pPr>
      <w:r>
        <w:rPr>
          <w:rFonts w:eastAsia="仿宋" w:cs="Times New Roman" w:ascii="Times New Roman" w:hAnsi="Times New Roman"/>
          <w:kern w:val="0"/>
          <w:sz w:val="32"/>
          <w:szCs w:val="30"/>
        </w:rPr>
      </w:r>
    </w:p>
    <w:p>
      <w:pPr>
        <w:pStyle w:val="Normal"/>
        <w:snapToGrid w:val="false"/>
        <w:spacing w:lineRule="exact" w:line="560"/>
        <w:ind w:firstLine="640"/>
        <w:rPr>
          <w:rFonts w:ascii="Times New Roman" w:hAnsi="Times New Roman" w:eastAsia="仿宋_GB2312" w:cs="Times New Roman"/>
          <w:sz w:val="32"/>
          <w:szCs w:val="32"/>
          <w:highlight w:val="none"/>
        </w:rPr>
      </w:pPr>
      <w:r>
        <w:rPr>
          <w:rFonts w:ascii="Times New Roman" w:hAnsi="Times New Roman" w:cs="Times New Roman" w:eastAsia="仿宋_GB2312"/>
          <w:kern w:val="0"/>
          <w:sz w:val="32"/>
          <w:szCs w:val="32"/>
          <w:lang w:eastAsia="zh-CN"/>
        </w:rPr>
        <w:t>为深入贯彻落实中央金融工作会议精神和《国务院关于加强监管防范风险推动资本市场高质量发展的若干意见》（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以下简称新</w:t>
      </w:r>
      <w:r>
        <w:rPr>
          <w:rFonts w:ascii="仿宋_GB2312" w:hAnsi="仿宋_GB2312" w:cs="仿宋_GB2312" w:eastAsia="仿宋_GB2312"/>
          <w:kern w:val="0"/>
          <w:sz w:val="32"/>
          <w:szCs w:val="32"/>
          <w:lang w:val="en-US" w:eastAsia="zh-CN"/>
        </w:rPr>
        <w:t>“国九条”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eastAsia="zh-CN"/>
        </w:rPr>
        <w:t>），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严格再融资审核把关，压严压实中介机构责任，</w:t>
      </w:r>
      <w:r>
        <w:rPr>
          <w:rFonts w:ascii="Times New Roman" w:hAnsi="Times New Roman" w:cs="Times New Roman" w:eastAsia="仿宋_GB2312"/>
          <w:sz w:val="32"/>
          <w:szCs w:val="32"/>
        </w:rPr>
        <w:t>根据</w:t>
      </w:r>
      <w:r>
        <w:rPr>
          <w:rFonts w:ascii="Times New Roman" w:hAnsi="Times New Roman" w:cs="Times New Roman" w:eastAsia="仿宋_GB2312"/>
          <w:sz w:val="32"/>
          <w:szCs w:val="32"/>
          <w:lang w:eastAsia="zh-CN"/>
        </w:rPr>
        <w:t>《中华人民共和国公司法》（</w:t>
      </w:r>
      <w:r>
        <w:rPr>
          <w:rFonts w:ascii="Times New Roman" w:hAnsi="Times New Roman" w:cs="Times New Roman" w:eastAsia="仿宋_GB2312"/>
          <w:sz w:val="32"/>
          <w:szCs w:val="32"/>
          <w:lang w:val="en-US" w:eastAsia="zh-CN"/>
        </w:rPr>
        <w:t>以下简称新《公司法》</w:t>
      </w:r>
      <w:r>
        <w:rPr>
          <w:rFonts w:ascii="Times New Roman" w:hAnsi="Times New Roman" w:cs="Times New Roman" w:eastAsia="仿宋_GB2312"/>
          <w:sz w:val="32"/>
          <w:szCs w:val="32"/>
          <w:lang w:eastAsia="zh-CN"/>
        </w:rPr>
        <w:t>）、</w:t>
      </w:r>
      <w:r>
        <w:rPr>
          <w:rFonts w:ascii="Times New Roman" w:hAnsi="Times New Roman" w:cs="Times New Roman" w:eastAsia="仿宋_GB2312"/>
          <w:sz w:val="32"/>
          <w:szCs w:val="32"/>
        </w:rPr>
        <w:t>《上市公司证券发行注册管理办法》及其他相关规定，</w:t>
      </w:r>
      <w:r>
        <w:rPr>
          <w:rFonts w:ascii="Times New Roman" w:hAnsi="Times New Roman" w:cs="Times New Roman" w:eastAsia="仿宋_GB2312"/>
          <w:sz w:val="32"/>
          <w:szCs w:val="32"/>
          <w:lang w:eastAsia="zh-CN"/>
        </w:rPr>
        <w:t>上海证券交易所（以下简称本所）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eastAsia="zh-CN"/>
        </w:rPr>
        <w:t>对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《上海证券交易所上市公司证券发行上市审核规则》（以下简称《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再融资审核规则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》）进行修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订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。现将有关情况说明如下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eastAsia="zh-CN"/>
        </w:rPr>
        <w:t>。</w:t>
      </w:r>
    </w:p>
    <w:p>
      <w:pPr>
        <w:pStyle w:val="Normal"/>
        <w:snapToGrid w:val="false"/>
        <w:spacing w:lineRule="exact" w:line="560"/>
        <w:ind w:firstLine="640"/>
        <w:rPr>
          <w:rFonts w:ascii="Times New Roman" w:hAnsi="Times New Roman" w:eastAsia="黑体" w:cs="Times New Roman"/>
          <w:sz w:val="32"/>
          <w:szCs w:val="32"/>
          <w:highlight w:val="none"/>
        </w:rPr>
      </w:pPr>
      <w:r>
        <w:rPr>
          <w:rFonts w:ascii="Times New Roman" w:hAnsi="Times New Roman" w:cs="Times New Roman" w:eastAsia="黑体"/>
          <w:sz w:val="32"/>
          <w:szCs w:val="32"/>
        </w:rPr>
        <w:t>一、修订背景</w:t>
      </w:r>
    </w:p>
    <w:p>
      <w:pPr>
        <w:pStyle w:val="Normal"/>
        <w:overflowPunct w:val="true"/>
        <w:snapToGrid w:val="false"/>
        <w:spacing w:lineRule="exact" w:line="560"/>
        <w:ind w:firstLine="640"/>
        <w:rPr>
          <w:rFonts w:ascii="Times New Roman" w:hAnsi="Times New Roman" w:eastAsia="仿宋_GB2312" w:cs="Times New Roman"/>
          <w:kern w:val="0"/>
          <w:sz w:val="32"/>
          <w:szCs w:val="32"/>
          <w:highlight w:val="none"/>
          <w:lang w:val="en-US" w:eastAsia="zh-CN"/>
        </w:rPr>
      </w:pPr>
      <w:r>
        <w:rPr>
          <w:rFonts w:eastAsia="仿宋_GB2312" w:cs="Times New Roman" w:ascii="Times New Roman" w:hAnsi="Times New Roman"/>
          <w:kern w:val="0"/>
          <w:sz w:val="32"/>
          <w:szCs w:val="32"/>
        </w:rPr>
        <w:t>202</w:t>
      </w:r>
      <w:r>
        <w:rPr>
          <w:rFonts w:eastAsia="仿宋_GB2312" w:cs="Times New Roman" w:ascii="Times New Roman" w:hAnsi="Times New Roman"/>
          <w:kern w:val="0"/>
          <w:sz w:val="32"/>
          <w:szCs w:val="32"/>
          <w:lang w:val="en-US" w:eastAsia="zh-CN"/>
        </w:rPr>
        <w:t>3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年</w:t>
      </w:r>
      <w:r>
        <w:rPr>
          <w:rFonts w:eastAsia="仿宋_GB2312" w:cs="Times New Roman" w:ascii="Times New Roman" w:hAnsi="Times New Roman"/>
          <w:kern w:val="0"/>
          <w:sz w:val="32"/>
          <w:szCs w:val="32"/>
          <w:lang w:val="en-US" w:eastAsia="zh-CN"/>
        </w:rPr>
        <w:t>1</w:t>
      </w:r>
      <w:r>
        <w:rPr>
          <w:rFonts w:eastAsia="仿宋_GB2312" w:cs="Times New Roman" w:ascii="Times New Roman" w:hAnsi="Times New Roman"/>
          <w:kern w:val="0"/>
          <w:sz w:val="32"/>
          <w:szCs w:val="32"/>
        </w:rPr>
        <w:t>2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月</w:t>
      </w:r>
      <w:r>
        <w:rPr>
          <w:rFonts w:eastAsia="仿宋_GB2312" w:cs="Times New Roman" w:ascii="Times New Roman" w:hAnsi="Times New Roman"/>
          <w:kern w:val="0"/>
          <w:sz w:val="32"/>
          <w:szCs w:val="32"/>
          <w:lang w:val="en-US" w:eastAsia="zh-CN"/>
        </w:rPr>
        <w:t>29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日，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新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eastAsia="zh-CN"/>
        </w:rPr>
        <w:t>《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公司法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eastAsia="zh-CN"/>
        </w:rPr>
        <w:t>》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由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eastAsia="zh-CN"/>
        </w:rPr>
        <w:t>第十四届全国人民代表大会常务委员会第七次会议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修订通过，并自</w:t>
      </w:r>
      <w:r>
        <w:rPr>
          <w:rFonts w:eastAsia="仿宋_GB2312" w:cs="Times New Roman" w:ascii="Times New Roman" w:hAnsi="Times New Roman"/>
          <w:kern w:val="0"/>
          <w:sz w:val="32"/>
          <w:szCs w:val="32"/>
          <w:lang w:val="en-US" w:eastAsia="zh-CN"/>
        </w:rPr>
        <w:t>2024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年</w:t>
      </w:r>
      <w:r>
        <w:rPr>
          <w:rFonts w:eastAsia="仿宋_GB2312" w:cs="Times New Roman" w:ascii="Times New Roman" w:hAnsi="Times New Roman"/>
          <w:kern w:val="0"/>
          <w:sz w:val="32"/>
          <w:szCs w:val="32"/>
          <w:lang w:val="en-US" w:eastAsia="zh-CN"/>
        </w:rPr>
        <w:t>7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月</w:t>
      </w:r>
      <w:r>
        <w:rPr>
          <w:rFonts w:eastAsia="仿宋_GB2312" w:cs="Times New Roman" w:ascii="Times New Roman" w:hAnsi="Times New Roman"/>
          <w:kern w:val="0"/>
          <w:sz w:val="32"/>
          <w:szCs w:val="32"/>
          <w:lang w:val="en-US" w:eastAsia="zh-CN"/>
        </w:rPr>
        <w:t>1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日起施行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。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为配合新《公司法》落地实施，全面贯彻落实</w:t>
      </w:r>
      <w:r>
        <w:rPr>
          <w:rFonts w:ascii="仿宋_GB2312" w:hAnsi="仿宋_GB2312" w:cs="仿宋_GB2312" w:eastAsia="仿宋_GB2312"/>
          <w:kern w:val="0"/>
          <w:sz w:val="32"/>
          <w:szCs w:val="32"/>
          <w:lang w:val="en-US" w:eastAsia="zh-CN"/>
        </w:rPr>
        <w:t>新“国九条”精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神，同时做好</w:t>
      </w:r>
      <w:r>
        <w:rPr>
          <w:rFonts w:ascii="Times New Roman" w:hAnsi="Times New Roman" w:cs="Times New Roman" w:eastAsia="仿宋_GB2312"/>
          <w:kern w:val="0"/>
          <w:sz w:val="32"/>
          <w:szCs w:val="32"/>
          <w:shd w:fill="auto" w:val="clear"/>
          <w:lang w:val="en-US" w:eastAsia="zh-CN"/>
        </w:rPr>
        <w:t>与</w:t>
      </w:r>
      <w:r>
        <w:rPr>
          <w:rFonts w:ascii="Times New Roman" w:hAnsi="Times New Roman" w:cs="Times New Roman" w:eastAsia="仿宋_GB2312"/>
          <w:sz w:val="32"/>
          <w:szCs w:val="32"/>
        </w:rPr>
        <w:t>《上市公司证券发行注册管理办法》</w:t>
      </w:r>
      <w:r>
        <w:rPr>
          <w:rFonts w:ascii="Times New Roman" w:hAnsi="Times New Roman" w:cs="Times New Roman" w:eastAsia="仿宋_GB2312"/>
          <w:kern w:val="0"/>
          <w:sz w:val="32"/>
          <w:szCs w:val="32"/>
          <w:shd w:fill="auto" w:val="clear"/>
          <w:lang w:val="en-US" w:eastAsia="zh-CN"/>
        </w:rPr>
        <w:t>等上位法的衔接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，本次《再融资审核规则》修订坚持目标导向、问题导向，严格再融资审核把关，加强对上市公司发行上市活动监管，压严压实中介机构责任，对审核把关机制相关规定进行了针对性的调整优化。</w:t>
      </w:r>
    </w:p>
    <w:p>
      <w:pPr>
        <w:pStyle w:val="Normal"/>
        <w:overflowPunct w:val="true"/>
        <w:snapToGrid w:val="false"/>
        <w:spacing w:lineRule="exact" w:line="560"/>
        <w:ind w:firstLine="640"/>
        <w:rPr>
          <w:rFonts w:ascii="Times New Roman" w:hAnsi="Times New Roman" w:eastAsia="黑体" w:cs="Times New Roman"/>
          <w:sz w:val="32"/>
          <w:szCs w:val="32"/>
          <w:highlight w:val="none"/>
        </w:rPr>
      </w:pPr>
      <w:r>
        <w:rPr>
          <w:rFonts w:ascii="Times New Roman" w:hAnsi="Times New Roman" w:cs="Times New Roman" w:eastAsia="黑体"/>
          <w:sz w:val="32"/>
          <w:szCs w:val="32"/>
        </w:rPr>
        <w:t>二、</w:t>
      </w:r>
      <w:r>
        <w:rPr>
          <w:rFonts w:ascii="Times New Roman" w:hAnsi="Times New Roman" w:cs="Times New Roman" w:eastAsia="黑体"/>
          <w:sz w:val="32"/>
          <w:szCs w:val="32"/>
          <w:lang w:val="en-US" w:eastAsia="zh-CN"/>
        </w:rPr>
        <w:t>主要</w:t>
      </w:r>
      <w:r>
        <w:rPr>
          <w:rFonts w:ascii="Times New Roman" w:hAnsi="Times New Roman" w:cs="Times New Roman" w:eastAsia="黑体"/>
          <w:sz w:val="32"/>
          <w:szCs w:val="32"/>
        </w:rPr>
        <w:t>修订内容</w:t>
      </w:r>
    </w:p>
    <w:p>
      <w:pPr>
        <w:pStyle w:val="Normal"/>
        <w:overflowPunct w:val="true"/>
        <w:snapToGrid w:val="false"/>
        <w:spacing w:lineRule="exact" w:line="560"/>
        <w:ind w:firstLine="640"/>
        <w:rPr>
          <w:rFonts w:ascii="Times New Roman" w:hAnsi="Times New Roman" w:eastAsia="仿宋_GB2312" w:cs="Times New Roman"/>
          <w:sz w:val="32"/>
          <w:szCs w:val="32"/>
          <w:highlight w:val="none"/>
        </w:rPr>
      </w:pPr>
      <w:r>
        <w:rPr>
          <w:rFonts w:ascii="Times New Roman" w:hAnsi="Times New Roman" w:cs="Times New Roman" w:eastAsia="仿宋_GB2312"/>
          <w:kern w:val="0"/>
          <w:sz w:val="32"/>
          <w:szCs w:val="32"/>
        </w:rPr>
        <w:t>本次修订后的《再融资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审核规则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》共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五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章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/>
        </w:rPr>
        <w:t>五十八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条，修订前后章节体例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eastAsia="zh-CN"/>
        </w:rPr>
        <w:t>保持</w:t>
      </w:r>
      <w:r>
        <w:rPr>
          <w:rFonts w:ascii="Times New Roman" w:hAnsi="Times New Roman" w:cs="Times New Roman" w:eastAsia="仿宋_GB2312"/>
          <w:kern w:val="0"/>
          <w:sz w:val="32"/>
          <w:szCs w:val="32"/>
        </w:rPr>
        <w:t>不变。本次</w:t>
      </w:r>
      <w:r>
        <w:rPr>
          <w:rFonts w:ascii="Times New Roman" w:hAnsi="Times New Roman" w:cs="Times New Roman" w:eastAsia="仿宋_GB2312"/>
          <w:sz w:val="32"/>
          <w:szCs w:val="32"/>
        </w:rPr>
        <w:t>修订的主要内容如下：</w:t>
      </w:r>
    </w:p>
    <w:p>
      <w:pPr>
        <w:pStyle w:val="Normal"/>
        <w:spacing w:lineRule="exact" w:line="560"/>
        <w:ind w:firstLine="643"/>
        <w:rPr>
          <w:rFonts w:ascii="Times New Roman" w:hAnsi="Times New Roman" w:eastAsia="仿宋_GB2312" w:cs="Times New Roman"/>
          <w:b w:val="false"/>
          <w:bCs/>
          <w:sz w:val="32"/>
          <w:szCs w:val="32"/>
          <w:highlight w:val="none"/>
          <w:lang w:val="en-US" w:eastAsia="zh-CN"/>
        </w:rPr>
      </w:pPr>
      <w:r>
        <w:rPr>
          <w:rFonts w:ascii="Times New Roman" w:hAnsi="Times New Roman" w:cs="Times New Roman" w:eastAsia="仿宋_GB2312"/>
          <w:b/>
          <w:bCs w:val="false"/>
          <w:sz w:val="32"/>
          <w:szCs w:val="32"/>
          <w:lang w:eastAsia="zh-CN"/>
        </w:rPr>
        <w:t>一是适应性调整</w:t>
      </w:r>
      <w:r>
        <w:rPr>
          <w:rFonts w:ascii="Times New Roman" w:hAnsi="Times New Roman" w:cs="Times New Roman" w:eastAsia="仿宋_GB2312"/>
          <w:b/>
          <w:bCs w:val="false"/>
          <w:sz w:val="32"/>
          <w:szCs w:val="32"/>
          <w:lang w:val="en-US" w:eastAsia="zh-CN"/>
        </w:rPr>
        <w:t>相关条款和表述</w:t>
      </w:r>
      <w:r>
        <w:rPr>
          <w:rFonts w:ascii="Times New Roman" w:hAnsi="Times New Roman" w:cs="Times New Roman" w:eastAsia="仿宋_GB2312"/>
          <w:b/>
          <w:bCs w:val="false"/>
          <w:sz w:val="32"/>
          <w:szCs w:val="32"/>
          <w:lang w:eastAsia="zh-CN"/>
        </w:rPr>
        <w:t>。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val="en-US" w:eastAsia="zh-CN"/>
        </w:rPr>
        <w:t>根据新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eastAsia="zh-CN"/>
        </w:rPr>
        <w:t>《公司法》</w:t>
      </w:r>
      <w:r>
        <w:rPr>
          <w:rFonts w:ascii="Times New Roman" w:hAnsi="Times New Roman" w:cs="Times New Roman" w:eastAsia="仿宋_GB2312"/>
          <w:sz w:val="32"/>
          <w:szCs w:val="32"/>
        </w:rPr>
        <w:t>《上市公司证券发行注册管理办法》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val="en-US" w:eastAsia="zh-CN"/>
        </w:rPr>
        <w:t>等上位法律法规的规定及修改内容，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eastAsia="zh-CN"/>
        </w:rPr>
        <w:t>将</w:t>
      </w:r>
      <w:r>
        <w:rPr>
          <w:rFonts w:ascii="仿宋_GB2312" w:hAnsi="仿宋_GB2312" w:cs="仿宋_GB2312" w:eastAsia="仿宋_GB2312"/>
          <w:b w:val="false"/>
          <w:bCs/>
          <w:sz w:val="32"/>
          <w:szCs w:val="32"/>
          <w:lang w:eastAsia="zh-CN"/>
        </w:rPr>
        <w:t>“股东大会”调整为“股东会”，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val="en-US" w:eastAsia="zh-CN"/>
        </w:rPr>
        <w:t>调整财务资助相关要求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eastAsia="zh-CN"/>
        </w:rPr>
        <w:t>，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val="en-US" w:eastAsia="zh-CN"/>
        </w:rPr>
        <w:t>删</w:t>
      </w:r>
      <w:r>
        <w:rPr>
          <w:rFonts w:ascii="仿宋_GB2312" w:hAnsi="仿宋_GB2312" w:cs="仿宋_GB2312" w:eastAsia="仿宋_GB2312"/>
          <w:b w:val="false"/>
          <w:bCs/>
          <w:sz w:val="32"/>
          <w:szCs w:val="32"/>
          <w:lang w:val="en-US" w:eastAsia="zh-CN"/>
        </w:rPr>
        <w:t>除“监事”的表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val="en-US" w:eastAsia="zh-CN"/>
        </w:rPr>
        <w:t>述，删除股份减持的相关条款。</w:t>
      </w:r>
    </w:p>
    <w:p>
      <w:pPr>
        <w:pStyle w:val="Normal"/>
        <w:spacing w:lineRule="exact" w:line="560"/>
        <w:ind w:firstLine="643"/>
        <w:rPr>
          <w:rFonts w:ascii="Times New Roman" w:hAnsi="Times New Roman" w:eastAsia="仿宋_GB2312" w:cs="Times New Roman"/>
          <w:b w:val="false"/>
          <w:bCs/>
          <w:sz w:val="32"/>
          <w:szCs w:val="32"/>
          <w:highlight w:val="none"/>
          <w:lang w:val="en-US" w:eastAsia="zh-CN"/>
        </w:rPr>
      </w:pPr>
      <w:r>
        <w:rPr>
          <w:rFonts w:ascii="Times New Roman" w:hAnsi="Times New Roman" w:cs="Times New Roman" w:eastAsia="仿宋_GB2312"/>
          <w:b/>
          <w:bCs w:val="false"/>
          <w:sz w:val="32"/>
          <w:szCs w:val="32"/>
          <w:lang w:val="en-US" w:eastAsia="zh-CN"/>
        </w:rPr>
        <w:t>二是压严压实中介机构责任。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val="en-US" w:eastAsia="zh-CN"/>
        </w:rPr>
        <w:t>充分发挥现场督导把关作用，持续健全线上线下相结合的审核把关机制；把防范财务造假、欺诈发行摆在发行审核更加突出的位置，压严压实中介机</w:t>
      </w:r>
      <w:r>
        <w:rPr>
          <w:rFonts w:ascii="仿宋_GB2312" w:hAnsi="仿宋_GB2312" w:cs="仿宋_GB2312" w:eastAsia="仿宋_GB2312"/>
          <w:b w:val="false"/>
          <w:bCs/>
          <w:sz w:val="32"/>
          <w:szCs w:val="32"/>
          <w:lang w:val="en-US" w:eastAsia="zh-CN"/>
        </w:rPr>
        <w:t>构“看门人”责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val="en-US" w:eastAsia="zh-CN"/>
        </w:rPr>
        <w:t>任，明确现场核验工作的重要性和必要性。</w:t>
      </w:r>
    </w:p>
    <w:p>
      <w:pPr>
        <w:pStyle w:val="Normal"/>
        <w:spacing w:lineRule="exact" w:line="560"/>
        <w:ind w:firstLine="643"/>
        <w:rPr>
          <w:rFonts w:ascii="Times New Roman" w:hAnsi="Times New Roman" w:eastAsia="仿宋_GB2312" w:cs="Times New Roman"/>
          <w:b w:val="false"/>
          <w:bCs/>
          <w:sz w:val="32"/>
          <w:szCs w:val="32"/>
          <w:highlight w:val="none"/>
          <w:lang w:eastAsia="zh-CN"/>
        </w:rPr>
      </w:pPr>
      <w:r>
        <w:rPr>
          <w:rFonts w:ascii="Times New Roman" w:hAnsi="Times New Roman" w:cs="Times New Roman" w:eastAsia="仿宋_GB2312"/>
          <w:b/>
          <w:bCs w:val="false"/>
          <w:sz w:val="32"/>
          <w:szCs w:val="32"/>
          <w:lang w:val="en-US" w:eastAsia="zh-CN"/>
        </w:rPr>
        <w:t>三</w:t>
      </w:r>
      <w:r>
        <w:rPr>
          <w:rFonts w:ascii="Times New Roman" w:hAnsi="Times New Roman" w:cs="Times New Roman" w:eastAsia="仿宋_GB2312"/>
          <w:b/>
          <w:bCs w:val="false"/>
          <w:sz w:val="32"/>
          <w:szCs w:val="32"/>
          <w:lang w:eastAsia="zh-CN"/>
        </w:rPr>
        <w:t>是强化自律监管</w:t>
      </w:r>
      <w:r>
        <w:rPr>
          <w:rFonts w:ascii="Times New Roman" w:hAnsi="Times New Roman" w:cs="Times New Roman" w:eastAsia="仿宋_GB2312"/>
          <w:b/>
          <w:bCs w:val="false"/>
          <w:sz w:val="32"/>
          <w:szCs w:val="32"/>
          <w:lang w:val="en-US" w:eastAsia="zh-CN"/>
        </w:rPr>
        <w:t>手段</w:t>
      </w:r>
      <w:r>
        <w:rPr>
          <w:rFonts w:ascii="Times New Roman" w:hAnsi="Times New Roman" w:cs="Times New Roman" w:eastAsia="仿宋_GB2312"/>
          <w:b/>
          <w:bCs w:val="false"/>
          <w:sz w:val="32"/>
          <w:szCs w:val="32"/>
          <w:lang w:eastAsia="zh-CN"/>
        </w:rPr>
        <w:t>。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eastAsia="zh-CN"/>
        </w:rPr>
        <w:t>强化对中介机构违规行为的纪律处分力度，增加规定中介机构组织、指使、配合财务造假等违规情形的处分依据；将中介机构和相关责任人员暂不受理文件的期限上限提高至</w:t>
      </w:r>
      <w:r>
        <w:rPr>
          <w:rFonts w:eastAsia="仿宋_GB2312" w:cs="Times New Roman" w:ascii="Times New Roman" w:hAnsi="Times New Roman"/>
          <w:b w:val="false"/>
          <w:bCs/>
          <w:sz w:val="32"/>
          <w:szCs w:val="32"/>
          <w:lang w:val="en-US" w:eastAsia="zh-CN"/>
        </w:rPr>
        <w:t>5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val="en-US" w:eastAsia="zh-CN"/>
        </w:rPr>
        <w:t>年，充分落实从严监管要求；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eastAsia="zh-CN"/>
        </w:rPr>
        <w:t>将存在累计两次不予受理情形的保荐人申报间隔期由</w:t>
      </w:r>
      <w:r>
        <w:rPr>
          <w:rFonts w:eastAsia="仿宋_GB2312" w:cs="Times New Roman" w:ascii="Times New Roman" w:hAnsi="Times New Roman"/>
          <w:b w:val="false"/>
          <w:bCs/>
          <w:sz w:val="32"/>
          <w:szCs w:val="32"/>
          <w:lang w:eastAsia="zh-CN"/>
        </w:rPr>
        <w:t>3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eastAsia="zh-CN"/>
        </w:rPr>
        <w:t>个月延长至</w:t>
      </w:r>
      <w:r>
        <w:rPr>
          <w:rFonts w:eastAsia="仿宋_GB2312" w:cs="Times New Roman" w:ascii="Times New Roman" w:hAnsi="Times New Roman"/>
          <w:b w:val="false"/>
          <w:bCs/>
          <w:sz w:val="32"/>
          <w:szCs w:val="32"/>
          <w:lang w:eastAsia="zh-CN"/>
        </w:rPr>
        <w:t>6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eastAsia="zh-CN"/>
        </w:rPr>
        <w:t>个月，新增现场检查、督导情形下主动撤回情形的申报间隔期为</w:t>
      </w:r>
      <w:r>
        <w:rPr>
          <w:rFonts w:eastAsia="仿宋_GB2312" w:cs="Times New Roman" w:ascii="Times New Roman" w:hAnsi="Times New Roman"/>
          <w:b w:val="false"/>
          <w:bCs/>
          <w:sz w:val="32"/>
          <w:szCs w:val="32"/>
          <w:lang w:eastAsia="zh-CN"/>
        </w:rPr>
        <w:t>6</w:t>
      </w:r>
      <w:r>
        <w:rPr>
          <w:rFonts w:ascii="Times New Roman" w:hAnsi="Times New Roman" w:cs="Times New Roman" w:eastAsia="仿宋_GB2312"/>
          <w:b w:val="false"/>
          <w:bCs/>
          <w:sz w:val="32"/>
          <w:szCs w:val="32"/>
          <w:lang w:eastAsia="zh-CN"/>
        </w:rPr>
        <w:t>个月。</w:t>
      </w:r>
    </w:p>
    <w:p>
      <w:pPr>
        <w:pStyle w:val="Normal"/>
        <w:numPr>
          <w:ilvl w:val="0"/>
          <w:numId w:val="0"/>
        </w:numPr>
        <w:overflowPunct w:val="true"/>
        <w:snapToGrid w:val="false"/>
        <w:spacing w:lineRule="exact" w:line="560"/>
        <w:ind w:firstLine="640"/>
        <w:outlineLvl w:val="0"/>
        <w:rPr>
          <w:rFonts w:ascii="Times New Roman" w:hAnsi="Times New Roman" w:eastAsia="黑体" w:cs="黑体"/>
          <w:sz w:val="32"/>
          <w:szCs w:val="32"/>
        </w:rPr>
      </w:pPr>
      <w:r>
        <w:rPr>
          <w:rFonts w:ascii="Times New Roman" w:hAnsi="Times New Roman" w:cs="黑体" w:eastAsia="黑体"/>
          <w:sz w:val="32"/>
          <w:szCs w:val="32"/>
        </w:rPr>
        <w:t>三、征求意见及采纳情况</w:t>
      </w:r>
    </w:p>
    <w:p>
      <w:pPr>
        <w:pStyle w:val="Normal"/>
        <w:keepNext w:val="false"/>
        <w:keepLines w:val="false"/>
        <w:pageBreakBefore w:val="false"/>
        <w:widowControl/>
        <w:overflowPunct w:val="false"/>
        <w:bidi w:val="0"/>
        <w:snapToGrid w:val="true"/>
        <w:spacing w:lineRule="exact" w:line="560"/>
        <w:ind w:firstLine="640" w:end="0"/>
        <w:jc w:val="start"/>
        <w:textAlignment w:val="auto"/>
        <w:rPr>
          <w:rFonts w:ascii="Times New Roman" w:hAnsi="Times New Roman" w:eastAsia="仿宋_GB2312"/>
          <w:color w:val="000000"/>
          <w:kern w:val="0"/>
          <w:sz w:val="28"/>
          <w:szCs w:val="28"/>
        </w:rPr>
      </w:pPr>
      <w:r>
        <w:rPr>
          <w:rFonts w:eastAsia="仿宋_GB2312" w:cs="仿宋_GB2312" w:ascii="Times New Roman" w:hAnsi="Times New Roman"/>
          <w:kern w:val="0"/>
          <w:sz w:val="32"/>
          <w:szCs w:val="32"/>
          <w:lang w:val="en-US" w:eastAsia="zh-CN" w:bidi="ar-SA"/>
        </w:rPr>
        <w:t>2024</w:t>
      </w:r>
      <w:r>
        <w:rPr>
          <w:rFonts w:ascii="Times New Roman" w:hAnsi="Times New Roman" w:cs="仿宋_GB2312" w:eastAsia="仿宋_GB2312"/>
          <w:kern w:val="0"/>
          <w:sz w:val="32"/>
          <w:szCs w:val="32"/>
          <w:lang w:val="en-US" w:eastAsia="zh-CN" w:bidi="ar-SA"/>
        </w:rPr>
        <w:t>年</w:t>
      </w:r>
      <w:r>
        <w:rPr>
          <w:rFonts w:eastAsia="仿宋_GB2312" w:cs="仿宋_GB2312" w:ascii="Times New Roman" w:hAnsi="Times New Roman"/>
          <w:kern w:val="0"/>
          <w:sz w:val="32"/>
          <w:szCs w:val="32"/>
          <w:lang w:val="en-US" w:eastAsia="zh-CN" w:bidi="ar-SA"/>
        </w:rPr>
        <w:t>12</w:t>
      </w:r>
      <w:r>
        <w:rPr>
          <w:rFonts w:ascii="Times New Roman" w:hAnsi="Times New Roman" w:cs="仿宋_GB2312" w:eastAsia="仿宋_GB2312"/>
          <w:kern w:val="0"/>
          <w:sz w:val="32"/>
          <w:szCs w:val="32"/>
          <w:lang w:val="en-US" w:eastAsia="zh-CN" w:bidi="ar-SA"/>
        </w:rPr>
        <w:t>月</w:t>
      </w:r>
      <w:r>
        <w:rPr>
          <w:rFonts w:eastAsia="仿宋_GB2312" w:cs="仿宋_GB2312" w:ascii="Times New Roman" w:hAnsi="Times New Roman"/>
          <w:kern w:val="0"/>
          <w:sz w:val="32"/>
          <w:szCs w:val="32"/>
          <w:lang w:val="en-US" w:eastAsia="zh-CN" w:bidi="ar-SA"/>
        </w:rPr>
        <w:t>27</w:t>
      </w:r>
      <w:r>
        <w:rPr>
          <w:rFonts w:ascii="Times New Roman" w:hAnsi="Times New Roman" w:cs="仿宋_GB2312" w:eastAsia="仿宋_GB2312"/>
          <w:kern w:val="0"/>
          <w:sz w:val="32"/>
          <w:szCs w:val="32"/>
          <w:lang w:val="en-US" w:eastAsia="zh-CN" w:bidi="ar-SA"/>
        </w:rPr>
        <w:t>日至</w:t>
      </w:r>
      <w:r>
        <w:rPr>
          <w:rFonts w:eastAsia="仿宋_GB2312" w:cs="仿宋_GB2312" w:ascii="Times New Roman" w:hAnsi="Times New Roman"/>
          <w:kern w:val="0"/>
          <w:sz w:val="32"/>
          <w:szCs w:val="32"/>
          <w:lang w:val="en-US" w:eastAsia="zh-CN" w:bidi="ar-SA"/>
        </w:rPr>
        <w:t>2025</w:t>
      </w:r>
      <w:r>
        <w:rPr>
          <w:rFonts w:ascii="Times New Roman" w:hAnsi="Times New Roman" w:cs="仿宋_GB2312" w:eastAsia="仿宋_GB2312"/>
          <w:kern w:val="0"/>
          <w:sz w:val="32"/>
          <w:szCs w:val="32"/>
          <w:lang w:val="en-US" w:eastAsia="zh-CN" w:bidi="ar-SA"/>
        </w:rPr>
        <w:t>年</w:t>
      </w:r>
      <w:r>
        <w:rPr>
          <w:rFonts w:eastAsia="仿宋_GB2312" w:cs="仿宋_GB2312" w:ascii="Times New Roman" w:hAnsi="Times New Roman"/>
          <w:kern w:val="0"/>
          <w:sz w:val="32"/>
          <w:szCs w:val="32"/>
          <w:lang w:val="en-US" w:eastAsia="zh-CN" w:bidi="ar-SA"/>
        </w:rPr>
        <w:t>1</w:t>
      </w:r>
      <w:r>
        <w:rPr>
          <w:rFonts w:ascii="Times New Roman" w:hAnsi="Times New Roman" w:cs="仿宋_GB2312" w:eastAsia="仿宋_GB2312"/>
          <w:kern w:val="0"/>
          <w:sz w:val="32"/>
          <w:szCs w:val="32"/>
          <w:lang w:val="en-US" w:eastAsia="zh-CN" w:bidi="ar-SA"/>
        </w:rPr>
        <w:t>月</w:t>
      </w:r>
      <w:r>
        <w:rPr>
          <w:rFonts w:eastAsia="仿宋_GB2312" w:cs="仿宋_GB2312" w:ascii="Times New Roman" w:hAnsi="Times New Roman"/>
          <w:kern w:val="0"/>
          <w:sz w:val="32"/>
          <w:szCs w:val="32"/>
          <w:lang w:val="en-US" w:eastAsia="zh-CN" w:bidi="ar-SA"/>
        </w:rPr>
        <w:t>10</w:t>
      </w:r>
      <w:r>
        <w:rPr>
          <w:rFonts w:ascii="Times New Roman" w:hAnsi="Times New Roman" w:cs="仿宋_GB2312" w:eastAsia="仿宋_GB2312"/>
          <w:kern w:val="0"/>
          <w:sz w:val="32"/>
          <w:szCs w:val="32"/>
          <w:lang w:val="en-US" w:eastAsia="zh-CN" w:bidi="ar-SA"/>
        </w:rPr>
        <w:t>日，本所就《</w:t>
      </w:r>
      <w:r>
        <w:rPr>
          <w:rFonts w:ascii="Times New Roman" w:hAnsi="Times New Roman" w:cs="Times New Roman" w:eastAsia="仿宋_GB2312"/>
          <w:kern w:val="0"/>
          <w:sz w:val="32"/>
          <w:szCs w:val="32"/>
          <w:lang w:val="en-US" w:eastAsia="zh-CN" w:bidi="ar-SA"/>
        </w:rPr>
        <w:t>再融资审核规则</w:t>
      </w:r>
      <w:r>
        <w:rPr>
          <w:rFonts w:ascii="Times New Roman" w:hAnsi="Times New Roman" w:cs="仿宋_GB2312" w:eastAsia="仿宋_GB2312"/>
          <w:kern w:val="0"/>
          <w:sz w:val="32"/>
          <w:szCs w:val="32"/>
          <w:lang w:val="en-US" w:eastAsia="zh-CN" w:bidi="ar-SA"/>
        </w:rPr>
        <w:t>》修订情况向社会公开征求意见。征求意见期间，共收到</w:t>
      </w:r>
      <w:r>
        <w:rPr>
          <w:rFonts w:eastAsia="仿宋_GB2312" w:cs="仿宋_GB2312" w:ascii="Times New Roman" w:hAnsi="Times New Roman"/>
          <w:kern w:val="0"/>
          <w:sz w:val="32"/>
          <w:szCs w:val="32"/>
          <w:lang w:val="en-US" w:eastAsia="zh-CN" w:bidi="ar-SA"/>
        </w:rPr>
        <w:t>5</w:t>
      </w:r>
      <w:r>
        <w:rPr>
          <w:rFonts w:ascii="Times New Roman" w:hAnsi="Times New Roman" w:cs="仿宋_GB2312" w:eastAsia="仿宋_GB2312"/>
          <w:kern w:val="0"/>
          <w:sz w:val="32"/>
          <w:szCs w:val="32"/>
          <w:lang w:val="en-US" w:eastAsia="zh-CN" w:bidi="ar-SA"/>
        </w:rPr>
        <w:t>条意见建议。本所对各方反馈意见进行了认真研究，对相关意见予以吸收，有关过渡期安排等意见已在规则修订中予以充分论证，后续根据实践情况进一步完善。</w:t>
      </w:r>
    </w:p>
    <w:sectPr>
      <w:headerReference w:type="even" r:id="rId2"/>
      <w:headerReference w:type="default" r:id="rId3"/>
      <w:footerReference w:type="even" r:id="rId4"/>
      <w:footerReference w:type="default" r:id="rId5"/>
      <w:type w:val="nextPage"/>
      <w:pgSz w:orient="landscape" w:w="11906" w:h="16838"/>
      <w:pgMar w:left="1588" w:right="1474" w:gutter="0" w:header="851" w:top="2098" w:footer="1417" w:bottom="1984"/>
      <w:pgNumType w:fmt="decimal"/>
      <w:formProt w:val="false"/>
      <w:textDirection w:val="lrTb"/>
      <w:docGrid w:type="lines" w:linePitch="312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  <w:embedBold r:id="rId6" w:fontKey="{06014A78-CABC-4EF0-12AC-5CD89AEFDE06}"/>
  </w:font>
  <w:font w:name="Arial">
    <w:charset w:val="00" w:characterSet="windows-1252"/>
    <w:family w:val="swiss"/>
    <w:pitch w:val="variable"/>
    <w:embedRegular r:id="rId7" w:fontKey="{07014A78-CABC-4EF0-12AC-5CD89AEFDE07}"/>
    <w:embedBold r:id="rId8" w:fontKey="{08014A78-CABC-4EF0-12AC-5CD89AEFDE08}"/>
    <w:embedItalic r:id="rId9" w:fontKey="{09014A78-CABC-4EF0-12AC-5CD89AEFDE09}"/>
    <w:embedBoldItalic r:id="rId10" w:fontKey="{0A014A78-CABC-4EF0-12AC-5CD89AEFDE0A}"/>
  </w:font>
  <w:font w:name="Liberation Serif">
    <w:altName w:val="Times New Roman"/>
    <w:charset w:val="01" w:characterSet="utf-8"/>
    <w:family w:val="roman"/>
    <w:pitch w:val="variable"/>
    <w:embedRegular r:id="rId11" w:fontKey="{0B014A78-CABC-4EF0-12AC-5CD89AEFDE0B}"/>
    <w:embedBold r:id="rId12" w:fontKey="{0C014A78-CABC-4EF0-12AC-5CD89AEFDE0C}"/>
    <w:embedItalic r:id="rId13" w:fontKey="{0D014A78-CABC-4EF0-12AC-5CD89AEFDE0D}"/>
    <w:embedBoldItalic r:id="rId14" w:fontKey="{0E014A78-CABC-4EF0-12AC-5CD89AEFDE0E}"/>
  </w:font>
  <w:font w:name="Calibri">
    <w:charset w:val="01" w:characterSet="utf-8"/>
    <w:family w:val="roman"/>
    <w:pitch w:val="variable"/>
  </w:font>
  <w:font w:name="Calibri">
    <w:charset w:val="01" w:characterSet="utf-8"/>
    <w:family w:val="swiss"/>
    <w:pitch w:val="variable"/>
  </w:font>
  <w:font w:name="仿宋_GB2312">
    <w:charset w:val="01" w:characterSet="utf-8"/>
    <w:family w:val="swiss"/>
    <w:pitch w:val="variable"/>
    <w:embedRegular r:id="rId15" w:fontKey="{0F014A78-CABC-4EF0-12AC-5CD89AEFDE0F}"/>
    <w:embedBold r:id="rId16" w:fontKey="{10014A78-CABC-4EF0-12AC-5CD89AEFDE10}"/>
  </w:font>
  <w:font w:name="Cambria">
    <w:charset w:val="01" w:characterSet="utf-8"/>
    <w:family w:val="swiss"/>
    <w:pitch w:val="variable"/>
  </w:font>
  <w:font w:name="Cambria">
    <w:charset w:val="01" w:characterSet="utf-8"/>
    <w:family w:val="roman"/>
    <w:pitch w:val="variable"/>
  </w:font>
  <w:font w:name="Times New Roman">
    <w:charset w:val="01" w:characterSet="utf-8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Liberation Sans">
    <w:altName w:val="Arial"/>
    <w:charset w:val="01" w:characterSet="utf-8"/>
    <w:family w:val="swiss"/>
    <w:pitch w:val="variable"/>
    <w:embedRegular r:id="rId17" w:fontKey="{11014A78-CABC-4EF0-12AC-5CD89AEFDE11}"/>
    <w:embedBold r:id="rId18" w:fontKey="{12014A78-CABC-4EF0-12AC-5CD89AEFDE12}"/>
    <w:embedItalic r:id="rId19" w:fontKey="{13014A78-CABC-4EF0-12AC-5CD89AEFDE13}"/>
    <w:embedBoldItalic r:id="rId20" w:fontKey="{14014A78-CABC-4EF0-12AC-5CD89AEFDE14}"/>
  </w:font>
  <w:font w:name="仿宋_GB2312">
    <w:charset w:val="01" w:characterSet="utf-8"/>
    <w:family w:val="roman"/>
    <w:pitch w:val="variable"/>
    <w:embedRegular r:id="rId21" w:fontKey="{15014A78-CABC-4EF0-12AC-5CD89AEFDE15}"/>
  </w:font>
  <w:font w:name="宋体">
    <w:charset w:val="01" w:characterSet="utf-8"/>
    <w:family w:val="swiss"/>
    <w:pitch w:val="variable"/>
  </w:font>
  <w:font w:name="宋体">
    <w:charset w:val="01" w:characterSet="utf-8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ind w:firstLine="280"/>
      <w:rPr>
        <w:rFonts w:ascii="宋体" w:hAnsi="宋体" w:eastAsia="宋体" w:cs="宋体" w:asciiTheme="minorEastAsia" w:cstheme="minorEastAsia" w:eastAsiaTheme="minorEastAsia" w:hAnsiTheme="minorEastAsia"/>
        <w:sz w:val="28"/>
        <w:szCs w:val="28"/>
      </w:rPr>
    </w:pPr>
    <w:r>
      <w:rPr>
        <w:rFonts w:eastAsia="宋体" w:cs="宋体" w:ascii="宋体" w:hAnsi="宋体" w:asciiTheme="minorEastAsia" w:cstheme="minorEastAsia" w:eastAsiaTheme="minorEastAsia" w:hAnsiTheme="minorEastAsia"/>
        <w:sz w:val="28"/>
        <w:szCs w:val="28"/>
      </w:rPr>
      <w:t>-</w:t>
    </w:r>
    <w:r>
      <w:rPr>
        <w:rFonts w:eastAsia="宋体" w:cs="宋体" w:ascii="宋体" w:hAnsi="宋体" w:asciiTheme="minorEastAsia" w:cstheme="minorEastAsia" w:eastAsiaTheme="minorEastAsia" w:hAnsiTheme="minorEastAsia"/>
        <w:sz w:val="28"/>
        <w:szCs w:val="28"/>
      </w:rPr>
      <w:fldChar w:fldCharType="begin"/>
    </w:r>
    <w:r>
      <w:rPr>
        <w:sz w:val="28"/>
        <w:szCs w:val="28"/>
        <w:rFonts w:eastAsia="宋体" w:cs="宋体" w:ascii="宋体" w:hAnsi="宋体"/>
      </w:rPr>
      <w:instrText xml:space="preserve"> PAGE </w:instrText>
    </w:r>
    <w:r>
      <w:rPr>
        <w:sz w:val="28"/>
        <w:szCs w:val="28"/>
        <w:rFonts w:eastAsia="宋体" w:cs="宋体" w:ascii="宋体" w:hAnsi="宋体"/>
      </w:rPr>
      <w:fldChar w:fldCharType="separate"/>
    </w:r>
    <w:r>
      <w:rPr>
        <w:sz w:val="28"/>
        <w:szCs w:val="28"/>
        <w:rFonts w:eastAsia="宋体" w:cs="宋体" w:ascii="宋体" w:hAnsi="宋体"/>
      </w:rPr>
      <w:t>2</w:t>
    </w:r>
    <w:r>
      <w:rPr>
        <w:sz w:val="28"/>
        <w:szCs w:val="28"/>
        <w:rFonts w:eastAsia="宋体" w:cs="宋体" w:ascii="宋体" w:hAnsi="宋体"/>
      </w:rPr>
      <w:fldChar w:fldCharType="end"/>
    </w:r>
    <w:r>
      <w:rPr>
        <w:rFonts w:eastAsia="宋体" w:cs="宋体" w:ascii="宋体" w:hAnsi="宋体" w:asciiTheme="minorEastAsia" w:cstheme="minorEastAsia" w:eastAsiaTheme="minorEastAsia" w:hAnsiTheme="minorEastAsia"/>
        <w:sz w:val="28"/>
        <w:szCs w:val="28"/>
      </w:rPr>
      <w:t>-</w:t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jc w:val="end"/>
      <w:rPr/>
    </w:pPr>
    <w:r>
      <w:rPr>
        <w:rFonts w:cs="宋体" w:ascii="宋体" w:hAnsi="宋体"/>
        <w:sz w:val="28"/>
        <w:szCs w:val="28"/>
      </w:rPr>
      <w:t>-</w:t>
    </w:r>
    <w:r>
      <w:rPr>
        <w:rFonts w:cs="宋体" w:ascii="宋体" w:hAnsi="宋体"/>
        <w:sz w:val="28"/>
        <w:szCs w:val="28"/>
      </w:rPr>
      <w:fldChar w:fldCharType="begin"/>
    </w:r>
    <w:r>
      <w:rPr>
        <w:sz w:val="28"/>
        <w:szCs w:val="28"/>
        <w:rFonts w:cs="宋体" w:ascii="宋体" w:hAnsi="宋体"/>
      </w:rPr>
      <w:instrText xml:space="preserve"> PAGE </w:instrText>
    </w:r>
    <w:r>
      <w:rPr>
        <w:sz w:val="28"/>
        <w:szCs w:val="28"/>
        <w:rFonts w:cs="宋体" w:ascii="宋体" w:hAnsi="宋体"/>
      </w:rPr>
      <w:fldChar w:fldCharType="separate"/>
    </w:r>
    <w:r>
      <w:rPr>
        <w:sz w:val="28"/>
        <w:szCs w:val="28"/>
        <w:rFonts w:cs="宋体" w:ascii="宋体" w:hAnsi="宋体"/>
      </w:rPr>
      <w:t>3</w:t>
    </w:r>
    <w:r>
      <w:rPr>
        <w:sz w:val="28"/>
        <w:szCs w:val="28"/>
        <w:rFonts w:cs="宋体" w:ascii="宋体" w:hAnsi="宋体"/>
      </w:rPr>
      <w:fldChar w:fldCharType="end"/>
    </w:r>
    <w:r>
      <w:rPr>
        <w:rFonts w:cs="宋体" w:ascii="宋体" w:hAnsi="宋体"/>
        <w:sz w:val="28"/>
        <w:szCs w:val="28"/>
      </w:rPr>
      <w:t xml:space="preserve">-  </w:t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pBdr>
        <w:bottom w:val="nil"/>
      </w:pBdr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pBdr>
        <w:bottom w:val="nil"/>
      </w:pBdr>
      <w:rPr/>
    </w:pPr>
    <w:r>
      <w:rPr/>
    </w:r>
  </w:p>
</w:hdr>
</file>

<file path=word/settings.xml><?xml version="1.0" encoding="utf-8"?>
<w:settings xmlns:w="http://schemas.openxmlformats.org/wordprocessingml/2006/main">
  <w:zoom w:percent="90"/>
  <w:trackRevisions/>
  <w:embedTrueTypeFonts/>
  <w:defaultTabStop w:val="420"/>
  <w:autoHyphenation w:val="true"/>
  <w:hyphenationZone w:val="0"/>
  <w:evenAndOddHeaders/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zh-CN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宋体" w:cs="" w:asciiTheme="minorHAnsi" w:cstheme="minorBidi" w:eastAsiaTheme="minorEastAsia" w:hAnsiTheme="minorHAnsi"/>
        <w:lang w:val="en-US" w:eastAsia="zh-CN" w:bidi="hi-IN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0">
    <w:lsdException w:name="Normal" w:uiPriority="0" w:semiHidden="0" w:unhideWhenUsed="0" w:qFormat="1"/>
    <w:lsdException w:name="heading 1" w:uiPriority="9" w:semiHidden="0" w:unhideWhenUsed="0" w:qFormat="1"/>
    <w:lsdException w:name="heading 2" w:uiPriority="9" w:semiHidden="0" w:qFormat="1"/>
    <w:lsdException w:name="heading 3" w:uiPriority="9" w:semiHidden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99"/>
    <w:lsdException w:name="index 2" w:uiPriority="99"/>
    <w:lsdException w:name="index 3" w:uiPriority="99"/>
    <w:lsdException w:name="index 4" w:uiPriority="99"/>
    <w:lsdException w:name="index 5" w:uiPriority="99"/>
    <w:lsdException w:name="index 6" w:uiPriority="99"/>
    <w:lsdException w:name="index 7" w:uiPriority="99"/>
    <w:lsdException w:name="index 8" w:uiPriority="99"/>
    <w:lsdException w:name="index 9" w:uiPriority="9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 w:semiHidden="0" w:unhideWhenUsed="0" w:qFormat="1"/>
    <w:lsdException w:name="footnote text" w:uiPriority="99"/>
    <w:lsdException w:name="annotation text" w:uiPriority="99" w:qFormat="1"/>
    <w:lsdException w:name="header" w:uiPriority="99" w:qFormat="1"/>
    <w:lsdException w:name="footer" w:uiPriority="99" w:qFormat="1"/>
    <w:lsdException w:name="index heading" w:uiPriority="99"/>
    <w:lsdException w:name="caption" w:uiPriority="35" w:qFormat="1"/>
    <w:lsdException w:name="table of figures" w:uiPriority="99"/>
    <w:lsdException w:name="envelope address" w:uiPriority="99"/>
    <w:lsdException w:name="envelope return" w:uiPriority="99"/>
    <w:lsdException w:name="footnote reference" w:uiPriority="99"/>
    <w:lsdException w:name="annotation reference" w:uiPriority="99"/>
    <w:lsdException w:name="line number" w:uiPriority="99"/>
    <w:lsdException w:name="page number" w:uiPriority="99"/>
    <w:lsdException w:name="endnote reference" w:uiPriority="99"/>
    <w:lsdException w:name="endnote text" w:uiPriority="99"/>
    <w:lsdException w:name="table of authorities" w:uiPriority="99"/>
    <w:lsdException w:name="macro" w:uiPriority="99"/>
    <w:lsdException w:name="toa heading" w:uiPriority="99"/>
    <w:lsdException w:name="List" w:uiPriority="99"/>
    <w:lsdException w:name="List Bullet" w:uiPriority="99"/>
    <w:lsdException w:name="List Number" w:uiPriority="99"/>
    <w:lsdException w:name="List 2" w:uiPriority="99"/>
    <w:lsdException w:name="List 3" w:uiPriority="99"/>
    <w:lsdException w:name="List 4" w:uiPriority="99"/>
    <w:lsdException w:name="List 5" w:uiPriority="99"/>
    <w:lsdException w:name="List Bullet 2" w:uiPriority="99"/>
    <w:lsdException w:name="List Bullet 3" w:uiPriority="99"/>
    <w:lsdException w:name="List Bullet 4" w:uiPriority="99"/>
    <w:lsdException w:name="List Bullet 5" w:uiPriority="99"/>
    <w:lsdException w:name="List Number 2" w:uiPriority="99"/>
    <w:lsdException w:name="List Number 3" w:uiPriority="99"/>
    <w:lsdException w:name="List Number 4" w:uiPriority="99"/>
    <w:lsdException w:name="List Number 5" w:uiPriority="99"/>
    <w:lsdException w:name="Title" w:uiPriority="10" w:semiHidden="0" w:unhideWhenUsed="0" w:qFormat="1"/>
    <w:lsdException w:name="Closing" w:uiPriority="99"/>
    <w:lsdException w:name="Signature" w:uiPriority="99"/>
    <w:lsdException w:name="Default Paragraph Font" w:uiPriority="1" w:qFormat="1"/>
    <w:lsdException w:name="Body Text" w:uiPriority="99"/>
    <w:lsdException w:name="Body Text Indent" w:uiPriority="99"/>
    <w:lsdException w:name="List Continue" w:uiPriority="99"/>
    <w:lsdException w:name="List Continue 2" w:uiPriority="99"/>
    <w:lsdException w:name="List Continue 3" w:uiPriority="99"/>
    <w:lsdException w:name="List Continue 4" w:uiPriority="99"/>
    <w:lsdException w:name="List Continue 5" w:uiPriority="99"/>
    <w:lsdException w:name="Message Header" w:uiPriority="99"/>
    <w:lsdException w:name="Subtitle" w:uiPriority="11" w:semiHidden="0" w:unhideWhenUsed="0" w:qFormat="1"/>
    <w:lsdException w:name="Salutation" w:uiPriority="99"/>
    <w:lsdException w:name="Date" w:uiPriority="99" w:qFormat="1"/>
    <w:lsdException w:name="Body Text First Indent" w:uiPriority="99"/>
    <w:lsdException w:name="Body Text First Indent 2" w:uiPriority="99"/>
    <w:lsdException w:name="Note Heading" w:uiPriority="99"/>
    <w:lsdException w:name="Body Text 2" w:uiPriority="99"/>
    <w:lsdException w:name="Body Text 3" w:uiPriority="99"/>
    <w:lsdException w:name="Body Text Indent 2" w:uiPriority="99"/>
    <w:lsdException w:name="Body Text Indent 3" w:uiPriority="99"/>
    <w:lsdException w:name="Block Text" w:uiPriority="99"/>
    <w:lsdException w:name="Hyperlink" w:uiPriority="99"/>
    <w:lsdException w:name="FollowedHyperlink" w:uiPriority="99"/>
    <w:lsdException w:name="Strong" w:uiPriority="22" w:semiHidden="0" w:unhideWhenUsed="0" w:qFormat="1"/>
    <w:lsdException w:name="Emphasis" w:uiPriority="20" w:semiHidden="0" w:unhideWhenUsed="0" w:qFormat="1"/>
    <w:lsdException w:name="Document Map" w:uiPriority="99"/>
    <w:lsdException w:name="Plain Text" w:uiPriority="99"/>
    <w:lsdException w:name="E-mail Signature" w:uiPriority="99"/>
    <w:lsdException w:name="Normal (Web)" w:uiPriority="99" w:qFormat="1"/>
    <w:lsdException w:name="HTML Acronym" w:uiPriority="99"/>
    <w:lsdException w:name="HTML Address" w:uiPriority="99"/>
    <w:lsdException w:name="HTML Cite" w:uiPriority="99"/>
    <w:lsdException w:name="HTML Code" w:uiPriority="99"/>
    <w:lsdException w:name="HTML Definition" w:uiPriority="99"/>
    <w:lsdException w:name="HTML Keyboard" w:uiPriority="99"/>
    <w:lsdException w:name="HTML Preformatted" w:uiPriority="99"/>
    <w:lsdException w:name="HTML Sample" w:uiPriority="99"/>
    <w:lsdException w:name="HTML Typewriter" w:uiPriority="99"/>
    <w:lsdException w:name="HTML Variable" w:uiPriority="99"/>
    <w:lsdException w:name="Normal Table" w:uiPriority="99" w:qFormat="1"/>
    <w:lsdException w:name="annotation subject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Balloon Text" w:uiPriority="99" w:qFormat="1"/>
    <w:lsdException w:name="Table Grid" w:uiPriority="39" w:semiHidden="0" w:unhideWhenUsed="0" w:qFormat="1"/>
    <w:lsdException w:name="Table Theme" w:uiPriority="99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</w:latentStyles>
  <w:style w:type="paragraph" w:styleId="Normal" w:default="1">
    <w:name w:val="Normal"/>
    <w:uiPriority w:val="0"/>
    <w:qFormat/>
    <w:pPr>
      <w:widowControl w:val="false"/>
      <w:bidi w:val="0"/>
      <w:spacing w:before="0" w:after="0"/>
      <w:jc w:val="both"/>
    </w:pPr>
    <w:rPr>
      <w:rFonts w:ascii="Calibri" w:hAnsi="Calibri" w:eastAsia="宋体" w:cs="Times New Roman" w:asciiTheme="minorHAnsi" w:eastAsiaTheme="minorEastAsia" w:hAnsiTheme="minorHAnsi"/>
      <w:color w:val="auto"/>
      <w:kern w:val="2"/>
      <w:sz w:val="21"/>
      <w:szCs w:val="22"/>
      <w:lang w:val="en-US" w:eastAsia="zh-CN" w:bidi="ar-SA"/>
    </w:rPr>
  </w:style>
  <w:style w:type="paragraph" w:styleId="Heading1">
    <w:name w:val="heading 1"/>
    <w:basedOn w:val="Normal"/>
    <w:next w:val="Normal"/>
    <w:link w:val="1Char"/>
    <w:uiPriority w:val="9"/>
    <w:qFormat/>
    <w:pPr>
      <w:keepNext w:val="true"/>
      <w:keepLines/>
      <w:spacing w:lineRule="exact" w:line="600"/>
      <w:ind w:hanging="0"/>
      <w:outlineLvl w:val="0"/>
    </w:pPr>
    <w:rPr>
      <w:rFonts w:ascii="仿宋_GB2312" w:hAnsi="仿宋_GB2312" w:eastAsia="方正大标宋简体" w:cs="Times New Roman" w:hAnsiTheme="minorHAnsi"/>
      <w:bCs/>
      <w:kern w:val="2"/>
      <w:sz w:val="44"/>
      <w:szCs w:val="44"/>
    </w:rPr>
  </w:style>
  <w:style w:type="paragraph" w:styleId="Heading2">
    <w:name w:val="heading 2"/>
    <w:basedOn w:val="NoSpacing"/>
    <w:next w:val="NoSpacing"/>
    <w:link w:val="2Char"/>
    <w:uiPriority w:val="9"/>
    <w:unhideWhenUsed/>
    <w:qFormat/>
    <w:pPr>
      <w:keepNext w:val="true"/>
      <w:keepLines/>
      <w:spacing w:lineRule="exact" w:line="600" w:before="260" w:after="260"/>
      <w:outlineLvl w:val="1"/>
    </w:pPr>
    <w:rPr>
      <w:rFonts w:ascii="Cambria" w:hAnsi="Cambria" w:eastAsia="黑体" w:cs="" w:asciiTheme="majorHAnsi" w:cstheme="majorBidi" w:hAnsiTheme="majorHAnsi"/>
      <w:b/>
      <w:bCs/>
      <w:kern w:val="0"/>
      <w:sz w:val="20"/>
      <w:szCs w:val="32"/>
    </w:rPr>
  </w:style>
  <w:style w:type="paragraph" w:styleId="Heading3">
    <w:name w:val="heading 3"/>
    <w:basedOn w:val="Normal"/>
    <w:next w:val="Normal"/>
    <w:link w:val="3Char"/>
    <w:uiPriority w:val="9"/>
    <w:unhideWhenUsed/>
    <w:qFormat/>
    <w:pPr>
      <w:keepNext w:val="true"/>
      <w:keepLines/>
      <w:spacing w:lineRule="exact" w:line="600" w:before="260" w:after="260"/>
      <w:ind w:firstLine="200" w:start="200"/>
      <w:outlineLvl w:val="2"/>
    </w:pPr>
    <w:rPr>
      <w:rFonts w:ascii="仿宋_GB2312" w:hAnsi="仿宋_GB2312" w:eastAsia="仿宋_GB2312" w:cs="Times New Roman" w:hAnsiTheme="minorHAnsi"/>
      <w:b/>
      <w:bCs/>
      <w:kern w:val="0"/>
      <w:sz w:val="20"/>
      <w:szCs w:val="32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har" w:customStyle="1">
    <w:name w:val="日期 Char"/>
    <w:basedOn w:val="DefaultParagraphFont"/>
    <w:link w:val="Date"/>
    <w:uiPriority w:val="0"/>
    <w:qFormat/>
    <w:rPr>
      <w:rFonts w:ascii="Calibri" w:hAnsi="Calibri" w:eastAsia="宋体" w:cs="Times New Roman"/>
    </w:rPr>
  </w:style>
  <w:style w:type="character" w:styleId="Char1" w:customStyle="1">
    <w:name w:val="页眉 Char"/>
    <w:basedOn w:val="DefaultParagraphFont"/>
    <w:link w:val="Header"/>
    <w:uiPriority w:val="99"/>
    <w:semiHidden/>
    <w:qFormat/>
    <w:rPr>
      <w:rFonts w:ascii="Calibri" w:hAnsi="Calibri" w:eastAsia="宋体" w:cs="Times New Roman"/>
      <w:sz w:val="18"/>
      <w:szCs w:val="18"/>
    </w:rPr>
  </w:style>
  <w:style w:type="character" w:styleId="Char2" w:customStyle="1">
    <w:name w:val="页脚 Char"/>
    <w:basedOn w:val="DefaultParagraphFont"/>
    <w:link w:val="Footer"/>
    <w:uiPriority w:val="99"/>
    <w:qFormat/>
    <w:rPr>
      <w:rFonts w:ascii="Calibri" w:hAnsi="Calibri" w:eastAsia="宋体" w:cs="Times New Roman"/>
      <w:sz w:val="18"/>
      <w:szCs w:val="18"/>
    </w:rPr>
  </w:style>
  <w:style w:type="character" w:styleId="2Char" w:customStyle="1">
    <w:name w:val="标题 2 Char"/>
    <w:basedOn w:val="DefaultParagraphFont"/>
    <w:link w:val="Heading2"/>
    <w:uiPriority w:val="9"/>
    <w:qFormat/>
    <w:rPr>
      <w:rFonts w:ascii="Cambria" w:hAnsi="Cambria" w:eastAsia="黑体" w:cs="" w:asciiTheme="majorHAnsi" w:cstheme="majorBidi" w:hAnsiTheme="majorHAnsi"/>
      <w:b/>
      <w:bCs/>
      <w:kern w:val="0"/>
      <w:sz w:val="20"/>
      <w:szCs w:val="32"/>
    </w:rPr>
  </w:style>
  <w:style w:type="character" w:styleId="3Char" w:customStyle="1">
    <w:name w:val="标题 3 Char"/>
    <w:basedOn w:val="DefaultParagraphFont"/>
    <w:link w:val="Heading3"/>
    <w:uiPriority w:val="9"/>
    <w:qFormat/>
    <w:rPr>
      <w:rFonts w:ascii="Times New Roman" w:hAnsi="Times New Roman" w:eastAsia="宋体" w:cs="Times New Roman"/>
      <w:b/>
      <w:bCs/>
      <w:kern w:val="0"/>
      <w:sz w:val="20"/>
      <w:szCs w:val="32"/>
    </w:rPr>
  </w:style>
  <w:style w:type="character" w:styleId="1Char" w:customStyle="1">
    <w:name w:val="标题 1 Char"/>
    <w:basedOn w:val="DefaultParagraphFont"/>
    <w:link w:val="Heading1"/>
    <w:uiPriority w:val="9"/>
    <w:qFormat/>
    <w:rPr>
      <w:rFonts w:ascii="Times New Roman" w:hAnsi="Times New Roman" w:eastAsia="方正大标宋简体" w:cs="Times New Roman"/>
      <w:bCs/>
      <w:kern w:val="2"/>
      <w:sz w:val="44"/>
      <w:szCs w:val="44"/>
    </w:rPr>
  </w:style>
  <w:style w:type="character" w:styleId="notclasssuffix" w:customStyle="1">
    <w:name w:val="not([class*=suffix])"/>
    <w:basedOn w:val="DefaultParagraphFont"/>
    <w:uiPriority w:val="0"/>
    <w:qFormat/>
    <w:rPr>
      <w:rFonts w:ascii="Times New Roman" w:hAnsi="Times New Roman" w:eastAsia="宋体" w:cs="Times New Roman"/>
    </w:rPr>
  </w:style>
  <w:style w:type="character" w:styleId="notclasssuffix1" w:customStyle="1">
    <w:name w:val="not([class*=suffix])1"/>
    <w:basedOn w:val="DefaultParagraphFont"/>
    <w:uiPriority w:val="0"/>
    <w:qFormat/>
    <w:rPr>
      <w:rFonts w:ascii="Times New Roman" w:hAnsi="Times New Roman" w:eastAsia="宋体" w:cs="Times New Roman"/>
      <w:sz w:val="19"/>
      <w:szCs w:val="19"/>
    </w:rPr>
  </w:style>
  <w:style w:type="character" w:styleId="text" w:customStyle="1">
    <w:name w:val="text"/>
    <w:basedOn w:val="DefaultParagraphFont"/>
    <w:uiPriority w:val="0"/>
    <w:qFormat/>
    <w:rPr>
      <w:rFonts w:ascii="Times New Roman" w:hAnsi="Times New Roman" w:eastAsia="宋体" w:cs="Times New Roman"/>
      <w:color w:val="FFFFFF"/>
      <w:sz w:val="48"/>
      <w:szCs w:val="48"/>
    </w:rPr>
  </w:style>
  <w:style w:type="character" w:styleId="last-child" w:customStyle="1">
    <w:name w:val="last-child"/>
    <w:basedOn w:val="DefaultParagraphFont"/>
    <w:uiPriority w:val="0"/>
    <w:qFormat/>
    <w:rPr>
      <w:rFonts w:ascii="Times New Roman" w:hAnsi="Times New Roman" w:eastAsia="宋体" w:cs="Times New Roman"/>
    </w:rPr>
  </w:style>
  <w:style w:type="character" w:styleId="Char3" w:customStyle="1">
    <w:name w:val="批注文字 Char"/>
    <w:basedOn w:val="DefaultParagraphFont"/>
    <w:link w:val="CommentText"/>
    <w:uiPriority w:val="99"/>
    <w:semiHidden/>
    <w:qFormat/>
    <w:rPr>
      <w:rFonts w:ascii="Times New Roman" w:hAnsi="Times New Roman" w:eastAsia="宋体" w:cs="Times New Roman"/>
      <w:szCs w:val="32"/>
    </w:rPr>
  </w:style>
  <w:style w:type="character" w:styleId="Char4" w:customStyle="1">
    <w:name w:val="批注框文本 Char"/>
    <w:basedOn w:val="DefaultParagraphFont"/>
    <w:link w:val="BalloonText"/>
    <w:uiPriority w:val="99"/>
    <w:semiHidden/>
    <w:qFormat/>
    <w:rPr>
      <w:rFonts w:ascii="Times New Roman" w:hAnsi="Times New Roman" w:eastAsia="宋体" w:cs="Times New Roman"/>
      <w:sz w:val="18"/>
      <w:szCs w:val="18"/>
    </w:rPr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 Unicode M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 Unicode MS"/>
    </w:rPr>
  </w:style>
  <w:style w:type="paragraph" w:styleId="NoSpacing">
    <w:name w:val="No Spacing"/>
    <w:uiPriority w:val="1"/>
    <w:qFormat/>
    <w:pPr>
      <w:widowControl w:val="false"/>
      <w:bidi w:val="0"/>
      <w:spacing w:before="0" w:after="0"/>
      <w:jc w:val="both"/>
    </w:pPr>
    <w:rPr>
      <w:rFonts w:ascii="仿宋_GB2312" w:hAnsi="仿宋_GB2312" w:eastAsia="仿宋_GB2312" w:cs="Times New Roman" w:hAnsiTheme="minorHAnsi"/>
      <w:color w:val="auto"/>
      <w:kern w:val="2"/>
      <w:sz w:val="30"/>
      <w:szCs w:val="30"/>
      <w:lang w:val="en-US" w:eastAsia="zh-CN" w:bidi="ar-SA"/>
    </w:rPr>
  </w:style>
  <w:style w:type="paragraph" w:styleId="NormalIndent">
    <w:name w:val="Normal Indent"/>
    <w:basedOn w:val="Normal"/>
    <w:uiPriority w:val="0"/>
    <w:qFormat/>
    <w:pPr>
      <w:spacing w:lineRule="exact" w:line="600"/>
      <w:ind w:firstLine="420"/>
    </w:pPr>
    <w:rPr>
      <w:rFonts w:ascii="Calibri" w:hAnsi="Calibri" w:eastAsia="仿宋_GB2312" w:cs="Times New Roman"/>
      <w:sz w:val="32"/>
      <w:szCs w:val="30"/>
    </w:rPr>
  </w:style>
  <w:style w:type="paragraph" w:styleId="CommentText">
    <w:name w:val="annotation text"/>
    <w:basedOn w:val="Normal"/>
    <w:link w:val="Char3"/>
    <w:uiPriority w:val="99"/>
    <w:semiHidden/>
    <w:unhideWhenUsed/>
    <w:qFormat/>
    <w:pPr>
      <w:widowControl/>
      <w:spacing w:lineRule="exact" w:line="560"/>
      <w:ind w:firstLine="200"/>
      <w:jc w:val="start"/>
    </w:pPr>
    <w:rPr>
      <w:rFonts w:ascii="Times New Roman" w:hAnsi="Times New Roman" w:eastAsia="仿宋_GB2312" w:cs="Times New Roman"/>
      <w:sz w:val="32"/>
      <w:szCs w:val="32"/>
    </w:rPr>
  </w:style>
  <w:style w:type="paragraph" w:styleId="Date">
    <w:name w:val="Date"/>
    <w:basedOn w:val="Normal"/>
    <w:next w:val="Normal"/>
    <w:link w:val="Char"/>
    <w:uiPriority w:val="99"/>
    <w:semiHidden/>
    <w:unhideWhenUsed/>
    <w:qFormat/>
    <w:pPr>
      <w:ind w:start="100"/>
    </w:pPr>
    <w:rPr/>
  </w:style>
  <w:style w:type="paragraph" w:styleId="BalloonText">
    <w:name w:val="Balloon Text"/>
    <w:basedOn w:val="Normal"/>
    <w:link w:val="Char4"/>
    <w:uiPriority w:val="99"/>
    <w:semiHidden/>
    <w:unhideWhenUsed/>
    <w:qFormat/>
    <w:pPr>
      <w:spacing w:lineRule="auto" w:line="240"/>
      <w:ind w:firstLine="200"/>
    </w:pPr>
    <w:rPr>
      <w:rFonts w:ascii="仿宋_GB2312" w:hAnsi="仿宋_GB2312" w:eastAsia="仿宋_GB2312" w:cs="Times New Roman" w:hAnsiTheme="minorHAnsi"/>
      <w:sz w:val="18"/>
      <w:szCs w:val="18"/>
    </w:rPr>
  </w:style>
  <w:style w:type="paragraph" w:styleId="HeaderandFooter">
    <w:name w:val="Header and Footer"/>
    <w:basedOn w:val="Normal"/>
    <w:qFormat/>
    <w:pPr/>
    <w:rPr/>
  </w:style>
  <w:style w:type="paragraph" w:styleId="Footer">
    <w:name w:val="footer"/>
    <w:basedOn w:val="Normal"/>
    <w:link w:val="Char2"/>
    <w:uiPriority w:val="99"/>
    <w:semiHidden/>
    <w:unhideWhenUsed/>
    <w:qFormat/>
    <w:pPr>
      <w:tabs>
        <w:tab w:val="clear" w:pos="420"/>
        <w:tab w:val="center" w:pos="4153" w:leader="none"/>
        <w:tab w:val="right" w:pos="8306" w:leader="none"/>
      </w:tabs>
      <w:snapToGrid w:val="false"/>
      <w:jc w:val="start"/>
    </w:pPr>
    <w:rPr>
      <w:sz w:val="18"/>
      <w:szCs w:val="18"/>
    </w:rPr>
  </w:style>
  <w:style w:type="paragraph" w:styleId="Header">
    <w:name w:val="header"/>
    <w:basedOn w:val="Normal"/>
    <w:link w:val="Char1"/>
    <w:uiPriority w:val="99"/>
    <w:semiHidden/>
    <w:unhideWhenUsed/>
    <w:qFormat/>
    <w:pPr>
      <w:pBdr>
        <w:bottom w:val="single" w:sz="6" w:space="1" w:color="000000"/>
      </w:pBdr>
      <w:tabs>
        <w:tab w:val="clear" w:pos="420"/>
        <w:tab w:val="center" w:pos="4153" w:leader="none"/>
        <w:tab w:val="right" w:pos="8306" w:leader="none"/>
      </w:tabs>
      <w:snapToGrid w:val="false"/>
      <w:jc w:val="center"/>
    </w:pPr>
    <w:rPr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qFormat/>
    <w:pPr>
      <w:spacing w:lineRule="exact" w:line="600" w:beforeAutospacing="1" w:afterAutospacing="1"/>
      <w:ind w:firstLine="200" w:start="0" w:end="0"/>
      <w:jc w:val="start"/>
    </w:pPr>
    <w:rPr>
      <w:rFonts w:ascii="仿宋_GB2312" w:hAnsi="仿宋_GB2312" w:eastAsia="仿宋_GB2312" w:cs="Times New Roman" w:hAnsiTheme="minorHAnsi"/>
      <w:kern w:val="0"/>
      <w:sz w:val="24"/>
      <w:szCs w:val="30"/>
      <w:lang w:val="en-US" w:eastAsia="zh-CN" w:bidi="ar-SA"/>
    </w:rPr>
  </w:style>
  <w:style w:type="table" w:default="1" w:styleId="13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14">
    <w:name w:val="Table Grid"/>
    <w:basedOn w:val="13"/>
    <w:uiPriority w:val="39"/>
    <w:qFormat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footer" Target="footer1.xml"/><Relationship Id="rId5" Type="http://schemas.openxmlformats.org/officeDocument/2006/relationships/footer" Target="footer2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
</Relationships>
</file>

<file path=word/theme/theme1.xml><?xml version="1.0" encoding="utf-8"?>
<a:theme xmlns:a="http://schemas.openxmlformats.org/drawingml/2006/main" xmlns:r="http://schemas.openxmlformats.org/officeDocument/2006/relationships" name="Office 主题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24</TotalTime>
  <Application>LibreOffice/25.2.3.2$MacOSX_AARCH64 LibreOffice_project/bbb074479178df812d175f709636b368952c2ce3</Application>
  <AppVersion>15.0000</AppVersion>
  <Pages>3</Pages>
  <Words>1004</Words>
  <Characters>1024</Characters>
  <CharactersWithSpaces>1024</CharactersWithSpaces>
  <Paragraphs>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2024-04-10T15:11:00Z</dcterms:created>
  <dc:creator>sse</dc:creator>
  <dc:description/>
  <dc:language>zh-CN</dc:language>
  <cp:lastModifiedBy>whxu</cp:lastModifiedBy>
  <cp:lastPrinted>2023-07-28T16:41:00Z</cp:lastPrinted>
  <dcterms:modified xsi:type="dcterms:W3CDTF">2025-04-25T19:02:46Z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F6B13478BD904C6716420B68DE3EF719_43</vt:lpwstr>
  </property>
  <property fmtid="{D5CDD505-2E9C-101B-9397-08002B2CF9AE}" pid="3" name="KSOProductBuildVer">
    <vt:lpwstr>2052-12.8.2.19313</vt:lpwstr>
  </property>
</Properties>
</file>