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FB203">
      <w:pPr>
        <w:spacing w:line="560" w:lineRule="exact"/>
        <w:rPr>
          <w:rFonts w:hint="default" w:ascii="Times New Roman" w:hAnsi="Times New Roman" w:eastAsia="黑体" w:cs="Times New Roman"/>
          <w:sz w:val="32"/>
          <w:szCs w:val="32"/>
          <w:lang w:val="en-US" w:eastAsia="zh"/>
        </w:rPr>
      </w:pPr>
      <w:r>
        <w:rPr>
          <w:rFonts w:hint="eastAsia" w:ascii="黑体" w:hAnsi="黑体" w:eastAsia="黑体" w:cs="黑体"/>
          <w:sz w:val="32"/>
          <w:szCs w:val="32"/>
          <w:lang w:val="en-US" w:eastAsia="zh"/>
        </w:rPr>
        <w:t>附件</w:t>
      </w:r>
      <w:r>
        <w:rPr>
          <w:rFonts w:hint="default" w:ascii="Times New Roman" w:hAnsi="Times New Roman" w:eastAsia="黑体" w:cs="Times New Roman"/>
          <w:sz w:val="32"/>
          <w:szCs w:val="32"/>
          <w:lang w:val="en-US" w:eastAsia="zh"/>
        </w:rPr>
        <w:t>1</w:t>
      </w:r>
    </w:p>
    <w:p w14:paraId="18519385">
      <w:pPr>
        <w:spacing w:line="560" w:lineRule="exact"/>
        <w:rPr>
          <w:rFonts w:hint="eastAsia" w:ascii="黑体" w:hAnsi="黑体" w:eastAsia="黑体" w:cs="黑体"/>
          <w:sz w:val="32"/>
          <w:szCs w:val="32"/>
          <w:lang w:val="en-US" w:eastAsia="zh-CN"/>
        </w:rPr>
      </w:pPr>
    </w:p>
    <w:p w14:paraId="528BCE1E">
      <w:pPr>
        <w:spacing w:line="560" w:lineRule="exact"/>
        <w:jc w:val="center"/>
        <w:rPr>
          <w:rFonts w:hint="eastAsia" w:ascii="方正大标宋简体" w:hAnsi="方正大标宋简体" w:eastAsia="方正大标宋简体" w:cs="方正大标宋简体"/>
          <w:sz w:val="44"/>
          <w:szCs w:val="44"/>
          <w:highlight w:val="none"/>
        </w:rPr>
      </w:pPr>
      <w:r>
        <w:rPr>
          <w:rFonts w:hint="eastAsia" w:ascii="方正大标宋简体" w:hAnsi="方正大标宋简体" w:eastAsia="方正大标宋简体" w:cs="方正大标宋简体"/>
          <w:sz w:val="44"/>
          <w:szCs w:val="44"/>
          <w:highlight w:val="none"/>
        </w:rPr>
        <w:t>上海证券交易所发行上市审核规则适用指引</w:t>
      </w:r>
    </w:p>
    <w:p w14:paraId="551D6F81">
      <w:pPr>
        <w:spacing w:line="560" w:lineRule="exact"/>
        <w:jc w:val="center"/>
        <w:rPr>
          <w:rFonts w:hint="eastAsia" w:ascii="方正大标宋简体" w:hAnsi="方正大标宋简体" w:eastAsia="方正大标宋简体" w:cs="方正大标宋简体"/>
          <w:sz w:val="44"/>
          <w:szCs w:val="44"/>
          <w:highlight w:val="none"/>
        </w:rPr>
      </w:pPr>
      <w:r>
        <w:rPr>
          <w:rFonts w:hint="default" w:ascii="Times New Roman" w:hAnsi="Times New Roman" w:eastAsia="方正大标宋简体" w:cs="Times New Roman"/>
          <w:sz w:val="44"/>
          <w:szCs w:val="44"/>
          <w:highlight w:val="none"/>
        </w:rPr>
        <w:t>第</w:t>
      </w:r>
      <w:r>
        <w:rPr>
          <w:rFonts w:hint="eastAsia" w:ascii="Times New Roman" w:hAnsi="Times New Roman" w:eastAsia="方正大标宋简体" w:cs="Times New Roman"/>
          <w:sz w:val="44"/>
          <w:szCs w:val="44"/>
          <w:highlight w:val="none"/>
          <w:lang w:val="en-US" w:eastAsia="zh-CN"/>
        </w:rPr>
        <w:t>8</w:t>
      </w:r>
      <w:r>
        <w:rPr>
          <w:rFonts w:hint="eastAsia" w:ascii="方正大标宋简体" w:hAnsi="方正大标宋简体" w:eastAsia="方正大标宋简体" w:cs="方正大标宋简体"/>
          <w:sz w:val="44"/>
          <w:szCs w:val="44"/>
          <w:highlight w:val="none"/>
        </w:rPr>
        <w:t>号——资深专业机构投资者</w:t>
      </w:r>
    </w:p>
    <w:p w14:paraId="42B97275">
      <w:pPr>
        <w:spacing w:line="560" w:lineRule="exact"/>
        <w:rPr>
          <w:rFonts w:hint="eastAsia" w:ascii="宋体" w:hAnsi="宋体" w:eastAsia="宋体"/>
          <w:b/>
          <w:bCs/>
          <w:kern w:val="0"/>
          <w:sz w:val="36"/>
          <w:szCs w:val="36"/>
          <w:highlight w:val="none"/>
        </w:rPr>
      </w:pPr>
    </w:p>
    <w:p w14:paraId="6F0FD419">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第一条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color w:val="000000" w:themeColor="text1"/>
          <w:sz w:val="32"/>
          <w:szCs w:val="32"/>
          <w:highlight w:val="none"/>
          <w14:textFill>
            <w14:solidFill>
              <w14:schemeClr w14:val="tx1"/>
            </w14:solidFill>
          </w14:textFill>
        </w:rPr>
        <w:t>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了</w:t>
      </w:r>
      <w:r>
        <w:rPr>
          <w:rFonts w:hint="eastAsia" w:ascii="Times New Roman" w:hAnsi="Times New Roman" w:eastAsia="仿宋_GB2312" w:cs="Times New Roman"/>
          <w:color w:val="000000"/>
          <w:sz w:val="32"/>
          <w:szCs w:val="32"/>
          <w:highlight w:val="none"/>
          <w:lang w:bidi="ar"/>
        </w:rPr>
        <w:t>规范资深专业机构投资者的认定及信息披露要求</w:t>
      </w:r>
      <w:r>
        <w:rPr>
          <w:rFonts w:ascii="Times New Roman" w:hAnsi="Times New Roman" w:eastAsia="仿宋_GB2312" w:cs="Times New Roman"/>
          <w:color w:val="000000"/>
          <w:sz w:val="32"/>
          <w:szCs w:val="32"/>
          <w:highlight w:val="none"/>
          <w:lang w:bidi="ar"/>
        </w:rPr>
        <w:t>，</w:t>
      </w:r>
      <w:r>
        <w:rPr>
          <w:rFonts w:ascii="Times New Roman" w:hAnsi="Times New Roman" w:eastAsia="仿宋_GB2312" w:cs="Times New Roman"/>
          <w:color w:val="000000" w:themeColor="text1"/>
          <w:sz w:val="32"/>
          <w:szCs w:val="32"/>
          <w:highlight w:val="none"/>
          <w14:textFill>
            <w14:solidFill>
              <w14:schemeClr w14:val="tx1"/>
            </w14:solidFill>
          </w14:textFill>
        </w:rPr>
        <w:t>健全精准识别优质科技型企业的制度机制，</w:t>
      </w:r>
      <w:r>
        <w:rPr>
          <w:rFonts w:ascii="Times New Roman" w:hAnsi="Times New Roman" w:eastAsia="仿宋_GB2312" w:cs="Times New Roman"/>
          <w:color w:val="000000"/>
          <w:sz w:val="32"/>
          <w:szCs w:val="32"/>
          <w:highlight w:val="none"/>
          <w:lang w:bidi="ar"/>
        </w:rPr>
        <w:t>发挥市</w:t>
      </w:r>
      <w:r>
        <w:rPr>
          <w:rFonts w:ascii="Times New Roman" w:hAnsi="Times New Roman" w:eastAsia="仿宋_GB2312" w:cs="Times New Roman"/>
          <w:color w:val="000000" w:themeColor="text1"/>
          <w:sz w:val="32"/>
          <w:szCs w:val="32"/>
          <w:highlight w:val="none"/>
          <w14:textFill>
            <w14:solidFill>
              <w14:schemeClr w14:val="tx1"/>
            </w14:solidFill>
          </w14:textFill>
        </w:rPr>
        <w:t>场功能，</w:t>
      </w:r>
      <w:r>
        <w:rPr>
          <w:rFonts w:ascii="Times New Roman" w:hAnsi="Times New Roman" w:eastAsia="仿宋_GB2312" w:cs="Times New Roman"/>
          <w:color w:val="000000"/>
          <w:sz w:val="32"/>
          <w:szCs w:val="32"/>
          <w:highlight w:val="none"/>
          <w:lang w:bidi="ar"/>
        </w:rPr>
        <w:t>更好服务科技创新和新质生产力发展，根据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中国证监会关于在科创板设置科创成长层 增强制度包容性适应性的意见</w:t>
      </w:r>
      <w:r>
        <w:rPr>
          <w:rFonts w:ascii="Times New Roman" w:hAnsi="Times New Roman" w:eastAsia="仿宋_GB2312" w:cs="Times New Roman"/>
          <w:sz w:val="32"/>
          <w:szCs w:val="32"/>
          <w:highlight w:val="none"/>
        </w:rPr>
        <w:t>》《上海证券交易所股票发行上市审核规则》</w:t>
      </w:r>
      <w:r>
        <w:rPr>
          <w:rFonts w:ascii="Times New Roman" w:hAnsi="Times New Roman" w:eastAsia="仿宋_GB2312" w:cs="Times New Roman"/>
          <w:color w:val="000000"/>
          <w:sz w:val="32"/>
          <w:szCs w:val="32"/>
          <w:highlight w:val="none"/>
          <w:lang w:bidi="ar"/>
        </w:rPr>
        <w:t>等规定，</w:t>
      </w:r>
      <w:r>
        <w:rPr>
          <w:rFonts w:ascii="Times New Roman" w:hAnsi="Times New Roman" w:eastAsia="仿宋_GB2312" w:cs="Times New Roman"/>
          <w:sz w:val="32"/>
          <w:szCs w:val="32"/>
          <w:highlight w:val="none"/>
        </w:rPr>
        <w:t>制定本指引。</w:t>
      </w:r>
    </w:p>
    <w:p w14:paraId="5E11128B">
      <w:pPr>
        <w:snapToGrid w:val="0"/>
        <w:spacing w:line="560" w:lineRule="exact"/>
        <w:ind w:firstLine="640" w:firstLineChars="200"/>
        <w:rPr>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第二条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发行人适用《上海证券交易所科创板股票上市规则》第2.1.2条第一款第五项规定的上市标准，申请首次公开发行股票并在科创板上市</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上海证券交易所（以下简称本所）鼓励其</w:t>
      </w:r>
      <w:r>
        <w:rPr>
          <w:rFonts w:hint="eastAsia" w:ascii="Times New Roman" w:hAnsi="Times New Roman" w:eastAsia="仿宋_GB2312" w:cs="Times New Roman"/>
          <w:sz w:val="32"/>
          <w:szCs w:val="32"/>
          <w:highlight w:val="none"/>
        </w:rPr>
        <w:t>按照本指引的规定认定资深专业机构投资者并予以披露。</w:t>
      </w:r>
    </w:p>
    <w:p w14:paraId="759D3A57">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第三条</w:t>
      </w:r>
      <w:r>
        <w:rPr>
          <w:rFonts w:hint="eastAsia" w:ascii="仿宋_GB2312" w:hAnsi="Calibri" w:eastAsia="仿宋_GB2312" w:cs="Times New Roman"/>
          <w:bCs/>
          <w:sz w:val="32"/>
          <w:szCs w:val="32"/>
          <w:highlight w:val="none"/>
        </w:rPr>
        <w:t xml:space="preserve">  </w:t>
      </w:r>
      <w:r>
        <w:rPr>
          <w:rFonts w:ascii="Times New Roman" w:hAnsi="Times New Roman" w:eastAsia="仿宋_GB2312"/>
          <w:sz w:val="32"/>
          <w:szCs w:val="32"/>
          <w:highlight w:val="none"/>
        </w:rPr>
        <w:t>本指引所称资深专业机构投资者，应当治理结构健全、管理资产规模较大、具有良好诚信记录，</w:t>
      </w:r>
      <w:r>
        <w:rPr>
          <w:rFonts w:hint="eastAsia" w:ascii="Times New Roman" w:hAnsi="Times New Roman" w:eastAsia="仿宋_GB2312"/>
          <w:sz w:val="32"/>
          <w:szCs w:val="32"/>
          <w:highlight w:val="none"/>
          <w:lang w:eastAsia="zh-CN"/>
        </w:rPr>
        <w:t>包括</w:t>
      </w:r>
      <w:r>
        <w:rPr>
          <w:rFonts w:hint="eastAsia" w:ascii="Times New Roman" w:hAnsi="Times New Roman" w:eastAsia="仿宋_GB2312" w:cs="Times New Roman"/>
          <w:sz w:val="32"/>
          <w:szCs w:val="32"/>
          <w:highlight w:val="none"/>
        </w:rPr>
        <w:t>下列</w:t>
      </w:r>
      <w:r>
        <w:rPr>
          <w:rFonts w:hint="eastAsia" w:ascii="Times New Roman" w:hAnsi="Times New Roman" w:eastAsia="仿宋_GB2312" w:cs="Times New Roman"/>
          <w:sz w:val="32"/>
          <w:szCs w:val="32"/>
          <w:highlight w:val="none"/>
          <w:lang w:val="en-US" w:eastAsia="zh-CN"/>
        </w:rPr>
        <w:t>类型的</w:t>
      </w:r>
      <w:r>
        <w:rPr>
          <w:rFonts w:hint="eastAsia" w:ascii="Times New Roman" w:hAnsi="Times New Roman" w:eastAsia="仿宋_GB2312" w:cs="Times New Roman"/>
          <w:sz w:val="32"/>
          <w:szCs w:val="32"/>
          <w:highlight w:val="none"/>
          <w:lang w:eastAsia="zh-CN"/>
        </w:rPr>
        <w:t>投资机构</w:t>
      </w:r>
      <w:r>
        <w:rPr>
          <w:rFonts w:hint="eastAsia" w:ascii="Times New Roman" w:hAnsi="Times New Roman" w:eastAsia="仿宋_GB2312" w:cs="Times New Roman"/>
          <w:sz w:val="32"/>
          <w:szCs w:val="32"/>
          <w:highlight w:val="none"/>
        </w:rPr>
        <w:t>：</w:t>
      </w:r>
    </w:p>
    <w:p w14:paraId="1EF8BDA0">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sz w:val="32"/>
          <w:szCs w:val="32"/>
          <w:highlight w:val="none"/>
          <w:lang w:eastAsia="zh-CN"/>
        </w:rPr>
        <w:t>已经</w:t>
      </w:r>
      <w:r>
        <w:rPr>
          <w:rFonts w:hint="eastAsia" w:ascii="Times New Roman" w:hAnsi="Times New Roman" w:eastAsia="仿宋_GB2312" w:cs="Times New Roman"/>
          <w:sz w:val="32"/>
          <w:szCs w:val="32"/>
          <w:highlight w:val="none"/>
        </w:rPr>
        <w:t>在中国证券投资基金业协会登记的私募股权、创业投资基金管理人，证券公司私募投资基金子公司、证券公司另类投资子公司</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证券投资基金管理公司私募股权子公司</w:t>
      </w:r>
      <w:r>
        <w:rPr>
          <w:rFonts w:hint="eastAsia" w:ascii="Times New Roman" w:hAnsi="Times New Roman" w:eastAsia="仿宋_GB2312" w:cs="Times New Roman"/>
          <w:sz w:val="32"/>
          <w:szCs w:val="32"/>
          <w:highlight w:val="none"/>
          <w:lang w:eastAsia="zh-CN"/>
        </w:rPr>
        <w:t>；</w:t>
      </w:r>
    </w:p>
    <w:p w14:paraId="60378D22">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sz w:val="32"/>
          <w:szCs w:val="32"/>
          <w:highlight w:val="none"/>
        </w:rPr>
        <w:t>政府投资基金、政府出资产业投资基金、政府引导基金等由政府出资设立的基金；</w:t>
      </w:r>
    </w:p>
    <w:p w14:paraId="2CD17071">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sz w:val="32"/>
          <w:szCs w:val="32"/>
          <w:highlight w:val="none"/>
        </w:rPr>
        <w:t>掌握关键核心技术的产业链核心企业</w:t>
      </w:r>
      <w:r>
        <w:rPr>
          <w:rFonts w:ascii="Times New Roman" w:hAnsi="Times New Roman" w:eastAsia="仿宋_GB2312" w:cs="Times New Roman"/>
          <w:sz w:val="32"/>
          <w:szCs w:val="32"/>
          <w:highlight w:val="none"/>
        </w:rPr>
        <w:t>及其设立的投资机构</w:t>
      </w:r>
      <w:r>
        <w:rPr>
          <w:rFonts w:hint="eastAsia" w:ascii="Times New Roman" w:hAnsi="Times New Roman" w:eastAsia="仿宋_GB2312" w:cs="Times New Roman"/>
          <w:sz w:val="32"/>
          <w:szCs w:val="32"/>
          <w:highlight w:val="none"/>
        </w:rPr>
        <w:t>；</w:t>
      </w:r>
    </w:p>
    <w:p w14:paraId="563EF554">
      <w:pPr>
        <w:numPr>
          <w:ilvl w:val="0"/>
          <w:numId w:val="0"/>
        </w:numPr>
        <w:snapToGrid w:val="0"/>
        <w:spacing w:line="560" w:lineRule="exact"/>
        <w:ind w:left="-11" w:leftChars="0" w:firstLine="641"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sz w:val="32"/>
          <w:szCs w:val="32"/>
          <w:highlight w:val="none"/>
        </w:rPr>
        <w:t>中国证监会或者本所认定的其他专业投资机构。</w:t>
      </w:r>
    </w:p>
    <w:p w14:paraId="6309E47E">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第四条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资深专业机构投资者应当具备较为丰富的投资经验、良好的投资</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已投资的</w:t>
      </w:r>
      <w:r>
        <w:rPr>
          <w:rFonts w:hint="eastAsia" w:ascii="Times New Roman" w:hAnsi="Times New Roman" w:eastAsia="仿宋_GB2312" w:cs="Times New Roman"/>
          <w:sz w:val="32"/>
          <w:szCs w:val="32"/>
          <w:highlight w:val="none"/>
          <w:lang w:eastAsia="zh-CN"/>
        </w:rPr>
        <w:t>科技型企业</w:t>
      </w:r>
      <w:r>
        <w:rPr>
          <w:rFonts w:hint="eastAsia" w:ascii="Times New Roman" w:hAnsi="Times New Roman" w:eastAsia="仿宋_GB2312" w:cs="Times New Roman"/>
          <w:sz w:val="32"/>
          <w:szCs w:val="32"/>
          <w:highlight w:val="none"/>
        </w:rPr>
        <w:t>中，近5年有5家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在科创板上市或者10家</w:t>
      </w:r>
      <w:r>
        <w:rPr>
          <w:rFonts w:hint="eastAsia" w:ascii="Times New Roman" w:hAnsi="Times New Roman" w:eastAsia="仿宋_GB2312" w:cs="Times New Roman"/>
          <w:sz w:val="32"/>
          <w:szCs w:val="32"/>
          <w:highlight w:val="none"/>
          <w:lang w:eastAsia="zh-CN"/>
        </w:rPr>
        <w:t>以上已</w:t>
      </w:r>
      <w:r>
        <w:rPr>
          <w:rFonts w:hint="eastAsia" w:ascii="Times New Roman" w:hAnsi="Times New Roman" w:eastAsia="仿宋_GB2312" w:cs="Times New Roman"/>
          <w:sz w:val="32"/>
          <w:szCs w:val="32"/>
          <w:highlight w:val="none"/>
        </w:rPr>
        <w:t>在境内</w:t>
      </w:r>
      <w:r>
        <w:rPr>
          <w:rFonts w:hint="eastAsia" w:ascii="Times New Roman" w:hAnsi="Times New Roman" w:eastAsia="仿宋_GB2312" w:cs="Times New Roman"/>
          <w:sz w:val="32"/>
          <w:szCs w:val="32"/>
          <w:highlight w:val="none"/>
          <w:lang w:eastAsia="zh-CN"/>
        </w:rPr>
        <w:t>外主要</w:t>
      </w:r>
      <w:r>
        <w:rPr>
          <w:rFonts w:hint="eastAsia" w:ascii="Times New Roman" w:hAnsi="Times New Roman" w:eastAsia="仿宋_GB2312" w:cs="Times New Roman"/>
          <w:sz w:val="32"/>
          <w:szCs w:val="32"/>
          <w:highlight w:val="none"/>
        </w:rPr>
        <w:t>证券交易所上市。</w:t>
      </w:r>
    </w:p>
    <w:p w14:paraId="012E408D">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本指引第三条</w:t>
      </w:r>
      <w:r>
        <w:rPr>
          <w:rFonts w:hint="eastAsia" w:ascii="Times New Roman" w:hAnsi="Times New Roman" w:eastAsia="仿宋_GB2312" w:cs="Times New Roman"/>
          <w:sz w:val="32"/>
          <w:szCs w:val="32"/>
          <w:highlight w:val="none"/>
          <w:lang w:eastAsia="zh-CN"/>
        </w:rPr>
        <w:t>第二项、第三项规定</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eastAsia="zh-CN"/>
        </w:rPr>
        <w:t>专业</w:t>
      </w:r>
      <w:r>
        <w:rPr>
          <w:rFonts w:ascii="Times New Roman" w:hAnsi="Times New Roman" w:eastAsia="仿宋_GB2312" w:cs="Times New Roman"/>
          <w:sz w:val="32"/>
          <w:szCs w:val="32"/>
          <w:highlight w:val="none"/>
        </w:rPr>
        <w:t>投资机构</w:t>
      </w:r>
      <w:r>
        <w:rPr>
          <w:rFonts w:hint="eastAsia" w:ascii="Times New Roman" w:hAnsi="Times New Roman" w:eastAsia="仿宋_GB2312" w:cs="Times New Roman"/>
          <w:sz w:val="32"/>
          <w:szCs w:val="32"/>
          <w:highlight w:val="none"/>
        </w:rPr>
        <w:t>，能够证明其具有相关专业投资经验的，其投资</w:t>
      </w:r>
      <w:r>
        <w:rPr>
          <w:rFonts w:hint="eastAsia" w:ascii="Times New Roman" w:hAnsi="Times New Roman" w:eastAsia="仿宋_GB2312" w:cs="Times New Roman"/>
          <w:sz w:val="32"/>
          <w:szCs w:val="32"/>
          <w:highlight w:val="none"/>
          <w:lang w:eastAsia="zh-CN"/>
        </w:rPr>
        <w:t>的已上市企业</w:t>
      </w:r>
      <w:r>
        <w:rPr>
          <w:rFonts w:hint="eastAsia" w:ascii="Times New Roman" w:hAnsi="Times New Roman" w:eastAsia="仿宋_GB2312" w:cs="Times New Roman"/>
          <w:sz w:val="32"/>
          <w:szCs w:val="32"/>
          <w:highlight w:val="none"/>
        </w:rPr>
        <w:t>数量可以不受前款规定的限制。</w:t>
      </w:r>
    </w:p>
    <w:p w14:paraId="12AF9FA7">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五</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资深专业机构投资者应当依法设立、业务运作合规</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rPr>
        <w:t>不存在最近三年</w:t>
      </w:r>
      <w:r>
        <w:rPr>
          <w:rFonts w:ascii="Times New Roman" w:hAnsi="Times New Roman" w:eastAsia="仿宋_GB2312"/>
          <w:sz w:val="32"/>
          <w:szCs w:val="32"/>
          <w:highlight w:val="none"/>
        </w:rPr>
        <w:t>内</w:t>
      </w:r>
      <w:r>
        <w:rPr>
          <w:rFonts w:hint="eastAsia" w:ascii="Times New Roman" w:hAnsi="Times New Roman" w:eastAsia="仿宋_GB2312" w:cs="Times New Roman"/>
          <w:sz w:val="32"/>
          <w:szCs w:val="32"/>
          <w:highlight w:val="none"/>
        </w:rPr>
        <w:t>受到行政处罚</w:t>
      </w:r>
      <w:r>
        <w:rPr>
          <w:rFonts w:hint="eastAsia" w:ascii="Times New Roman" w:hAnsi="Times New Roman" w:eastAsia="仿宋_GB2312"/>
          <w:sz w:val="32"/>
          <w:szCs w:val="32"/>
          <w:highlight w:val="none"/>
        </w:rPr>
        <w:t>或者</w:t>
      </w:r>
      <w:r>
        <w:rPr>
          <w:rFonts w:hint="eastAsia" w:ascii="Times New Roman" w:hAnsi="Times New Roman" w:eastAsia="仿宋_GB2312" w:cs="Times New Roman"/>
          <w:sz w:val="32"/>
          <w:szCs w:val="32"/>
          <w:highlight w:val="none"/>
        </w:rPr>
        <w:t>被追究刑事责任，或者因涉嫌犯罪正在被司法机关立案侦查、涉嫌违法违规正在被</w:t>
      </w:r>
      <w:r>
        <w:rPr>
          <w:rFonts w:ascii="Times New Roman" w:hAnsi="Times New Roman" w:eastAsia="仿宋_GB2312"/>
          <w:sz w:val="32"/>
          <w:szCs w:val="32"/>
          <w:highlight w:val="none"/>
        </w:rPr>
        <w:t>行政机关</w:t>
      </w:r>
      <w:r>
        <w:rPr>
          <w:rFonts w:hint="eastAsia" w:ascii="Times New Roman" w:hAnsi="Times New Roman" w:eastAsia="仿宋_GB2312" w:cs="Times New Roman"/>
          <w:sz w:val="32"/>
          <w:szCs w:val="32"/>
          <w:highlight w:val="none"/>
        </w:rPr>
        <w:t>立案调查且尚未有明确结论意见等情形。</w:t>
      </w:r>
    </w:p>
    <w:p w14:paraId="62FE75BF">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六</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应当同时满足下列</w:t>
      </w:r>
      <w:r>
        <w:rPr>
          <w:rFonts w:hint="eastAsia" w:ascii="Times New Roman" w:hAnsi="Times New Roman" w:eastAsia="仿宋_GB2312" w:cs="Times New Roman"/>
          <w:sz w:val="32"/>
          <w:szCs w:val="32"/>
          <w:highlight w:val="none"/>
          <w:lang w:val="en-US" w:eastAsia="zh-CN"/>
        </w:rPr>
        <w:t>入股时间和持股要求</w:t>
      </w:r>
      <w:r>
        <w:rPr>
          <w:rFonts w:hint="eastAsia" w:ascii="Times New Roman" w:hAnsi="Times New Roman" w:eastAsia="仿宋_GB2312" w:cs="Times New Roman"/>
          <w:sz w:val="32"/>
          <w:szCs w:val="32"/>
          <w:highlight w:val="none"/>
        </w:rPr>
        <w:t>：</w:t>
      </w:r>
    </w:p>
    <w:p w14:paraId="024F4CB5">
      <w:pPr>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（一）不迟于发行人上市申报日24个月前入股发行人；</w:t>
      </w:r>
    </w:p>
    <w:p w14:paraId="6AACEEFD">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持有发行人3%以上的股份，或者投资金额不低于5亿元；</w:t>
      </w:r>
    </w:p>
    <w:p w14:paraId="0A38A349">
      <w:pPr>
        <w:snapToGrid w:val="0"/>
        <w:spacing w:line="560" w:lineRule="exact"/>
        <w:ind w:firstLine="640" w:firstLineChars="200"/>
        <w:rPr>
          <w:rFonts w:ascii="Times New Roman" w:hAnsi="Times New Roman" w:eastAsia="仿宋_GB2312" w:cs="Times New Roman"/>
          <w:bCs/>
          <w:sz w:val="32"/>
          <w:szCs w:val="32"/>
          <w:highlight w:val="none"/>
          <w:lang w:bidi="ar"/>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bCs/>
          <w:sz w:val="32"/>
          <w:szCs w:val="32"/>
          <w:highlight w:val="none"/>
          <w:lang w:bidi="ar"/>
        </w:rPr>
        <w:t>在</w:t>
      </w:r>
      <w:r>
        <w:rPr>
          <w:rFonts w:hint="eastAsia" w:ascii="Times New Roman" w:hAnsi="Times New Roman" w:eastAsia="仿宋_GB2312" w:cs="Times New Roman"/>
          <w:bCs/>
          <w:sz w:val="32"/>
          <w:szCs w:val="32"/>
          <w:highlight w:val="none"/>
          <w:lang w:val="en-US" w:eastAsia="zh-CN" w:bidi="ar"/>
        </w:rPr>
        <w:t>发行人</w:t>
      </w:r>
      <w:r>
        <w:rPr>
          <w:rFonts w:ascii="Times New Roman" w:hAnsi="Times New Roman" w:eastAsia="仿宋_GB2312" w:cs="Times New Roman"/>
          <w:bCs/>
          <w:sz w:val="32"/>
          <w:szCs w:val="32"/>
          <w:highlight w:val="none"/>
          <w:lang w:bidi="ar"/>
        </w:rPr>
        <w:t>上市申</w:t>
      </w:r>
      <w:r>
        <w:rPr>
          <w:rFonts w:hint="eastAsia" w:ascii="Times New Roman" w:hAnsi="Times New Roman" w:eastAsia="仿宋_GB2312" w:cs="Times New Roman"/>
          <w:bCs/>
          <w:sz w:val="32"/>
          <w:szCs w:val="32"/>
          <w:highlight w:val="none"/>
          <w:lang w:bidi="ar"/>
        </w:rPr>
        <w:t>报日</w:t>
      </w:r>
      <w:r>
        <w:rPr>
          <w:rFonts w:ascii="Times New Roman" w:hAnsi="Times New Roman" w:eastAsia="仿宋_GB2312" w:cs="Times New Roman"/>
          <w:bCs/>
          <w:sz w:val="32"/>
          <w:szCs w:val="32"/>
          <w:highlight w:val="none"/>
          <w:lang w:bidi="ar"/>
        </w:rPr>
        <w:t>前</w:t>
      </w:r>
      <w:r>
        <w:rPr>
          <w:rFonts w:hint="eastAsia" w:ascii="Times New Roman" w:hAnsi="Times New Roman" w:eastAsia="仿宋_GB2312" w:cs="Times New Roman"/>
          <w:bCs/>
          <w:sz w:val="32"/>
          <w:szCs w:val="32"/>
          <w:highlight w:val="none"/>
          <w:lang w:bidi="ar"/>
        </w:rPr>
        <w:t>24</w:t>
      </w:r>
      <w:r>
        <w:rPr>
          <w:rFonts w:ascii="Times New Roman" w:hAnsi="Times New Roman" w:eastAsia="仿宋_GB2312" w:cs="Times New Roman"/>
          <w:bCs/>
          <w:sz w:val="32"/>
          <w:szCs w:val="32"/>
          <w:highlight w:val="none"/>
          <w:lang w:bidi="ar"/>
        </w:rPr>
        <w:t>个月</w:t>
      </w:r>
      <w:r>
        <w:rPr>
          <w:rFonts w:hint="eastAsia" w:ascii="Times New Roman" w:hAnsi="Times New Roman" w:eastAsia="仿宋_GB2312" w:cs="Times New Roman"/>
          <w:bCs/>
          <w:sz w:val="32"/>
          <w:szCs w:val="32"/>
          <w:highlight w:val="none"/>
          <w:lang w:bidi="ar"/>
        </w:rPr>
        <w:t>至上市申报日</w:t>
      </w:r>
      <w:r>
        <w:rPr>
          <w:rFonts w:ascii="Times New Roman" w:hAnsi="Times New Roman" w:eastAsia="仿宋_GB2312" w:cs="Times New Roman"/>
          <w:bCs/>
          <w:sz w:val="32"/>
          <w:szCs w:val="32"/>
          <w:highlight w:val="none"/>
          <w:lang w:bidi="ar"/>
        </w:rPr>
        <w:t>期间</w:t>
      </w:r>
      <w:r>
        <w:rPr>
          <w:rFonts w:hint="eastAsia" w:ascii="Times New Roman" w:hAnsi="Times New Roman" w:eastAsia="仿宋_GB2312" w:cs="Times New Roman"/>
          <w:bCs/>
          <w:sz w:val="32"/>
          <w:szCs w:val="32"/>
          <w:highlight w:val="none"/>
          <w:lang w:bidi="ar"/>
        </w:rPr>
        <w:t>的持股比例或者投资金额持续不低于前项规定</w:t>
      </w:r>
      <w:r>
        <w:rPr>
          <w:rFonts w:ascii="Times New Roman" w:hAnsi="Times New Roman" w:eastAsia="仿宋_GB2312" w:cs="Times New Roman"/>
          <w:bCs/>
          <w:sz w:val="32"/>
          <w:szCs w:val="32"/>
          <w:highlight w:val="none"/>
          <w:lang w:bidi="ar"/>
        </w:rPr>
        <w:t>。</w:t>
      </w:r>
    </w:p>
    <w:p w14:paraId="3C07B56F">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七</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应当具备独立性，自投资协议签署之日起至发行人上市申报日期间与发行人之间不存在影响独立性的关联关系。下列机构</w:t>
      </w:r>
      <w:r>
        <w:rPr>
          <w:rFonts w:hint="eastAsia" w:ascii="Times New Roman" w:hAnsi="Times New Roman" w:eastAsia="仿宋_GB2312" w:cs="Times New Roman"/>
          <w:sz w:val="32"/>
          <w:szCs w:val="32"/>
          <w:highlight w:val="none"/>
          <w:lang w:val="en-US" w:eastAsia="zh-CN"/>
        </w:rPr>
        <w:t>原则上</w:t>
      </w:r>
      <w:r>
        <w:rPr>
          <w:rFonts w:hint="eastAsia" w:ascii="Times New Roman" w:hAnsi="Times New Roman" w:eastAsia="仿宋_GB2312" w:cs="Times New Roman"/>
          <w:sz w:val="32"/>
          <w:szCs w:val="32"/>
          <w:highlight w:val="none"/>
        </w:rPr>
        <w:t>不得认定为资深专业机构投资者：</w:t>
      </w:r>
    </w:p>
    <w:p w14:paraId="2C299DB2">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发行人</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控股股东、</w:t>
      </w:r>
      <w:r>
        <w:rPr>
          <w:rFonts w:hint="eastAsia" w:ascii="Times New Roman" w:hAnsi="Times New Roman" w:eastAsia="仿宋_GB2312" w:cs="Times New Roman"/>
          <w:sz w:val="32"/>
          <w:szCs w:val="32"/>
          <w:highlight w:val="none"/>
        </w:rPr>
        <w:t>实际控制人</w:t>
      </w:r>
      <w:r>
        <w:rPr>
          <w:rFonts w:ascii="Times New Roman" w:hAnsi="Times New Roman" w:eastAsia="仿宋_GB2312" w:cs="Times New Roman"/>
          <w:sz w:val="32"/>
          <w:szCs w:val="32"/>
          <w:highlight w:val="none"/>
        </w:rPr>
        <w:t>及其一致行动人</w:t>
      </w:r>
      <w:r>
        <w:rPr>
          <w:rFonts w:hint="eastAsia" w:ascii="Times New Roman" w:hAnsi="Times New Roman" w:eastAsia="仿宋_GB2312" w:cs="Times New Roman"/>
          <w:sz w:val="32"/>
          <w:szCs w:val="32"/>
          <w:highlight w:val="none"/>
        </w:rPr>
        <w:t>等关联方直接或者间接控制的机构；</w:t>
      </w:r>
    </w:p>
    <w:p w14:paraId="5E52509F">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发行人的</w:t>
      </w:r>
      <w:r>
        <w:rPr>
          <w:rFonts w:hint="eastAsia" w:ascii="Times New Roman" w:hAnsi="Times New Roman" w:eastAsia="仿宋_GB2312" w:cs="Times New Roman"/>
          <w:sz w:val="32"/>
          <w:szCs w:val="32"/>
          <w:highlight w:val="none"/>
        </w:rPr>
        <w:t>董事、监事、高级管理人员直接或者间接控制的机构；</w:t>
      </w:r>
    </w:p>
    <w:p w14:paraId="4FACCD11">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（三）中国证监会或者本所根据实质重于形式原则认定的投资独立性可能受影响的其他机构。</w:t>
      </w:r>
    </w:p>
    <w:p w14:paraId="0FBB0BF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资深专业机构投资者与发行人受同一国有资产管理机构控制的，不因此而影响对其独立性的认定，但其法定代表人、董事长、总经理或者半数以上的董事兼任发行人董事或者高级管理人员的除外。</w:t>
      </w:r>
    </w:p>
    <w:p w14:paraId="4C453105">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仅基于相关投资行为产生的关联关系，不</w:t>
      </w:r>
      <w:r>
        <w:rPr>
          <w:rFonts w:hint="eastAsia" w:ascii="Times New Roman" w:hAnsi="Times New Roman" w:eastAsia="仿宋_GB2312" w:cs="Times New Roman"/>
          <w:sz w:val="32"/>
          <w:szCs w:val="32"/>
          <w:highlight w:val="none"/>
          <w:lang w:val="en-US" w:eastAsia="zh-CN"/>
        </w:rPr>
        <w:t>因此而</w:t>
      </w:r>
      <w:r>
        <w:rPr>
          <w:rFonts w:hint="eastAsia" w:ascii="Times New Roman" w:hAnsi="Times New Roman" w:eastAsia="仿宋_GB2312" w:cs="Times New Roman"/>
          <w:sz w:val="32"/>
          <w:szCs w:val="32"/>
          <w:highlight w:val="none"/>
        </w:rPr>
        <w:t>影响对</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独立性的认定。</w:t>
      </w:r>
    </w:p>
    <w:p w14:paraId="2012EB60">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八</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发行人根据</w:t>
      </w:r>
      <w:r>
        <w:rPr>
          <w:rFonts w:ascii="Times New Roman" w:hAnsi="Times New Roman" w:eastAsia="仿宋_GB2312" w:cs="Times New Roman"/>
          <w:sz w:val="32"/>
          <w:szCs w:val="32"/>
          <w:highlight w:val="none"/>
        </w:rPr>
        <w:t>资产管理</w:t>
      </w:r>
      <w:r>
        <w:rPr>
          <w:rFonts w:hint="eastAsia" w:ascii="Times New Roman" w:hAnsi="Times New Roman" w:eastAsia="仿宋_GB2312" w:cs="Times New Roman"/>
          <w:sz w:val="32"/>
          <w:szCs w:val="32"/>
          <w:highlight w:val="none"/>
        </w:rPr>
        <w:t>规模、</w:t>
      </w:r>
      <w:r>
        <w:rPr>
          <w:rFonts w:ascii="Times New Roman" w:hAnsi="Times New Roman" w:eastAsia="仿宋_GB2312" w:cs="Times New Roman"/>
          <w:sz w:val="32"/>
          <w:szCs w:val="32"/>
          <w:highlight w:val="none"/>
        </w:rPr>
        <w:t>专业背景</w:t>
      </w:r>
      <w:r>
        <w:rPr>
          <w:rFonts w:hint="eastAsia" w:ascii="Times New Roman" w:hAnsi="Times New Roman" w:eastAsia="仿宋_GB2312" w:cs="Times New Roman"/>
          <w:sz w:val="32"/>
          <w:szCs w:val="32"/>
          <w:highlight w:val="none"/>
        </w:rPr>
        <w:t>和技能</w:t>
      </w:r>
      <w:r>
        <w:rPr>
          <w:rFonts w:ascii="Times New Roman" w:hAnsi="Times New Roman" w:eastAsia="仿宋_GB2312" w:cs="Times New Roman"/>
          <w:sz w:val="32"/>
          <w:szCs w:val="32"/>
          <w:highlight w:val="none"/>
        </w:rPr>
        <w:t>、投资经验</w:t>
      </w:r>
      <w:r>
        <w:rPr>
          <w:rFonts w:hint="eastAsia"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记</w:t>
      </w:r>
      <w:r>
        <w:rPr>
          <w:rFonts w:hint="eastAsia" w:ascii="Times New Roman" w:hAnsi="Times New Roman" w:eastAsia="仿宋_GB2312" w:cs="Times New Roman"/>
          <w:sz w:val="32"/>
          <w:szCs w:val="32"/>
          <w:highlight w:val="none"/>
        </w:rPr>
        <w:t>录、行业地位等因素，以及本指引的规定，自主认定资深专业机构投资者</w:t>
      </w:r>
      <w:r>
        <w:rPr>
          <w:rFonts w:hint="eastAsia" w:ascii="Times New Roman" w:hAnsi="Times New Roman" w:eastAsia="仿宋_GB2312" w:cs="Times New Roman"/>
          <w:sz w:val="32"/>
          <w:szCs w:val="32"/>
          <w:highlight w:val="none"/>
          <w:lang w:eastAsia="zh"/>
        </w:rPr>
        <w:t>的</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
        </w:rPr>
        <w:t>应当</w:t>
      </w:r>
      <w:r>
        <w:rPr>
          <w:rFonts w:hint="eastAsia" w:ascii="Times New Roman" w:hAnsi="Times New Roman" w:eastAsia="仿宋_GB2312" w:cs="Times New Roman"/>
          <w:sz w:val="32"/>
          <w:szCs w:val="32"/>
          <w:highlight w:val="none"/>
        </w:rPr>
        <w:t>在招股说明书“发行人基本情况”部分披露下列</w:t>
      </w:r>
      <w:r>
        <w:rPr>
          <w:rFonts w:hint="eastAsia" w:ascii="Times New Roman" w:hAnsi="Times New Roman" w:eastAsia="仿宋_GB2312" w:cs="Times New Roman"/>
          <w:sz w:val="32"/>
          <w:szCs w:val="32"/>
          <w:highlight w:val="none"/>
          <w:lang w:eastAsia="zh-CN"/>
        </w:rPr>
        <w:t>内容</w:t>
      </w:r>
      <w:r>
        <w:rPr>
          <w:rFonts w:hint="eastAsia" w:ascii="Times New Roman" w:hAnsi="Times New Roman" w:eastAsia="仿宋_GB2312" w:cs="Times New Roman"/>
          <w:sz w:val="32"/>
          <w:szCs w:val="32"/>
          <w:highlight w:val="none"/>
        </w:rPr>
        <w:t>：</w:t>
      </w:r>
    </w:p>
    <w:p w14:paraId="7FD1705B">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（一）</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的基本情况及认定依据；</w:t>
      </w:r>
    </w:p>
    <w:p w14:paraId="07AFC7DE">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的入股时间、入股价格及定价依据、股份数量及持股比例；</w:t>
      </w:r>
    </w:p>
    <w:p w14:paraId="52BDF5ED">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（三）</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是否符合独立性要求，是否存在股份代持、不当入股</w:t>
      </w:r>
      <w:bookmarkStart w:id="0" w:name="_GoBack"/>
      <w:bookmarkEnd w:id="0"/>
      <w:r>
        <w:rPr>
          <w:rFonts w:hint="eastAsia" w:ascii="Times New Roman" w:hAnsi="Times New Roman" w:eastAsia="仿宋_GB2312" w:cs="Times New Roman"/>
          <w:sz w:val="32"/>
          <w:szCs w:val="32"/>
          <w:highlight w:val="none"/>
        </w:rPr>
        <w:t>、利益输送、商业腐败等情形；</w:t>
      </w:r>
    </w:p>
    <w:p w14:paraId="02CD4CBB">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（四）</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作出的延长股份锁定期等相关承诺（如有）；</w:t>
      </w:r>
    </w:p>
    <w:p w14:paraId="34777AC9">
      <w:pPr>
        <w:numPr>
          <w:ilvl w:val="0"/>
          <w:numId w:val="0"/>
        </w:num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lang w:val="en-US" w:eastAsia="zh-CN" w:bidi="ar-SA"/>
        </w:rPr>
        <w:t>（五）</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入股的其他相关事项。</w:t>
      </w:r>
    </w:p>
    <w:p w14:paraId="761835C5">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保荐人、发行人律师应当对发行人依照</w:t>
      </w:r>
      <w:r>
        <w:rPr>
          <w:rFonts w:hint="eastAsia" w:ascii="Times New Roman" w:hAnsi="Times New Roman" w:eastAsia="仿宋_GB2312" w:cs="Times New Roman"/>
          <w:sz w:val="32"/>
          <w:szCs w:val="32"/>
          <w:highlight w:val="none"/>
          <w:lang w:eastAsia="zh-CN"/>
        </w:rPr>
        <w:t>本条</w:t>
      </w:r>
      <w:r>
        <w:rPr>
          <w:rFonts w:hint="eastAsia" w:ascii="Times New Roman" w:hAnsi="Times New Roman" w:eastAsia="仿宋_GB2312" w:cs="Times New Roman"/>
          <w:sz w:val="32"/>
          <w:szCs w:val="32"/>
          <w:highlight w:val="none"/>
        </w:rPr>
        <w:t>前款规定</w:t>
      </w:r>
      <w:r>
        <w:rPr>
          <w:rFonts w:hint="eastAsia" w:ascii="Times New Roman" w:hAnsi="Times New Roman" w:eastAsia="仿宋_GB2312" w:cs="Times New Roman"/>
          <w:sz w:val="32"/>
          <w:szCs w:val="32"/>
          <w:highlight w:val="none"/>
          <w:lang w:eastAsia="zh-CN"/>
        </w:rPr>
        <w:t>自主认定的</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和披露的相关事项</w:t>
      </w:r>
      <w:r>
        <w:rPr>
          <w:rFonts w:hint="eastAsia" w:ascii="Times New Roman" w:hAnsi="Times New Roman" w:eastAsia="仿宋_GB2312" w:cs="Times New Roman"/>
          <w:sz w:val="32"/>
          <w:szCs w:val="32"/>
          <w:highlight w:val="none"/>
        </w:rPr>
        <w:t>进行</w:t>
      </w:r>
      <w:r>
        <w:rPr>
          <w:rFonts w:hint="eastAsia" w:ascii="Times New Roman" w:hAnsi="Times New Roman" w:eastAsia="仿宋_GB2312" w:cs="Times New Roman"/>
          <w:sz w:val="32"/>
          <w:szCs w:val="32"/>
          <w:highlight w:val="none"/>
          <w:lang w:eastAsia="zh-CN"/>
        </w:rPr>
        <w:t>审慎</w:t>
      </w:r>
      <w:r>
        <w:rPr>
          <w:rFonts w:hint="eastAsia" w:ascii="Times New Roman" w:hAnsi="Times New Roman" w:eastAsia="仿宋_GB2312" w:cs="Times New Roman"/>
          <w:sz w:val="32"/>
          <w:szCs w:val="32"/>
          <w:highlight w:val="none"/>
        </w:rPr>
        <w:t>核查，并保证所出具的文件真实、准确、完整。</w:t>
      </w:r>
    </w:p>
    <w:p w14:paraId="60CEAAE0">
      <w:pPr>
        <w:numPr>
          <w:ilvl w:val="255"/>
          <w:numId w:val="0"/>
        </w:num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九</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本所在发行上市审核中，将发行人披露的资深专业机构投资者</w:t>
      </w:r>
      <w:r>
        <w:rPr>
          <w:rFonts w:hint="eastAsia" w:ascii="Times New Roman" w:hAnsi="Times New Roman" w:eastAsia="仿宋_GB2312" w:cs="Times New Roman"/>
          <w:sz w:val="32"/>
          <w:szCs w:val="32"/>
          <w:highlight w:val="none"/>
          <w:lang w:eastAsia="zh-CN"/>
        </w:rPr>
        <w:t>相关事项</w:t>
      </w:r>
      <w:r>
        <w:rPr>
          <w:rFonts w:hint="eastAsia" w:ascii="Times New Roman" w:hAnsi="Times New Roman" w:eastAsia="仿宋_GB2312" w:cs="Times New Roman"/>
          <w:sz w:val="32"/>
          <w:szCs w:val="32"/>
          <w:highlight w:val="none"/>
        </w:rPr>
        <w:t>作为判断发行人是否符合市场认可度和成长性</w:t>
      </w:r>
      <w:r>
        <w:rPr>
          <w:rFonts w:hint="eastAsia" w:ascii="Times New Roman" w:hAnsi="Times New Roman" w:eastAsia="仿宋_GB2312" w:cs="Times New Roman"/>
          <w:color w:val="000000"/>
          <w:sz w:val="32"/>
          <w:szCs w:val="32"/>
          <w:highlight w:val="none"/>
          <w:lang w:bidi="ar"/>
        </w:rPr>
        <w:t>要求的</w:t>
      </w:r>
      <w:r>
        <w:rPr>
          <w:rFonts w:hint="eastAsia" w:ascii="Times New Roman" w:hAnsi="Times New Roman" w:eastAsia="仿宋_GB2312" w:cs="Times New Roman"/>
          <w:sz w:val="32"/>
          <w:szCs w:val="32"/>
          <w:highlight w:val="none"/>
        </w:rPr>
        <w:t>参考因素。发行人</w:t>
      </w:r>
      <w:r>
        <w:rPr>
          <w:rFonts w:hint="eastAsia" w:ascii="Times New Roman" w:hAnsi="Times New Roman" w:eastAsia="仿宋_GB2312" w:cs="Times New Roman"/>
          <w:sz w:val="32"/>
          <w:szCs w:val="32"/>
          <w:highlight w:val="none"/>
          <w:lang w:eastAsia="zh-CN"/>
        </w:rPr>
        <w:t>对</w:t>
      </w:r>
      <w:r>
        <w:rPr>
          <w:rFonts w:hint="eastAsia"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lang w:eastAsia="zh-CN"/>
        </w:rPr>
        <w:t>进行自主认定和披露</w:t>
      </w:r>
      <w:r>
        <w:rPr>
          <w:rFonts w:hint="eastAsia" w:ascii="Times New Roman" w:hAnsi="Times New Roman" w:eastAsia="仿宋_GB2312" w:cs="Times New Roman"/>
          <w:sz w:val="32"/>
          <w:szCs w:val="32"/>
          <w:highlight w:val="none"/>
        </w:rPr>
        <w:t>，不表明其符合科创属性要求或</w:t>
      </w:r>
      <w:r>
        <w:rPr>
          <w:rFonts w:hint="eastAsia" w:ascii="Times New Roman" w:hAnsi="Times New Roman" w:eastAsia="仿宋_GB2312" w:cs="Times New Roman"/>
          <w:sz w:val="32"/>
          <w:szCs w:val="32"/>
          <w:highlight w:val="none"/>
          <w:lang w:eastAsia="zh-CN"/>
        </w:rPr>
        <w:t>者</w:t>
      </w:r>
      <w:r>
        <w:rPr>
          <w:rFonts w:hint="eastAsia" w:ascii="Times New Roman" w:hAnsi="Times New Roman" w:eastAsia="仿宋_GB2312" w:cs="Times New Roman"/>
          <w:sz w:val="32"/>
          <w:szCs w:val="32"/>
          <w:highlight w:val="none"/>
        </w:rPr>
        <w:t>发行上市条件。</w:t>
      </w:r>
    </w:p>
    <w:p w14:paraId="2B731D84">
      <w:pPr>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发行人未</w:t>
      </w:r>
      <w:r>
        <w:rPr>
          <w:rFonts w:hint="eastAsia" w:ascii="Times New Roman" w:hAnsi="Times New Roman" w:eastAsia="仿宋_GB2312" w:cs="Times New Roman"/>
          <w:sz w:val="32"/>
          <w:szCs w:val="32"/>
          <w:highlight w:val="none"/>
          <w:lang w:eastAsia="zh-CN"/>
        </w:rPr>
        <w:t>认定</w:t>
      </w:r>
      <w:r>
        <w:rPr>
          <w:rFonts w:hint="eastAsia" w:ascii="Times New Roman" w:hAnsi="Times New Roman" w:eastAsia="仿宋_GB2312" w:cs="Times New Roman"/>
          <w:sz w:val="32"/>
          <w:szCs w:val="32"/>
          <w:highlight w:val="none"/>
        </w:rPr>
        <w:t>本指引规定的资深专业机构投资者，不影响其适用《上海证券交易所科创板股票上市规则》第2.1.2条第一款第五项规定的上市标准，向本所申请首次公开发行股票并在科创板上市。</w:t>
      </w:r>
    </w:p>
    <w:p w14:paraId="7C965F00">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十</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仿宋_GB2312" w:hAnsi="仿宋_GB2312" w:eastAsia="仿宋_GB2312" w:cs="仿宋_GB2312"/>
          <w:sz w:val="32"/>
          <w:szCs w:val="32"/>
          <w:highlight w:val="none"/>
        </w:rPr>
        <w:t>发行人有充分的理由和依据表明，按照本指引要求披露</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资深专业机构投资者</w:t>
      </w:r>
      <w:r>
        <w:rPr>
          <w:rFonts w:hint="eastAsia" w:ascii="仿宋_GB2312" w:hAnsi="仿宋_GB2312" w:eastAsia="仿宋_GB2312" w:cs="仿宋_GB2312"/>
          <w:sz w:val="32"/>
          <w:szCs w:val="32"/>
          <w:highlight w:val="none"/>
          <w:lang w:eastAsia="zh-CN"/>
        </w:rPr>
        <w:t>相关事项</w:t>
      </w:r>
      <w:r>
        <w:rPr>
          <w:rFonts w:hint="eastAsia" w:ascii="仿宋_GB2312" w:hAnsi="仿宋_GB2312" w:eastAsia="仿宋_GB2312" w:cs="仿宋_GB2312"/>
          <w:sz w:val="32"/>
          <w:szCs w:val="32"/>
          <w:highlight w:val="none"/>
        </w:rPr>
        <w:t>涉及国家秘密、商业秘密，或者披露后可能导致违反国家有关保密法律或严重损害公司利益的，可以按规定向本所申请豁免披露。</w:t>
      </w:r>
    </w:p>
    <w:p w14:paraId="744979C9">
      <w:pPr>
        <w:spacing w:line="56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一</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w:t>
      </w:r>
      <w:r>
        <w:rPr>
          <w:rFonts w:hint="eastAsia" w:ascii="Times New Roman" w:hAnsi="Times New Roman" w:eastAsia="仿宋_GB2312" w:cs="Times New Roman"/>
          <w:sz w:val="32"/>
          <w:szCs w:val="32"/>
          <w:highlight w:val="none"/>
        </w:rPr>
        <w:t>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、保荐人、发行人律师及其相关人员存在下列情形之一的，本所可以按照规定采取监管措施或者实施纪律处分：</w:t>
      </w:r>
    </w:p>
    <w:p w14:paraId="7FAA2688">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hint="eastAsia" w:ascii="仿宋_GB2312" w:hAnsi="仿宋_GB2312" w:eastAsia="仿宋_GB2312" w:cs="仿宋_GB2312"/>
          <w:sz w:val="32"/>
          <w:szCs w:val="32"/>
          <w:highlight w:val="none"/>
        </w:rPr>
        <w:t>发行上市申请文件中披露的资深专业机构投资者信息不真实、不准确、不完整；</w:t>
      </w:r>
    </w:p>
    <w:p w14:paraId="6F1EAA69">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（二）存在股份代持、不当入股、利益输送、商业腐败等损害投资者权益的行为；</w:t>
      </w:r>
    </w:p>
    <w:p w14:paraId="7FDD7FFB">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（三）未履行或者未完全履行依照本指引自愿作出的相关承诺；</w:t>
      </w:r>
    </w:p>
    <w:p w14:paraId="3C077752">
      <w:pPr>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（四）违反勤勉尽责义务，导致出具的核查意见中存在虚假记载、误导性陈述或者重大遗漏；</w:t>
      </w:r>
    </w:p>
    <w:p w14:paraId="291B2F4D">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（五）本所认定的其他违规行为。</w:t>
      </w:r>
    </w:p>
    <w:p w14:paraId="499177A3">
      <w:pPr>
        <w:widowControl/>
        <w:shd w:val="clear" w:color="auto" w:fill="auto"/>
        <w:wordWrap/>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本所将依照前款规定实施的纪律处分或者监管措施记入诚信档案，并可以根据情况通报中国证监会及其派出机构、地方政府和行业自律组织、在本所网站公布。</w:t>
      </w:r>
    </w:p>
    <w:p w14:paraId="06C7C2BC">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本所在实施纪律处分或者监管措施过程中，发现发行人、</w:t>
      </w:r>
      <w:r>
        <w:rPr>
          <w:rFonts w:ascii="Times New Roman" w:hAnsi="Times New Roman" w:eastAsia="仿宋_GB2312" w:cs="Times New Roman"/>
          <w:sz w:val="32"/>
          <w:szCs w:val="32"/>
          <w:highlight w:val="none"/>
        </w:rPr>
        <w:t>资深专业机构投资者</w:t>
      </w:r>
      <w:r>
        <w:rPr>
          <w:rFonts w:hint="eastAsia" w:ascii="Times New Roman" w:hAnsi="Times New Roman" w:eastAsia="仿宋_GB2312" w:cs="Times New Roman"/>
          <w:sz w:val="32"/>
          <w:szCs w:val="32"/>
          <w:highlight w:val="none"/>
        </w:rPr>
        <w:t>、保荐人、发行人律师及其相关人员的行为涉嫌违反法律、行政法规或者中国证监会相关规定的，按照相关规定报告中国证监会查处。</w:t>
      </w:r>
    </w:p>
    <w:p w14:paraId="125A028B">
      <w:pPr>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二</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本指引由本所负责解释。</w:t>
      </w:r>
    </w:p>
    <w:p w14:paraId="1E414E19">
      <w:pPr>
        <w:widowControl/>
        <w:spacing w:line="560" w:lineRule="exact"/>
        <w:ind w:firstLine="640" w:firstLineChars="200"/>
        <w:rPr>
          <w:rFonts w:ascii="仿宋_GB2312" w:hAnsi="Calibri" w:eastAsia="仿宋_GB2312" w:cs="Times New Roman"/>
          <w:bCs/>
          <w:sz w:val="32"/>
          <w:szCs w:val="32"/>
          <w:highlight w:val="none"/>
        </w:rPr>
      </w:pPr>
      <w:r>
        <w:rPr>
          <w:rFonts w:hint="eastAsia" w:ascii="黑体" w:hAnsi="黑体" w:eastAsia="黑体" w:cs="Times New Roman"/>
          <w:color w:val="000000" w:themeColor="text1"/>
          <w:sz w:val="32"/>
          <w:szCs w:val="32"/>
          <w:highlight w:val="none"/>
          <w14:textFill>
            <w14:solidFill>
              <w14:schemeClr w14:val="tx1"/>
            </w14:solidFill>
          </w14:textFill>
        </w:rPr>
        <w:t>第十</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三</w:t>
      </w:r>
      <w:r>
        <w:rPr>
          <w:rFonts w:hint="eastAsia" w:ascii="黑体" w:hAnsi="黑体" w:eastAsia="黑体" w:cs="Times New Roman"/>
          <w:color w:val="000000" w:themeColor="text1"/>
          <w:sz w:val="32"/>
          <w:szCs w:val="32"/>
          <w:highlight w:val="none"/>
          <w14:textFill>
            <w14:solidFill>
              <w14:schemeClr w14:val="tx1"/>
            </w14:solidFill>
          </w14:textFill>
        </w:rPr>
        <w:t>条</w:t>
      </w:r>
      <w:r>
        <w:rPr>
          <w:rFonts w:hint="eastAsia" w:ascii="仿宋_GB2312" w:hAnsi="Calibri" w:eastAsia="仿宋_GB2312" w:cs="Times New Roman"/>
          <w:bCs/>
          <w:sz w:val="32"/>
          <w:szCs w:val="32"/>
          <w:highlight w:val="none"/>
        </w:rPr>
        <w:t xml:space="preserve">  本指引自发布之日起施行。</w:t>
      </w:r>
    </w:p>
    <w:p w14:paraId="657ABAEF">
      <w:pPr>
        <w:snapToGrid w:val="0"/>
        <w:spacing w:line="560" w:lineRule="exact"/>
        <w:ind w:firstLine="640" w:firstLineChars="200"/>
        <w:rPr>
          <w:rFonts w:ascii="Times New Roman" w:hAnsi="Times New Roman" w:eastAsia="仿宋_GB2312" w:cs="Times New Roman"/>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Arial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BD2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4DCDBD">
                    <w:pPr>
                      <w:pStyle w:val="6"/>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B92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35A0"/>
    <w:rsid w:val="00003ED8"/>
    <w:rsid w:val="00037469"/>
    <w:rsid w:val="000F7C4D"/>
    <w:rsid w:val="00181ADF"/>
    <w:rsid w:val="001A0444"/>
    <w:rsid w:val="001B5712"/>
    <w:rsid w:val="001C778E"/>
    <w:rsid w:val="001D31DA"/>
    <w:rsid w:val="001E6C47"/>
    <w:rsid w:val="001F1442"/>
    <w:rsid w:val="00203156"/>
    <w:rsid w:val="00206A66"/>
    <w:rsid w:val="0021593E"/>
    <w:rsid w:val="002400FA"/>
    <w:rsid w:val="0024655A"/>
    <w:rsid w:val="00322013"/>
    <w:rsid w:val="00325A9E"/>
    <w:rsid w:val="003418D4"/>
    <w:rsid w:val="00376171"/>
    <w:rsid w:val="00380C6A"/>
    <w:rsid w:val="00391190"/>
    <w:rsid w:val="003938B0"/>
    <w:rsid w:val="003C09CF"/>
    <w:rsid w:val="003C0B72"/>
    <w:rsid w:val="00405A8F"/>
    <w:rsid w:val="0042486A"/>
    <w:rsid w:val="00440138"/>
    <w:rsid w:val="00461EDC"/>
    <w:rsid w:val="00474A9B"/>
    <w:rsid w:val="004944A8"/>
    <w:rsid w:val="004961D9"/>
    <w:rsid w:val="004A3037"/>
    <w:rsid w:val="004C188D"/>
    <w:rsid w:val="0053170D"/>
    <w:rsid w:val="00553C82"/>
    <w:rsid w:val="00567085"/>
    <w:rsid w:val="00584AF5"/>
    <w:rsid w:val="00597A52"/>
    <w:rsid w:val="005C5028"/>
    <w:rsid w:val="00622924"/>
    <w:rsid w:val="0062325D"/>
    <w:rsid w:val="00627DC7"/>
    <w:rsid w:val="0066399C"/>
    <w:rsid w:val="006965A6"/>
    <w:rsid w:val="006D1522"/>
    <w:rsid w:val="006D6F81"/>
    <w:rsid w:val="006F028D"/>
    <w:rsid w:val="00723B1E"/>
    <w:rsid w:val="00746496"/>
    <w:rsid w:val="00765833"/>
    <w:rsid w:val="0077333F"/>
    <w:rsid w:val="0077472B"/>
    <w:rsid w:val="007A5EDF"/>
    <w:rsid w:val="007E0889"/>
    <w:rsid w:val="008106F9"/>
    <w:rsid w:val="0084598F"/>
    <w:rsid w:val="008662FD"/>
    <w:rsid w:val="00882225"/>
    <w:rsid w:val="00885C00"/>
    <w:rsid w:val="00892AF0"/>
    <w:rsid w:val="008B53E0"/>
    <w:rsid w:val="0090273E"/>
    <w:rsid w:val="00920627"/>
    <w:rsid w:val="009326F2"/>
    <w:rsid w:val="009422B3"/>
    <w:rsid w:val="009D1B07"/>
    <w:rsid w:val="00A16482"/>
    <w:rsid w:val="00A63198"/>
    <w:rsid w:val="00A850D6"/>
    <w:rsid w:val="00A94A08"/>
    <w:rsid w:val="00AB25DE"/>
    <w:rsid w:val="00B211B9"/>
    <w:rsid w:val="00B338FB"/>
    <w:rsid w:val="00B33D7C"/>
    <w:rsid w:val="00B72CEE"/>
    <w:rsid w:val="00B72F35"/>
    <w:rsid w:val="00B8433E"/>
    <w:rsid w:val="00BA6248"/>
    <w:rsid w:val="00BB74CC"/>
    <w:rsid w:val="00C000DB"/>
    <w:rsid w:val="00C01524"/>
    <w:rsid w:val="00C25C06"/>
    <w:rsid w:val="00C37B4E"/>
    <w:rsid w:val="00C67663"/>
    <w:rsid w:val="00CC477A"/>
    <w:rsid w:val="00D04D10"/>
    <w:rsid w:val="00D21E1F"/>
    <w:rsid w:val="00D24D2B"/>
    <w:rsid w:val="00D26C32"/>
    <w:rsid w:val="00D31EA0"/>
    <w:rsid w:val="00D44E6B"/>
    <w:rsid w:val="00D52B0A"/>
    <w:rsid w:val="00D63080"/>
    <w:rsid w:val="00DF1B9E"/>
    <w:rsid w:val="00E348E1"/>
    <w:rsid w:val="00E43439"/>
    <w:rsid w:val="00E65584"/>
    <w:rsid w:val="00E804A1"/>
    <w:rsid w:val="00E94934"/>
    <w:rsid w:val="00EC32C5"/>
    <w:rsid w:val="00F0402C"/>
    <w:rsid w:val="00F2740D"/>
    <w:rsid w:val="00F772AB"/>
    <w:rsid w:val="00FB2048"/>
    <w:rsid w:val="00FE1B24"/>
    <w:rsid w:val="00FE3F34"/>
    <w:rsid w:val="00FF6DF0"/>
    <w:rsid w:val="01691746"/>
    <w:rsid w:val="01BF5C66"/>
    <w:rsid w:val="027D4FA7"/>
    <w:rsid w:val="028267A9"/>
    <w:rsid w:val="04B66C2C"/>
    <w:rsid w:val="054535C7"/>
    <w:rsid w:val="070F6DA7"/>
    <w:rsid w:val="07154E46"/>
    <w:rsid w:val="075B2916"/>
    <w:rsid w:val="07BD092F"/>
    <w:rsid w:val="08263C53"/>
    <w:rsid w:val="09203E7C"/>
    <w:rsid w:val="09604C7B"/>
    <w:rsid w:val="09BB7E03"/>
    <w:rsid w:val="09D35264"/>
    <w:rsid w:val="0A05770A"/>
    <w:rsid w:val="0C1E05DC"/>
    <w:rsid w:val="0C2C20A9"/>
    <w:rsid w:val="0C592382"/>
    <w:rsid w:val="0C8C6B91"/>
    <w:rsid w:val="0CF84392"/>
    <w:rsid w:val="0ECD3064"/>
    <w:rsid w:val="0EDF68D2"/>
    <w:rsid w:val="0F293D6D"/>
    <w:rsid w:val="130F36D3"/>
    <w:rsid w:val="135B5CE8"/>
    <w:rsid w:val="148F7A24"/>
    <w:rsid w:val="149A5FCB"/>
    <w:rsid w:val="15010E4F"/>
    <w:rsid w:val="1709652D"/>
    <w:rsid w:val="173C3E15"/>
    <w:rsid w:val="17426C94"/>
    <w:rsid w:val="176026E9"/>
    <w:rsid w:val="18A853CC"/>
    <w:rsid w:val="18E141E7"/>
    <w:rsid w:val="1B161ABB"/>
    <w:rsid w:val="1C243C3B"/>
    <w:rsid w:val="1C5E35A0"/>
    <w:rsid w:val="1C8B1061"/>
    <w:rsid w:val="1E192131"/>
    <w:rsid w:val="1FDD5AD6"/>
    <w:rsid w:val="2008787F"/>
    <w:rsid w:val="20DA0AEE"/>
    <w:rsid w:val="211017CA"/>
    <w:rsid w:val="21725AA5"/>
    <w:rsid w:val="21CE5DE4"/>
    <w:rsid w:val="221168D6"/>
    <w:rsid w:val="22CD4616"/>
    <w:rsid w:val="23830A38"/>
    <w:rsid w:val="23A50F8F"/>
    <w:rsid w:val="24AB1F03"/>
    <w:rsid w:val="24BC4109"/>
    <w:rsid w:val="258B6FCF"/>
    <w:rsid w:val="273E3F77"/>
    <w:rsid w:val="28210363"/>
    <w:rsid w:val="286D2D04"/>
    <w:rsid w:val="28C01CB5"/>
    <w:rsid w:val="28E725E7"/>
    <w:rsid w:val="28FF7D52"/>
    <w:rsid w:val="29EE2D99"/>
    <w:rsid w:val="2B400034"/>
    <w:rsid w:val="2C9E696F"/>
    <w:rsid w:val="2DD56BF8"/>
    <w:rsid w:val="2F3161B7"/>
    <w:rsid w:val="2F553F2B"/>
    <w:rsid w:val="2FAF692E"/>
    <w:rsid w:val="30F1561A"/>
    <w:rsid w:val="31C5062D"/>
    <w:rsid w:val="337F42B4"/>
    <w:rsid w:val="33E24A93"/>
    <w:rsid w:val="34336BD8"/>
    <w:rsid w:val="343D2ED9"/>
    <w:rsid w:val="36B604DB"/>
    <w:rsid w:val="36E13395"/>
    <w:rsid w:val="39AD7DBF"/>
    <w:rsid w:val="3A191146"/>
    <w:rsid w:val="3A2A42BC"/>
    <w:rsid w:val="3B184B35"/>
    <w:rsid w:val="3B88792C"/>
    <w:rsid w:val="3BCA3823"/>
    <w:rsid w:val="3BE01846"/>
    <w:rsid w:val="3CD64BDC"/>
    <w:rsid w:val="3EC72C86"/>
    <w:rsid w:val="3F682233"/>
    <w:rsid w:val="3F8C028C"/>
    <w:rsid w:val="403631C2"/>
    <w:rsid w:val="40A76958"/>
    <w:rsid w:val="40E572D8"/>
    <w:rsid w:val="41BF5B33"/>
    <w:rsid w:val="41F41ED8"/>
    <w:rsid w:val="42080572"/>
    <w:rsid w:val="42461394"/>
    <w:rsid w:val="4416262F"/>
    <w:rsid w:val="446E68D8"/>
    <w:rsid w:val="447943E7"/>
    <w:rsid w:val="4496283F"/>
    <w:rsid w:val="457A79DE"/>
    <w:rsid w:val="475654FD"/>
    <w:rsid w:val="488F2B52"/>
    <w:rsid w:val="495E6ADB"/>
    <w:rsid w:val="4BC87811"/>
    <w:rsid w:val="4BD63C1A"/>
    <w:rsid w:val="513B15E3"/>
    <w:rsid w:val="52555B21"/>
    <w:rsid w:val="52CB3077"/>
    <w:rsid w:val="52D6482C"/>
    <w:rsid w:val="54790EC3"/>
    <w:rsid w:val="552B1DC7"/>
    <w:rsid w:val="56A55669"/>
    <w:rsid w:val="56A8369A"/>
    <w:rsid w:val="56C44D88"/>
    <w:rsid w:val="5800692F"/>
    <w:rsid w:val="584A2E68"/>
    <w:rsid w:val="591C705D"/>
    <w:rsid w:val="59537C18"/>
    <w:rsid w:val="5A7555B3"/>
    <w:rsid w:val="5B32714A"/>
    <w:rsid w:val="5B3E083D"/>
    <w:rsid w:val="5CBF56B6"/>
    <w:rsid w:val="5DC913EB"/>
    <w:rsid w:val="5ECD48E9"/>
    <w:rsid w:val="5ECE665A"/>
    <w:rsid w:val="5FD736CA"/>
    <w:rsid w:val="635C272C"/>
    <w:rsid w:val="64166908"/>
    <w:rsid w:val="64906A4C"/>
    <w:rsid w:val="64FC4857"/>
    <w:rsid w:val="65515201"/>
    <w:rsid w:val="66A03DA3"/>
    <w:rsid w:val="66FF0562"/>
    <w:rsid w:val="677FA47B"/>
    <w:rsid w:val="68183DB4"/>
    <w:rsid w:val="687C4510"/>
    <w:rsid w:val="68975185"/>
    <w:rsid w:val="69A91E7A"/>
    <w:rsid w:val="69B0420C"/>
    <w:rsid w:val="6A48066B"/>
    <w:rsid w:val="6AEF5475"/>
    <w:rsid w:val="6BD34E9C"/>
    <w:rsid w:val="6C1C4E1D"/>
    <w:rsid w:val="6D0F7645"/>
    <w:rsid w:val="6D613F01"/>
    <w:rsid w:val="6DA61AB9"/>
    <w:rsid w:val="6DC77328"/>
    <w:rsid w:val="6FD54978"/>
    <w:rsid w:val="703573CA"/>
    <w:rsid w:val="70814FA2"/>
    <w:rsid w:val="70CD28C9"/>
    <w:rsid w:val="71653017"/>
    <w:rsid w:val="721D466B"/>
    <w:rsid w:val="73075ECC"/>
    <w:rsid w:val="73A10CF3"/>
    <w:rsid w:val="75F54248"/>
    <w:rsid w:val="760C1EFE"/>
    <w:rsid w:val="7643118D"/>
    <w:rsid w:val="76D907DF"/>
    <w:rsid w:val="76F88C15"/>
    <w:rsid w:val="774E7230"/>
    <w:rsid w:val="778857AA"/>
    <w:rsid w:val="79D112EA"/>
    <w:rsid w:val="79DD1288"/>
    <w:rsid w:val="7D702B4E"/>
    <w:rsid w:val="7E2929E7"/>
    <w:rsid w:val="7E3314F0"/>
    <w:rsid w:val="7ECC2E8F"/>
    <w:rsid w:val="7EEE2B65"/>
    <w:rsid w:val="7F1C4DFF"/>
    <w:rsid w:val="9DDFE9BB"/>
    <w:rsid w:val="B73EC2F7"/>
    <w:rsid w:val="BEDE56F3"/>
    <w:rsid w:val="BFEE0A3E"/>
    <w:rsid w:val="F7EBBFA6"/>
    <w:rsid w:val="FF7E8E01"/>
    <w:rsid w:val="FFB713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annotation text"/>
    <w:basedOn w:val="1"/>
    <w:link w:val="19"/>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link w:val="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rFonts w:ascii="Times New Roman" w:hAnsi="Times New Roman" w:cs="Times New Roman"/>
      <w:sz w:val="24"/>
    </w:rPr>
  </w:style>
  <w:style w:type="paragraph" w:styleId="10">
    <w:name w:val="annotation subject"/>
    <w:basedOn w:val="5"/>
    <w:next w:val="5"/>
    <w:link w:val="20"/>
    <w:qFormat/>
    <w:uiPriority w:val="0"/>
    <w:rPr>
      <w:b/>
      <w:bCs/>
    </w:rPr>
  </w:style>
  <w:style w:type="character" w:styleId="13">
    <w:name w:val="Hyperlink"/>
    <w:basedOn w:val="12"/>
    <w:qFormat/>
    <w:uiPriority w:val="0"/>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character" w:customStyle="1" w:styleId="15">
    <w:name w:val="fontstyle01"/>
    <w:basedOn w:val="12"/>
    <w:qFormat/>
    <w:uiPriority w:val="0"/>
    <w:rPr>
      <w:rFonts w:ascii="PMingLiU" w:hAnsi="PMingLiU" w:eastAsia="PMingLiU" w:cs="PMingLiU"/>
      <w:color w:val="000000"/>
      <w:sz w:val="22"/>
      <w:szCs w:val="22"/>
    </w:rPr>
  </w:style>
  <w:style w:type="character" w:customStyle="1" w:styleId="16">
    <w:name w:val="fontstyle11"/>
    <w:basedOn w:val="12"/>
    <w:qFormat/>
    <w:uiPriority w:val="0"/>
    <w:rPr>
      <w:rFonts w:ascii="ArialMT" w:hAnsi="ArialMT" w:eastAsia="ArialMT" w:cs="ArialMT"/>
      <w:color w:val="000000"/>
      <w:sz w:val="22"/>
      <w:szCs w:val="22"/>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qFormat/>
    <w:uiPriority w:val="0"/>
    <w:rPr>
      <w:rFonts w:asciiTheme="minorHAnsi" w:hAnsiTheme="minorHAnsi" w:eastAsiaTheme="minorEastAsia" w:cstheme="minorBidi"/>
      <w:b/>
      <w:bCs/>
      <w:kern w:val="2"/>
      <w:sz w:val="21"/>
      <w:szCs w:val="24"/>
    </w:rPr>
  </w:style>
  <w:style w:type="character" w:customStyle="1" w:styleId="21">
    <w:name w:val="标题 1 字符"/>
    <w:basedOn w:val="12"/>
    <w:link w:val="2"/>
    <w:qFormat/>
    <w:uiPriority w:val="0"/>
    <w:rPr>
      <w:rFonts w:asciiTheme="minorHAnsi" w:hAnsiTheme="minorHAnsi" w:eastAsiaTheme="minorEastAsia" w:cstheme="minorBidi"/>
      <w:b/>
      <w:bCs/>
      <w:kern w:val="44"/>
      <w:sz w:val="44"/>
      <w:szCs w:val="44"/>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6"/>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未处理的提及1"/>
    <w:basedOn w:val="12"/>
    <w:semiHidden/>
    <w:unhideWhenUsed/>
    <w:qFormat/>
    <w:uiPriority w:val="99"/>
    <w:rPr>
      <w:color w:val="605E5C"/>
      <w:shd w:val="clear" w:color="auto" w:fill="E1DFDD"/>
    </w:rPr>
  </w:style>
  <w:style w:type="paragraph" w:customStyle="1" w:styleId="2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9">
    <w:name w:val="修订8"/>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0">
    <w:name w:val="HTML 预设格式 字符"/>
    <w:basedOn w:val="12"/>
    <w:link w:val="8"/>
    <w:qFormat/>
    <w:uiPriority w:val="0"/>
    <w:rPr>
      <w:rFonts w:ascii="宋体" w:hAnsi="宋体"/>
      <w:sz w:val="24"/>
      <w:szCs w:val="24"/>
    </w:rPr>
  </w:style>
  <w:style w:type="paragraph" w:customStyle="1" w:styleId="31">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修订10"/>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2197</Words>
  <Characters>2209</Characters>
  <Lines>19</Lines>
  <Paragraphs>5</Paragraphs>
  <TotalTime>26</TotalTime>
  <ScaleCrop>false</ScaleCrop>
  <LinksUpToDate>false</LinksUpToDate>
  <CharactersWithSpaces>2236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2025-05-02T09:09:00Z</dcterms:created>
  <dc:creator>sse</dc:creator>
  <cp:lastModifiedBy>whxu</cp:lastModifiedBy>
  <cp:lastPrinted>2025-06-20T09:06:00Z</cp:lastPrinted>
  <dcterms:modified xsi:type="dcterms:W3CDTF">2025-09-10T01:26:42Z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DA596102E7A63441CE168C680E61E21A_43</vt:lpwstr>
  </property>
  <property fmtid="{D5CDD505-2E9C-101B-9397-08002B2CF9AE}" pid="4" name="KSOTemplateDocerSaveRecord">
    <vt:lpwstr>eyJoZGlkIjoiODU1MjFmZWFjYWYyZmFkY2IwY2Q4ZjQwNWM1NjJkYzIiLCJ1c2VySWQiOiI0MTAwNTg2ODQifQ==</vt:lpwstr>
  </property>
</Properties>
</file>