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B6C76" w14:textId="0ACB1A97" w:rsidR="00BF076B" w:rsidRDefault="00BF076B">
      <w:pPr>
        <w:spacing w:line="600" w:lineRule="exact"/>
        <w:jc w:val="left"/>
        <w:rPr>
          <w:rFonts w:ascii="仿宋_GB2312" w:eastAsia="仿宋_GB2312" w:hAnsi="微软雅黑" w:hint="eastAsia"/>
          <w:b/>
          <w:color w:val="000000"/>
          <w:sz w:val="30"/>
          <w:szCs w:val="30"/>
        </w:rPr>
      </w:pPr>
    </w:p>
    <w:p w14:paraId="02BC8A91" w14:textId="77777777" w:rsidR="00BF076B" w:rsidRDefault="00BF076B">
      <w:pPr>
        <w:widowControl/>
        <w:spacing w:line="600" w:lineRule="exact"/>
        <w:textAlignment w:val="baseline"/>
        <w:rPr>
          <w:rFonts w:ascii="仿宋_GB2312" w:eastAsia="仿宋_GB2312" w:hAnsi="黑体" w:hint="eastAsia"/>
          <w:b/>
          <w:sz w:val="30"/>
          <w:szCs w:val="30"/>
        </w:rPr>
      </w:pPr>
    </w:p>
    <w:p w14:paraId="161C89C9" w14:textId="77777777" w:rsidR="00BF076B" w:rsidRPr="00640B25" w:rsidRDefault="00000000" w:rsidP="00640B25">
      <w:pPr>
        <w:snapToGrid w:val="0"/>
        <w:spacing w:line="560" w:lineRule="exact"/>
        <w:jc w:val="center"/>
        <w:rPr>
          <w:rFonts w:eastAsia="黑体" w:hint="eastAsia"/>
          <w:b/>
          <w:bCs/>
          <w:sz w:val="42"/>
          <w:szCs w:val="42"/>
        </w:rPr>
      </w:pPr>
      <w:r w:rsidRPr="00640B25">
        <w:rPr>
          <w:rFonts w:eastAsia="黑体" w:hint="eastAsia"/>
          <w:b/>
          <w:bCs/>
          <w:sz w:val="42"/>
          <w:szCs w:val="42"/>
        </w:rPr>
        <w:t>上海证券交易所上市公司自律监管指引</w:t>
      </w:r>
    </w:p>
    <w:p w14:paraId="5FDEB335" w14:textId="77777777" w:rsidR="00BF076B" w:rsidRPr="00640B25" w:rsidRDefault="00000000" w:rsidP="00640B25">
      <w:pPr>
        <w:snapToGrid w:val="0"/>
        <w:spacing w:line="560" w:lineRule="exact"/>
        <w:jc w:val="center"/>
        <w:rPr>
          <w:rFonts w:eastAsia="黑体" w:hint="eastAsia"/>
          <w:b/>
          <w:bCs/>
          <w:sz w:val="42"/>
          <w:szCs w:val="42"/>
        </w:rPr>
      </w:pPr>
      <w:r w:rsidRPr="00640B25">
        <w:rPr>
          <w:rFonts w:eastAsia="黑体" w:hint="eastAsia"/>
          <w:b/>
          <w:bCs/>
          <w:sz w:val="42"/>
          <w:szCs w:val="42"/>
        </w:rPr>
        <w:t>第</w:t>
      </w:r>
      <w:r w:rsidRPr="00640B25">
        <w:rPr>
          <w:rFonts w:eastAsia="黑体" w:hint="eastAsia"/>
          <w:b/>
          <w:bCs/>
          <w:sz w:val="42"/>
          <w:szCs w:val="42"/>
        </w:rPr>
        <w:t>12</w:t>
      </w:r>
      <w:r w:rsidRPr="00640B25">
        <w:rPr>
          <w:rFonts w:eastAsia="黑体" w:hint="eastAsia"/>
          <w:b/>
          <w:bCs/>
          <w:sz w:val="42"/>
          <w:szCs w:val="42"/>
        </w:rPr>
        <w:t>号——可转换公司债券</w:t>
      </w:r>
    </w:p>
    <w:p w14:paraId="7D8DD1FA" w14:textId="057B2ECA" w:rsidR="00BF076B" w:rsidRPr="00640B25" w:rsidRDefault="00000000" w:rsidP="00640B25">
      <w:pPr>
        <w:snapToGrid w:val="0"/>
        <w:spacing w:line="560" w:lineRule="exact"/>
        <w:jc w:val="center"/>
        <w:rPr>
          <w:rFonts w:eastAsia="黑体" w:hint="eastAsia"/>
          <w:b/>
          <w:bCs/>
          <w:sz w:val="42"/>
          <w:szCs w:val="42"/>
        </w:rPr>
      </w:pPr>
      <w:r w:rsidRPr="00640B25">
        <w:rPr>
          <w:rFonts w:eastAsia="黑体" w:hint="eastAsia"/>
          <w:b/>
          <w:bCs/>
          <w:sz w:val="42"/>
          <w:szCs w:val="42"/>
        </w:rPr>
        <w:t>（</w:t>
      </w:r>
      <w:r w:rsidRPr="00640B25">
        <w:rPr>
          <w:rFonts w:eastAsia="黑体"/>
          <w:b/>
          <w:bCs/>
          <w:sz w:val="42"/>
          <w:szCs w:val="42"/>
        </w:rPr>
        <w:t>202</w:t>
      </w:r>
      <w:r w:rsidR="001950D6">
        <w:rPr>
          <w:rFonts w:eastAsia="黑体" w:hint="eastAsia"/>
          <w:b/>
          <w:bCs/>
          <w:sz w:val="42"/>
          <w:szCs w:val="42"/>
        </w:rPr>
        <w:t>5</w:t>
      </w:r>
      <w:r w:rsidRPr="00640B25">
        <w:rPr>
          <w:rFonts w:eastAsia="黑体" w:hint="eastAsia"/>
          <w:b/>
          <w:bCs/>
          <w:sz w:val="42"/>
          <w:szCs w:val="42"/>
        </w:rPr>
        <w:t>年</w:t>
      </w:r>
      <w:r w:rsidR="001950D6">
        <w:rPr>
          <w:rFonts w:eastAsia="黑体" w:hint="eastAsia"/>
          <w:b/>
          <w:bCs/>
          <w:sz w:val="42"/>
          <w:szCs w:val="42"/>
        </w:rPr>
        <w:t>3</w:t>
      </w:r>
      <w:r w:rsidRPr="00640B25">
        <w:rPr>
          <w:rFonts w:eastAsia="黑体" w:hint="eastAsia"/>
          <w:b/>
          <w:bCs/>
          <w:sz w:val="42"/>
          <w:szCs w:val="42"/>
        </w:rPr>
        <w:t>月修订）</w:t>
      </w:r>
    </w:p>
    <w:p w14:paraId="44BD648C" w14:textId="77777777" w:rsidR="00BF076B" w:rsidRDefault="00BF076B">
      <w:pPr>
        <w:spacing w:line="600" w:lineRule="exact"/>
        <w:jc w:val="center"/>
        <w:rPr>
          <w:rFonts w:ascii="仿宋_GB2312" w:eastAsia="仿宋_GB2312"/>
          <w:b/>
          <w:sz w:val="32"/>
          <w:szCs w:val="32"/>
        </w:rPr>
      </w:pPr>
    </w:p>
    <w:p w14:paraId="30C72B19" w14:textId="77777777" w:rsidR="00BF076B" w:rsidRDefault="00000000">
      <w:pPr>
        <w:spacing w:line="600" w:lineRule="exact"/>
        <w:jc w:val="center"/>
        <w:rPr>
          <w:rFonts w:ascii="黑体" w:eastAsia="黑体"/>
          <w:b/>
          <w:sz w:val="30"/>
          <w:szCs w:val="30"/>
        </w:rPr>
      </w:pPr>
      <w:r>
        <w:rPr>
          <w:rFonts w:ascii="黑体" w:eastAsia="黑体" w:hint="eastAsia"/>
          <w:b/>
          <w:sz w:val="30"/>
          <w:szCs w:val="30"/>
        </w:rPr>
        <w:t>第一章  总则</w:t>
      </w:r>
    </w:p>
    <w:p w14:paraId="63CD288F" w14:textId="77777777" w:rsidR="00BF076B" w:rsidRDefault="00000000">
      <w:pPr>
        <w:spacing w:line="600" w:lineRule="exact"/>
        <w:ind w:firstLine="600"/>
        <w:rPr>
          <w:rFonts w:ascii="仿宋_GB2312" w:eastAsia="仿宋_GB2312"/>
          <w:sz w:val="30"/>
          <w:szCs w:val="30"/>
        </w:rPr>
      </w:pPr>
      <w:r>
        <w:rPr>
          <w:rFonts w:ascii="仿宋_GB2312" w:eastAsia="仿宋_GB2312" w:hint="eastAsia"/>
          <w:b/>
          <w:sz w:val="30"/>
          <w:szCs w:val="30"/>
        </w:rPr>
        <w:t xml:space="preserve">第一条 </w:t>
      </w:r>
      <w:r>
        <w:rPr>
          <w:rFonts w:ascii="仿宋_GB2312" w:eastAsia="仿宋_GB2312" w:hint="eastAsia"/>
          <w:sz w:val="30"/>
          <w:szCs w:val="30"/>
        </w:rPr>
        <w:t>为了规范上市公司可转换公司债券（以下简称可转债）业务，保护投资者合法权益，维护市场秩序和社会公共利益，根据《中华人民共和国公司法》《中华人民共和国证券法》《可转换公司债券管理办法》等相关法律、行政法规、部门规章、规范性文件和《</w:t>
      </w:r>
      <w:r>
        <w:rPr>
          <w:rFonts w:ascii="仿宋_GB2312" w:eastAsia="仿宋_GB2312" w:hAnsi="黑体" w:hint="eastAsia"/>
          <w:sz w:val="30"/>
          <w:szCs w:val="30"/>
        </w:rPr>
        <w:t>上海证券交易所</w:t>
      </w:r>
      <w:r>
        <w:rPr>
          <w:rFonts w:ascii="仿宋_GB2312" w:eastAsia="仿宋_GB2312" w:hint="eastAsia"/>
          <w:sz w:val="30"/>
          <w:szCs w:val="30"/>
        </w:rPr>
        <w:t>股票上市规则》《</w:t>
      </w:r>
      <w:r>
        <w:rPr>
          <w:rFonts w:ascii="仿宋_GB2312" w:eastAsia="仿宋_GB2312" w:hAnsi="黑体" w:hint="eastAsia"/>
          <w:sz w:val="30"/>
          <w:szCs w:val="30"/>
        </w:rPr>
        <w:t>上海证券交易所</w:t>
      </w:r>
      <w:r>
        <w:rPr>
          <w:rFonts w:ascii="仿宋_GB2312" w:eastAsia="仿宋_GB2312" w:hint="eastAsia"/>
          <w:sz w:val="30"/>
          <w:szCs w:val="30"/>
        </w:rPr>
        <w:t>科创板股票上市规则》等业务规则的规定，制定本指引。</w:t>
      </w:r>
    </w:p>
    <w:p w14:paraId="5099E4EB" w14:textId="77777777" w:rsidR="00BF076B" w:rsidRDefault="00000000">
      <w:pPr>
        <w:spacing w:line="600" w:lineRule="exact"/>
        <w:ind w:firstLineChars="200" w:firstLine="602"/>
        <w:rPr>
          <w:rFonts w:ascii="仿宋_GB2312" w:eastAsia="仿宋_GB2312" w:hAnsi="仿宋_GB2312" w:cs="仿宋_GB2312" w:hint="eastAsia"/>
          <w:sz w:val="30"/>
          <w:szCs w:val="30"/>
        </w:rPr>
      </w:pPr>
      <w:r>
        <w:rPr>
          <w:rFonts w:ascii="仿宋_GB2312" w:eastAsia="仿宋_GB2312" w:hAnsi="仿宋_GB2312" w:cs="仿宋_GB2312" w:hint="eastAsia"/>
          <w:b/>
          <w:sz w:val="30"/>
          <w:szCs w:val="30"/>
        </w:rPr>
        <w:t xml:space="preserve">第二条 </w:t>
      </w:r>
      <w:r>
        <w:rPr>
          <w:rFonts w:ascii="仿宋_GB2312" w:eastAsia="仿宋_GB2312" w:hAnsi="仿宋_GB2312" w:cs="仿宋_GB2312" w:hint="eastAsia"/>
          <w:sz w:val="30"/>
          <w:szCs w:val="30"/>
        </w:rPr>
        <w:t>本指引所称可转债，是指上市公司依法发行、在一定期间内依据约定的条件可以转换成本公司股票的公司债券，属于《</w:t>
      </w:r>
      <w:r>
        <w:rPr>
          <w:rFonts w:ascii="仿宋_GB2312" w:eastAsia="仿宋_GB2312" w:hint="eastAsia"/>
          <w:sz w:val="30"/>
          <w:szCs w:val="30"/>
        </w:rPr>
        <w:t>中华人民共和国</w:t>
      </w:r>
      <w:r>
        <w:rPr>
          <w:rFonts w:ascii="仿宋_GB2312" w:eastAsia="仿宋_GB2312" w:hAnsi="仿宋_GB2312" w:cs="仿宋_GB2312" w:hint="eastAsia"/>
          <w:sz w:val="30"/>
          <w:szCs w:val="30"/>
        </w:rPr>
        <w:t>证券法》规定的具有股权性质的证券，</w:t>
      </w:r>
      <w:r>
        <w:rPr>
          <w:rFonts w:ascii="仿宋_GB2312" w:eastAsia="仿宋_GB2312" w:hint="eastAsia"/>
          <w:kern w:val="24"/>
          <w:sz w:val="30"/>
          <w:szCs w:val="30"/>
        </w:rPr>
        <w:t>包括向不特定对象发行的可转债</w:t>
      </w:r>
      <w:r>
        <w:rPr>
          <w:rFonts w:ascii="仿宋_GB2312" w:eastAsia="仿宋_GB2312" w:hint="eastAsia"/>
          <w:sz w:val="30"/>
          <w:szCs w:val="30"/>
        </w:rPr>
        <w:t>和</w:t>
      </w:r>
      <w:r>
        <w:rPr>
          <w:rFonts w:ascii="仿宋_GB2312" w:eastAsia="仿宋_GB2312" w:hint="eastAsia"/>
          <w:kern w:val="24"/>
          <w:sz w:val="30"/>
          <w:szCs w:val="30"/>
        </w:rPr>
        <w:t>向特定对象发行的可转债。</w:t>
      </w:r>
      <w:r>
        <w:rPr>
          <w:rFonts w:ascii="仿宋_GB2312" w:eastAsia="仿宋_GB2312" w:hAnsi="仿宋_GB2312" w:cs="仿宋_GB2312" w:hint="eastAsia"/>
          <w:sz w:val="30"/>
          <w:szCs w:val="30"/>
        </w:rPr>
        <w:t>向特定对象发行的可转债包括根据中国证券监督管理委员会（以下简称中国证监会）相关规定向特定对象发行可转债募集资金、购买资产及募集配套资金。</w:t>
      </w:r>
    </w:p>
    <w:p w14:paraId="3AEFE596" w14:textId="77777777" w:rsidR="00BF076B" w:rsidRDefault="00000000">
      <w:pPr>
        <w:spacing w:line="600" w:lineRule="exact"/>
        <w:ind w:firstLineChars="200" w:firstLine="602"/>
        <w:rPr>
          <w:rFonts w:ascii="仿宋_GB2312" w:eastAsia="仿宋_GB2312" w:hAnsi="仿宋_GB2312" w:cs="仿宋_GB2312" w:hint="eastAsia"/>
          <w:sz w:val="30"/>
          <w:szCs w:val="30"/>
        </w:rPr>
      </w:pPr>
      <w:r>
        <w:rPr>
          <w:rFonts w:ascii="仿宋_GB2312" w:eastAsia="仿宋_GB2312" w:hint="eastAsia"/>
          <w:b/>
          <w:kern w:val="24"/>
          <w:sz w:val="30"/>
          <w:szCs w:val="30"/>
        </w:rPr>
        <w:t xml:space="preserve">第三条 </w:t>
      </w:r>
      <w:r>
        <w:rPr>
          <w:rFonts w:ascii="仿宋_GB2312" w:eastAsia="仿宋_GB2312" w:hint="eastAsia"/>
          <w:sz w:val="30"/>
          <w:szCs w:val="30"/>
        </w:rPr>
        <w:t>上海证券交易所（以下简称本所）</w:t>
      </w:r>
      <w:r>
        <w:rPr>
          <w:rFonts w:ascii="仿宋_GB2312" w:eastAsia="仿宋_GB2312" w:hAnsi="仿宋_GB2312" w:cs="仿宋_GB2312" w:hint="eastAsia"/>
          <w:sz w:val="30"/>
          <w:szCs w:val="30"/>
        </w:rPr>
        <w:t>上市公司</w:t>
      </w:r>
      <w:r>
        <w:rPr>
          <w:rFonts w:ascii="仿宋_GB2312" w:eastAsia="仿宋_GB2312" w:hAnsi="仿宋_GB2312" w:cs="仿宋_GB2312"/>
          <w:sz w:val="30"/>
          <w:szCs w:val="30"/>
        </w:rPr>
        <w:t>可转债的</w:t>
      </w:r>
      <w:r>
        <w:rPr>
          <w:rFonts w:ascii="仿宋_GB2312" w:eastAsia="仿宋_GB2312" w:hAnsi="仿宋_GB2312" w:cs="仿宋_GB2312" w:hint="eastAsia"/>
          <w:sz w:val="30"/>
          <w:szCs w:val="30"/>
        </w:rPr>
        <w:t>上市与挂牌、</w:t>
      </w:r>
      <w:r>
        <w:rPr>
          <w:rFonts w:ascii="仿宋_GB2312" w:eastAsia="仿宋_GB2312" w:hAnsi="仿宋_GB2312" w:cs="仿宋_GB2312"/>
          <w:sz w:val="30"/>
          <w:szCs w:val="30"/>
        </w:rPr>
        <w:t>转股、赎回</w:t>
      </w:r>
      <w:r>
        <w:rPr>
          <w:rFonts w:ascii="仿宋_GB2312" w:eastAsia="仿宋_GB2312" w:hAnsi="仿宋_GB2312" w:cs="仿宋_GB2312" w:hint="eastAsia"/>
          <w:sz w:val="30"/>
          <w:szCs w:val="30"/>
        </w:rPr>
        <w:t>、</w:t>
      </w:r>
      <w:r>
        <w:rPr>
          <w:rFonts w:ascii="仿宋_GB2312" w:eastAsia="仿宋_GB2312" w:hAnsi="仿宋_GB2312" w:cs="仿宋_GB2312"/>
          <w:sz w:val="30"/>
          <w:szCs w:val="30"/>
        </w:rPr>
        <w:t>回售</w:t>
      </w:r>
      <w:r>
        <w:rPr>
          <w:rFonts w:ascii="仿宋_GB2312" w:eastAsia="仿宋_GB2312" w:hAnsi="仿宋_GB2312" w:cs="仿宋_GB2312" w:hint="eastAsia"/>
          <w:sz w:val="30"/>
          <w:szCs w:val="30"/>
        </w:rPr>
        <w:t>、本息</w:t>
      </w:r>
      <w:r>
        <w:rPr>
          <w:rFonts w:ascii="仿宋_GB2312" w:eastAsia="仿宋_GB2312" w:hint="eastAsia"/>
          <w:kern w:val="24"/>
          <w:sz w:val="30"/>
          <w:szCs w:val="30"/>
        </w:rPr>
        <w:t>兑付</w:t>
      </w:r>
      <w:r>
        <w:rPr>
          <w:rFonts w:ascii="仿宋_GB2312" w:eastAsia="仿宋_GB2312" w:hAnsi="仿宋_GB2312" w:cs="仿宋_GB2312" w:hint="eastAsia"/>
          <w:sz w:val="30"/>
          <w:szCs w:val="30"/>
        </w:rPr>
        <w:t>以及</w:t>
      </w:r>
      <w:r>
        <w:rPr>
          <w:rFonts w:ascii="仿宋_GB2312" w:eastAsia="仿宋_GB2312" w:hAnsi="仿宋_GB2312" w:cs="仿宋_GB2312"/>
          <w:sz w:val="30"/>
          <w:szCs w:val="30"/>
        </w:rPr>
        <w:t>信息披露等相关</w:t>
      </w:r>
      <w:r>
        <w:rPr>
          <w:rFonts w:ascii="仿宋_GB2312" w:eastAsia="仿宋_GB2312" w:hAnsi="仿宋_GB2312" w:cs="仿宋_GB2312" w:hint="eastAsia"/>
          <w:sz w:val="30"/>
          <w:szCs w:val="30"/>
        </w:rPr>
        <w:t>事项</w:t>
      </w:r>
      <w:r>
        <w:rPr>
          <w:rFonts w:ascii="仿宋_GB2312" w:eastAsia="仿宋_GB2312" w:hAnsi="仿宋_GB2312" w:cs="仿宋_GB2312"/>
          <w:sz w:val="30"/>
          <w:szCs w:val="30"/>
        </w:rPr>
        <w:t>，适用本指引。</w:t>
      </w:r>
      <w:r>
        <w:rPr>
          <w:rFonts w:ascii="仿宋_GB2312" w:eastAsia="仿宋_GB2312" w:hAnsi="仿宋_GB2312" w:cs="仿宋_GB2312" w:hint="eastAsia"/>
          <w:sz w:val="30"/>
          <w:szCs w:val="30"/>
        </w:rPr>
        <w:t>中国证监会及本所另有规定的，从其规定。</w:t>
      </w:r>
    </w:p>
    <w:p w14:paraId="204779A5" w14:textId="77777777" w:rsidR="00BF076B" w:rsidRDefault="00000000">
      <w:pPr>
        <w:spacing w:line="600" w:lineRule="exact"/>
        <w:jc w:val="center"/>
        <w:rPr>
          <w:rFonts w:ascii="黑体" w:eastAsia="黑体"/>
          <w:b/>
          <w:sz w:val="30"/>
          <w:szCs w:val="30"/>
        </w:rPr>
      </w:pPr>
      <w:bookmarkStart w:id="0" w:name="No77_Z2T25K3"/>
      <w:bookmarkStart w:id="1" w:name="No76_Z2T25K2"/>
      <w:bookmarkStart w:id="2" w:name="No55_Z2T16K2"/>
      <w:bookmarkEnd w:id="0"/>
      <w:bookmarkEnd w:id="1"/>
      <w:bookmarkEnd w:id="2"/>
      <w:r>
        <w:rPr>
          <w:rFonts w:ascii="黑体" w:eastAsia="黑体" w:hint="eastAsia"/>
          <w:b/>
          <w:sz w:val="30"/>
          <w:szCs w:val="30"/>
        </w:rPr>
        <w:lastRenderedPageBreak/>
        <w:t>第二章</w:t>
      </w:r>
      <w:r>
        <w:rPr>
          <w:rFonts w:ascii="黑体" w:eastAsia="黑体"/>
          <w:b/>
          <w:sz w:val="30"/>
          <w:szCs w:val="30"/>
        </w:rPr>
        <w:t xml:space="preserve">  </w:t>
      </w:r>
      <w:r>
        <w:rPr>
          <w:rFonts w:ascii="黑体" w:eastAsia="黑体" w:hint="eastAsia"/>
          <w:b/>
          <w:sz w:val="30"/>
          <w:szCs w:val="30"/>
        </w:rPr>
        <w:t>上市与挂牌</w:t>
      </w:r>
    </w:p>
    <w:p w14:paraId="711273B9" w14:textId="77777777" w:rsidR="00BF076B" w:rsidRDefault="00000000">
      <w:pPr>
        <w:spacing w:line="600" w:lineRule="exact"/>
        <w:ind w:firstLineChars="200" w:firstLine="602"/>
        <w:rPr>
          <w:rFonts w:ascii="仿宋_GB2312" w:eastAsia="仿宋_GB2312" w:hAnsi="Calibri" w:cs="仿宋_GB2312"/>
          <w:kern w:val="0"/>
          <w:sz w:val="30"/>
          <w:szCs w:val="30"/>
        </w:rPr>
      </w:pPr>
      <w:r>
        <w:rPr>
          <w:rFonts w:ascii="仿宋_GB2312" w:eastAsia="仿宋_GB2312" w:hAnsi="Calibri" w:cs="仿宋_GB2312" w:hint="eastAsia"/>
          <w:b/>
          <w:kern w:val="0"/>
          <w:sz w:val="30"/>
          <w:szCs w:val="30"/>
        </w:rPr>
        <w:t>第四条</w:t>
      </w:r>
      <w:r>
        <w:rPr>
          <w:rFonts w:ascii="仿宋_GB2312" w:eastAsia="仿宋_GB2312" w:hint="eastAsia"/>
          <w:b/>
          <w:kern w:val="24"/>
          <w:sz w:val="30"/>
          <w:szCs w:val="30"/>
        </w:rPr>
        <w:t xml:space="preserve"> </w:t>
      </w:r>
      <w:r>
        <w:rPr>
          <w:rFonts w:ascii="仿宋_GB2312" w:eastAsia="仿宋_GB2312" w:hAnsi="Calibri" w:cs="仿宋_GB2312" w:hint="eastAsia"/>
          <w:kern w:val="0"/>
          <w:sz w:val="30"/>
          <w:szCs w:val="30"/>
        </w:rPr>
        <w:t>上市公司向本所申请可转债上市或者挂牌时，仍应当符合可转债发行</w:t>
      </w:r>
      <w:r>
        <w:rPr>
          <w:rFonts w:ascii="仿宋_GB2312" w:eastAsia="仿宋_GB2312" w:hAnsi="Calibri" w:cs="仿宋_GB2312"/>
          <w:kern w:val="0"/>
          <w:sz w:val="30"/>
          <w:szCs w:val="30"/>
        </w:rPr>
        <w:t>条件</w:t>
      </w:r>
      <w:r>
        <w:rPr>
          <w:rFonts w:ascii="仿宋_GB2312" w:eastAsia="仿宋_GB2312" w:hAnsi="Calibri" w:cs="仿宋_GB2312" w:hint="eastAsia"/>
          <w:kern w:val="0"/>
          <w:sz w:val="30"/>
          <w:szCs w:val="30"/>
        </w:rPr>
        <w:t>，并提交下列文件：</w:t>
      </w:r>
    </w:p>
    <w:p w14:paraId="6BEE76AB" w14:textId="77777777" w:rsidR="00BF076B" w:rsidRDefault="00000000">
      <w:pPr>
        <w:spacing w:line="600" w:lineRule="exact"/>
        <w:ind w:firstLineChars="200" w:firstLine="600"/>
        <w:rPr>
          <w:rFonts w:ascii="仿宋_GB2312" w:eastAsia="仿宋_GB2312" w:hAnsi="Calibri" w:cs="仿宋_GB2312"/>
          <w:kern w:val="0"/>
          <w:sz w:val="30"/>
          <w:szCs w:val="30"/>
        </w:rPr>
      </w:pPr>
      <w:r>
        <w:rPr>
          <w:rFonts w:ascii="仿宋_GB2312" w:eastAsia="仿宋_GB2312" w:hAnsi="Calibri" w:cs="仿宋_GB2312" w:hint="eastAsia"/>
          <w:kern w:val="0"/>
          <w:sz w:val="30"/>
          <w:szCs w:val="30"/>
        </w:rPr>
        <w:t>（一）上市申请书或者挂牌转让申请书；</w:t>
      </w:r>
    </w:p>
    <w:p w14:paraId="364B5EB4" w14:textId="77777777" w:rsidR="00BF076B" w:rsidRDefault="00000000">
      <w:pPr>
        <w:spacing w:line="600" w:lineRule="exact"/>
        <w:ind w:firstLineChars="200" w:firstLine="600"/>
        <w:rPr>
          <w:rFonts w:ascii="仿宋_GB2312" w:eastAsia="仿宋_GB2312" w:hAnsi="Calibri" w:cs="仿宋_GB2312"/>
          <w:kern w:val="0"/>
          <w:sz w:val="30"/>
          <w:szCs w:val="30"/>
        </w:rPr>
      </w:pPr>
      <w:r>
        <w:rPr>
          <w:rFonts w:ascii="仿宋_GB2312" w:eastAsia="仿宋_GB2312" w:hAnsi="Calibri" w:cs="仿宋_GB2312" w:hint="eastAsia"/>
          <w:kern w:val="0"/>
          <w:sz w:val="30"/>
          <w:szCs w:val="30"/>
        </w:rPr>
        <w:t>（二）申请可转债上市或者挂牌转让的董事会决议；</w:t>
      </w:r>
    </w:p>
    <w:p w14:paraId="047CFE7B" w14:textId="77777777" w:rsidR="00BF076B" w:rsidRDefault="00000000">
      <w:pPr>
        <w:spacing w:line="600" w:lineRule="exact"/>
        <w:ind w:firstLineChars="200" w:firstLine="600"/>
        <w:rPr>
          <w:rFonts w:ascii="仿宋_GB2312" w:eastAsia="仿宋_GB2312" w:hAnsi="Calibri" w:cs="仿宋_GB2312"/>
          <w:kern w:val="0"/>
          <w:sz w:val="30"/>
          <w:szCs w:val="30"/>
        </w:rPr>
      </w:pPr>
      <w:r>
        <w:rPr>
          <w:rFonts w:ascii="仿宋_GB2312" w:eastAsia="仿宋_GB2312" w:hAnsi="Calibri" w:cs="仿宋_GB2312" w:hint="eastAsia"/>
          <w:kern w:val="0"/>
          <w:sz w:val="30"/>
          <w:szCs w:val="30"/>
        </w:rPr>
        <w:t>（三）上市公告书或者挂牌转让公告书；</w:t>
      </w:r>
    </w:p>
    <w:p w14:paraId="4A3B550D" w14:textId="77777777" w:rsidR="00BF076B" w:rsidRDefault="00000000">
      <w:pPr>
        <w:spacing w:line="600" w:lineRule="exact"/>
        <w:ind w:firstLineChars="200" w:firstLine="600"/>
        <w:rPr>
          <w:rFonts w:ascii="仿宋_GB2312" w:eastAsia="仿宋_GB2312" w:hAnsi="Calibri" w:cs="仿宋_GB2312"/>
          <w:kern w:val="0"/>
          <w:sz w:val="30"/>
          <w:szCs w:val="30"/>
        </w:rPr>
      </w:pPr>
      <w:r>
        <w:rPr>
          <w:rFonts w:ascii="仿宋_GB2312" w:eastAsia="仿宋_GB2312" w:hAnsi="Calibri" w:cs="仿宋_GB2312" w:hint="eastAsia"/>
          <w:kern w:val="0"/>
          <w:sz w:val="30"/>
          <w:szCs w:val="30"/>
        </w:rPr>
        <w:t>（四）保荐协议和保荐人出具的上市或者挂牌转让保荐书，或者独立财务顾问协议和独立财务顾问出具的专业意见；</w:t>
      </w:r>
    </w:p>
    <w:p w14:paraId="613ABF8B" w14:textId="77777777" w:rsidR="00BF076B" w:rsidRDefault="00000000">
      <w:pPr>
        <w:spacing w:line="600" w:lineRule="exact"/>
        <w:ind w:firstLineChars="200" w:firstLine="600"/>
        <w:rPr>
          <w:rFonts w:ascii="仿宋_GB2312" w:eastAsia="仿宋_GB2312" w:hAnsi="Calibri" w:cs="仿宋_GB2312"/>
          <w:kern w:val="0"/>
          <w:sz w:val="30"/>
          <w:szCs w:val="30"/>
        </w:rPr>
      </w:pPr>
      <w:r>
        <w:rPr>
          <w:rFonts w:ascii="仿宋_GB2312" w:eastAsia="仿宋_GB2312" w:hAnsi="Calibri" w:cs="仿宋_GB2312" w:hint="eastAsia"/>
          <w:kern w:val="0"/>
          <w:sz w:val="30"/>
          <w:szCs w:val="30"/>
        </w:rPr>
        <w:t>（五）发行完成后经会计师事务所出具的验资报告（如适用）；</w:t>
      </w:r>
    </w:p>
    <w:p w14:paraId="25D31FF3" w14:textId="77777777" w:rsidR="00BF076B" w:rsidRDefault="00000000">
      <w:pPr>
        <w:spacing w:line="600" w:lineRule="exact"/>
        <w:ind w:firstLineChars="200" w:firstLine="600"/>
        <w:rPr>
          <w:rFonts w:ascii="仿宋_GB2312" w:eastAsia="仿宋_GB2312" w:hAnsi="Calibri" w:cs="仿宋_GB2312"/>
          <w:kern w:val="0"/>
          <w:sz w:val="30"/>
          <w:szCs w:val="30"/>
        </w:rPr>
      </w:pPr>
      <w:r>
        <w:rPr>
          <w:rFonts w:ascii="仿宋_GB2312" w:eastAsia="仿宋_GB2312" w:hAnsi="Calibri" w:cs="仿宋_GB2312" w:hint="eastAsia"/>
          <w:kern w:val="0"/>
          <w:sz w:val="30"/>
          <w:szCs w:val="30"/>
        </w:rPr>
        <w:t>（六）</w:t>
      </w:r>
      <w:r>
        <w:rPr>
          <w:rFonts w:ascii="仿宋_GB2312" w:eastAsia="仿宋_GB2312" w:hint="eastAsia"/>
          <w:sz w:val="30"/>
          <w:szCs w:val="30"/>
        </w:rPr>
        <w:t>中国证券登记结算有限责任公司（以下简称中国结算）上海分公司</w:t>
      </w:r>
      <w:r>
        <w:rPr>
          <w:rFonts w:ascii="仿宋_GB2312" w:eastAsia="仿宋_GB2312" w:hAnsi="Calibri" w:cs="仿宋_GB2312" w:hint="eastAsia"/>
          <w:kern w:val="0"/>
          <w:sz w:val="30"/>
          <w:szCs w:val="30"/>
        </w:rPr>
        <w:t>对新增可转债已登记托管的书面确认文件；</w:t>
      </w:r>
    </w:p>
    <w:p w14:paraId="2F7D68B2" w14:textId="77777777" w:rsidR="00BF076B" w:rsidRDefault="00000000">
      <w:pPr>
        <w:spacing w:line="600" w:lineRule="exact"/>
        <w:ind w:firstLineChars="200" w:firstLine="600"/>
        <w:rPr>
          <w:rFonts w:ascii="仿宋_GB2312" w:eastAsia="仿宋_GB2312" w:hAnsi="Calibri" w:cs="仿宋_GB2312"/>
          <w:kern w:val="0"/>
          <w:sz w:val="30"/>
          <w:szCs w:val="30"/>
        </w:rPr>
      </w:pPr>
      <w:r>
        <w:rPr>
          <w:rFonts w:ascii="仿宋_GB2312" w:eastAsia="仿宋_GB2312" w:hAnsi="Calibri" w:cs="仿宋_GB2312" w:hint="eastAsia"/>
          <w:kern w:val="0"/>
          <w:sz w:val="30"/>
          <w:szCs w:val="30"/>
        </w:rPr>
        <w:t>（七）受托管理协议或者受托管理事项；</w:t>
      </w:r>
    </w:p>
    <w:p w14:paraId="79265013" w14:textId="77777777" w:rsidR="00BF076B" w:rsidRDefault="00000000">
      <w:pPr>
        <w:spacing w:line="600" w:lineRule="exact"/>
        <w:ind w:firstLineChars="200" w:firstLine="600"/>
        <w:rPr>
          <w:rFonts w:ascii="仿宋_GB2312" w:eastAsia="仿宋_GB2312" w:hAnsi="Calibri" w:cs="仿宋_GB2312"/>
          <w:kern w:val="0"/>
          <w:sz w:val="30"/>
          <w:szCs w:val="30"/>
        </w:rPr>
      </w:pPr>
      <w:r>
        <w:rPr>
          <w:rFonts w:ascii="仿宋_GB2312" w:eastAsia="仿宋_GB2312" w:hAnsi="Calibri" w:cs="仿宋_GB2312" w:hint="eastAsia"/>
          <w:kern w:val="0"/>
          <w:sz w:val="30"/>
          <w:szCs w:val="30"/>
        </w:rPr>
        <w:t>（八）发行对象关于承诺及履行情况的说明（如适用）；</w:t>
      </w:r>
    </w:p>
    <w:p w14:paraId="4DDAD9D2" w14:textId="77777777" w:rsidR="00BF076B" w:rsidRDefault="00000000">
      <w:pPr>
        <w:spacing w:line="600" w:lineRule="exact"/>
        <w:ind w:firstLineChars="200" w:firstLine="600"/>
        <w:rPr>
          <w:rFonts w:ascii="仿宋_GB2312" w:eastAsia="仿宋_GB2312" w:hAnsi="Calibri" w:cs="仿宋_GB2312"/>
          <w:kern w:val="0"/>
          <w:sz w:val="30"/>
          <w:szCs w:val="30"/>
        </w:rPr>
      </w:pPr>
      <w:r>
        <w:rPr>
          <w:rFonts w:ascii="仿宋_GB2312" w:eastAsia="仿宋_GB2312" w:hAnsi="Calibri" w:cs="仿宋_GB2312" w:hint="eastAsia"/>
          <w:kern w:val="0"/>
          <w:sz w:val="30"/>
          <w:szCs w:val="30"/>
        </w:rPr>
        <w:t>（九）本所要求的其他文件。</w:t>
      </w:r>
    </w:p>
    <w:p w14:paraId="5FE31CF0" w14:textId="77777777" w:rsidR="00BF076B" w:rsidRDefault="00000000">
      <w:pPr>
        <w:spacing w:line="600" w:lineRule="exact"/>
        <w:ind w:firstLineChars="200" w:firstLine="600"/>
        <w:rPr>
          <w:rFonts w:ascii="仿宋_GB2312" w:eastAsia="仿宋_GB2312" w:hAnsi="Calibri" w:cs="仿宋_GB2312"/>
          <w:b/>
          <w:kern w:val="0"/>
          <w:sz w:val="30"/>
          <w:szCs w:val="30"/>
        </w:rPr>
      </w:pPr>
      <w:r>
        <w:rPr>
          <w:rFonts w:ascii="仿宋_GB2312" w:eastAsia="仿宋_GB2312" w:hAnsi="Calibri" w:cs="仿宋_GB2312" w:hint="eastAsia"/>
          <w:kern w:val="0"/>
          <w:sz w:val="30"/>
          <w:szCs w:val="30"/>
        </w:rPr>
        <w:t>上市公司向本所申请存在限售条件的可转债挂牌时，应当已有部分可转债满足解除限售条件，并至少提前10个交易日向本所提交上述文件。</w:t>
      </w:r>
    </w:p>
    <w:p w14:paraId="26DA0040" w14:textId="77777777" w:rsidR="00BF076B" w:rsidRDefault="00000000">
      <w:pPr>
        <w:spacing w:line="600" w:lineRule="exact"/>
        <w:ind w:firstLineChars="200" w:firstLine="602"/>
        <w:rPr>
          <w:rFonts w:ascii="仿宋_GB2312" w:eastAsia="仿宋_GB2312"/>
          <w:kern w:val="24"/>
          <w:sz w:val="30"/>
          <w:szCs w:val="30"/>
        </w:rPr>
      </w:pPr>
      <w:r>
        <w:rPr>
          <w:rFonts w:ascii="仿宋_GB2312" w:eastAsia="仿宋_GB2312" w:hint="eastAsia"/>
          <w:b/>
          <w:kern w:val="24"/>
          <w:sz w:val="30"/>
          <w:szCs w:val="30"/>
        </w:rPr>
        <w:t xml:space="preserve">第五条 </w:t>
      </w:r>
      <w:r>
        <w:rPr>
          <w:rFonts w:ascii="仿宋_GB2312" w:eastAsia="仿宋_GB2312" w:hint="eastAsia"/>
          <w:kern w:val="24"/>
          <w:sz w:val="30"/>
          <w:szCs w:val="30"/>
        </w:rPr>
        <w:t>上市公司在本所同意其可转债上市或者挂牌的申请后，应当于可转债上市或者挂牌至少3个交易日前披露上市或者挂牌转让公告书，公告书内容应当载明可转债的基本情况、发行人概况、主要发行条款、担保事项（如有）、发行人的资信情况、偿债措施、发行人财务会计资料、承诺履行情况（如有）、符合上市或者挂牌条件的说明、上市或者挂牌推荐意见等。</w:t>
      </w:r>
    </w:p>
    <w:p w14:paraId="144861A8" w14:textId="77777777" w:rsidR="00BF076B" w:rsidRDefault="00000000">
      <w:pPr>
        <w:tabs>
          <w:tab w:val="left" w:pos="1080"/>
        </w:tabs>
        <w:spacing w:line="600" w:lineRule="exact"/>
        <w:ind w:firstLineChars="200" w:firstLine="602"/>
        <w:rPr>
          <w:rFonts w:ascii="仿宋_GB2312" w:eastAsia="仿宋_GB2312" w:hAnsi="Arial Unicode MS" w:cs="Arial Unicode MS" w:hint="eastAsia"/>
          <w:color w:val="000000"/>
          <w:sz w:val="30"/>
          <w:szCs w:val="30"/>
        </w:rPr>
      </w:pPr>
      <w:r>
        <w:rPr>
          <w:rFonts w:ascii="仿宋_GB2312" w:eastAsia="仿宋_GB2312" w:hint="eastAsia"/>
          <w:b/>
          <w:kern w:val="24"/>
          <w:sz w:val="30"/>
          <w:szCs w:val="30"/>
        </w:rPr>
        <w:lastRenderedPageBreak/>
        <w:t xml:space="preserve">第六条 </w:t>
      </w:r>
      <w:r>
        <w:rPr>
          <w:rFonts w:ascii="仿宋_GB2312" w:eastAsia="仿宋_GB2312" w:hAnsi="Arial Unicode MS" w:cs="Arial Unicode MS" w:hint="eastAsia"/>
          <w:color w:val="000000"/>
          <w:sz w:val="30"/>
          <w:szCs w:val="30"/>
        </w:rPr>
        <w:t>上市公司股票被终止上市的，可转债同步终止上市或者挂牌。可转债终止上市或者挂牌事宜，参照股票终止上市的有关规定执行。</w:t>
      </w:r>
    </w:p>
    <w:p w14:paraId="37D72BAB" w14:textId="77777777" w:rsidR="00BF076B" w:rsidRDefault="00000000">
      <w:pPr>
        <w:tabs>
          <w:tab w:val="left" w:pos="1080"/>
        </w:tabs>
        <w:spacing w:line="600" w:lineRule="exact"/>
        <w:ind w:firstLineChars="200" w:firstLine="600"/>
        <w:rPr>
          <w:rFonts w:ascii="仿宋_GB2312" w:eastAsia="仿宋_GB2312" w:hAnsi="Arial Unicode MS" w:cs="Arial Unicode MS" w:hint="eastAsia"/>
          <w:color w:val="000000"/>
          <w:sz w:val="30"/>
          <w:szCs w:val="30"/>
        </w:rPr>
      </w:pPr>
      <w:r>
        <w:rPr>
          <w:rFonts w:ascii="仿宋_GB2312" w:eastAsia="仿宋_GB2312" w:hint="eastAsia"/>
          <w:color w:val="000000"/>
          <w:sz w:val="30"/>
          <w:szCs w:val="30"/>
        </w:rPr>
        <w:t>可转债全部完成转股、回售、赎回或者到期兑付的，应当同时向本所申请摘牌。</w:t>
      </w:r>
    </w:p>
    <w:p w14:paraId="54B31D74" w14:textId="77777777" w:rsidR="00BF076B" w:rsidRDefault="00000000">
      <w:pPr>
        <w:spacing w:line="600" w:lineRule="exact"/>
        <w:jc w:val="center"/>
        <w:rPr>
          <w:rFonts w:ascii="黑体" w:eastAsia="黑体"/>
          <w:b/>
          <w:sz w:val="30"/>
          <w:szCs w:val="30"/>
        </w:rPr>
      </w:pPr>
      <w:r>
        <w:rPr>
          <w:rFonts w:ascii="黑体" w:eastAsia="黑体" w:hint="eastAsia"/>
          <w:b/>
          <w:sz w:val="30"/>
          <w:szCs w:val="30"/>
        </w:rPr>
        <w:t>第三章  转股</w:t>
      </w:r>
    </w:p>
    <w:p w14:paraId="767DDF47" w14:textId="77777777" w:rsidR="00BF076B" w:rsidRDefault="00000000">
      <w:pPr>
        <w:spacing w:line="600" w:lineRule="exact"/>
        <w:ind w:firstLineChars="200" w:firstLine="602"/>
        <w:rPr>
          <w:rFonts w:ascii="仿宋_GB2312" w:eastAsia="仿宋_GB2312" w:hAnsi="仿宋_GB2312" w:cs="仿宋_GB2312" w:hint="eastAsia"/>
          <w:sz w:val="30"/>
          <w:szCs w:val="30"/>
        </w:rPr>
      </w:pPr>
      <w:r>
        <w:rPr>
          <w:rFonts w:ascii="仿宋_GB2312" w:eastAsia="仿宋_GB2312" w:hAnsi="仿宋_GB2312" w:cs="仿宋_GB2312" w:hint="eastAsia"/>
          <w:b/>
          <w:sz w:val="30"/>
          <w:szCs w:val="30"/>
        </w:rPr>
        <w:t xml:space="preserve">第七条 </w:t>
      </w:r>
      <w:r>
        <w:rPr>
          <w:rFonts w:ascii="仿宋_GB2312" w:eastAsia="仿宋_GB2312" w:hAnsi="仿宋_GB2312" w:cs="仿宋_GB2312" w:hint="eastAsia"/>
          <w:sz w:val="30"/>
          <w:szCs w:val="30"/>
        </w:rPr>
        <w:t>可转债自发行结束之日起不少于6个月后方可转换为上市公司股票，转股期限由公司根据可转债的存续期限及公司财务状况确定。</w:t>
      </w:r>
    </w:p>
    <w:p w14:paraId="55EB9576" w14:textId="77777777" w:rsidR="00BF076B" w:rsidRDefault="00000000">
      <w:pPr>
        <w:spacing w:line="6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可转债持有人对转股或者不转股有选择权，并于转股的次日成为上市公司股东。</w:t>
      </w:r>
    </w:p>
    <w:p w14:paraId="49D1B4A5" w14:textId="77777777" w:rsidR="00BF076B" w:rsidRDefault="00000000">
      <w:pPr>
        <w:spacing w:line="600" w:lineRule="exact"/>
        <w:ind w:firstLineChars="200" w:firstLine="602"/>
        <w:rPr>
          <w:rFonts w:ascii="仿宋_GB2312" w:eastAsia="仿宋_GB2312" w:hAnsi="宋体" w:hint="eastAsia"/>
          <w:sz w:val="30"/>
          <w:szCs w:val="30"/>
        </w:rPr>
      </w:pPr>
      <w:r>
        <w:rPr>
          <w:rFonts w:ascii="仿宋_GB2312" w:eastAsia="仿宋_GB2312" w:hAnsi="仿宋_GB2312" w:cs="仿宋_GB2312" w:hint="eastAsia"/>
          <w:b/>
          <w:sz w:val="30"/>
          <w:szCs w:val="30"/>
        </w:rPr>
        <w:t xml:space="preserve">第八条 </w:t>
      </w:r>
      <w:r>
        <w:rPr>
          <w:rFonts w:ascii="仿宋_GB2312" w:eastAsia="仿宋_GB2312" w:hAnsi="仿宋_GB2312" w:cs="仿宋_GB2312" w:hint="eastAsia"/>
          <w:sz w:val="30"/>
          <w:szCs w:val="30"/>
        </w:rPr>
        <w:t>可转债进入转股期的，上市公司应当提前3个交易日披露可转债实施转股的公告</w:t>
      </w:r>
      <w:r>
        <w:rPr>
          <w:rFonts w:ascii="仿宋_GB2312" w:eastAsia="仿宋_GB2312" w:hAnsi="宋体" w:hint="eastAsia"/>
          <w:sz w:val="30"/>
          <w:szCs w:val="30"/>
        </w:rPr>
        <w:t>。</w:t>
      </w:r>
    </w:p>
    <w:p w14:paraId="0D0C038C" w14:textId="77777777" w:rsidR="00BF076B" w:rsidRDefault="00000000">
      <w:pPr>
        <w:spacing w:line="600" w:lineRule="exact"/>
        <w:ind w:firstLineChars="200" w:firstLine="600"/>
        <w:rPr>
          <w:rFonts w:ascii="仿宋_GB2312" w:eastAsia="仿宋_GB2312"/>
          <w:sz w:val="30"/>
          <w:szCs w:val="30"/>
        </w:rPr>
      </w:pPr>
      <w:r>
        <w:rPr>
          <w:rFonts w:ascii="仿宋_GB2312" w:eastAsia="仿宋_GB2312" w:hint="eastAsia"/>
          <w:sz w:val="30"/>
          <w:szCs w:val="30"/>
        </w:rPr>
        <w:t>公告内容应当包括可转债的基本情况、转股起止时间、转股程序、转股来源、转股价格及历次调整和修正情况（如有）、转股后股份的流通条件及日期（如有）等内容。</w:t>
      </w:r>
    </w:p>
    <w:p w14:paraId="20F0D107" w14:textId="77777777" w:rsidR="00BF076B" w:rsidRDefault="00000000">
      <w:pPr>
        <w:spacing w:line="600" w:lineRule="exact"/>
        <w:ind w:firstLineChars="200" w:firstLine="602"/>
        <w:rPr>
          <w:rFonts w:ascii="仿宋_GB2312" w:eastAsia="仿宋_GB2312"/>
          <w:sz w:val="30"/>
          <w:szCs w:val="30"/>
        </w:rPr>
      </w:pPr>
      <w:r>
        <w:rPr>
          <w:rFonts w:ascii="仿宋_GB2312" w:eastAsia="仿宋_GB2312" w:hint="eastAsia"/>
          <w:b/>
          <w:sz w:val="30"/>
          <w:szCs w:val="30"/>
        </w:rPr>
        <w:t xml:space="preserve">第九条 </w:t>
      </w:r>
      <w:r>
        <w:rPr>
          <w:rFonts w:ascii="仿宋_GB2312" w:eastAsia="仿宋_GB2312" w:hint="eastAsia"/>
          <w:sz w:val="30"/>
          <w:szCs w:val="30"/>
        </w:rPr>
        <w:t>可转债进入转股期后，可转债持有人申请转换为公司股票的，向不特定对象发行的可转债</w:t>
      </w:r>
      <w:r>
        <w:rPr>
          <w:rFonts w:ascii="仿宋_GB2312" w:eastAsia="仿宋_GB2312" w:hAnsi="宋体" w:hint="eastAsia"/>
          <w:sz w:val="30"/>
          <w:szCs w:val="30"/>
        </w:rPr>
        <w:t>申报要素应当包括证券代码、转股数量等，</w:t>
      </w:r>
      <w:r>
        <w:rPr>
          <w:rFonts w:ascii="仿宋_GB2312" w:eastAsia="仿宋_GB2312" w:hint="eastAsia"/>
          <w:sz w:val="30"/>
          <w:szCs w:val="30"/>
        </w:rPr>
        <w:t>向特定对象发行的可转债</w:t>
      </w:r>
      <w:r>
        <w:rPr>
          <w:rFonts w:ascii="仿宋_GB2312" w:eastAsia="仿宋_GB2312" w:hAnsi="宋体" w:hint="eastAsia"/>
          <w:sz w:val="30"/>
          <w:szCs w:val="30"/>
        </w:rPr>
        <w:t>申报要素还应当包括转股价格，且投资者申报的转股价格与上市公司公开披露的有效转股价格一致的为有效申报</w:t>
      </w:r>
      <w:r>
        <w:rPr>
          <w:rFonts w:ascii="仿宋_GB2312" w:eastAsia="仿宋_GB2312" w:hint="eastAsia"/>
          <w:sz w:val="30"/>
          <w:szCs w:val="30"/>
        </w:rPr>
        <w:t>。</w:t>
      </w:r>
    </w:p>
    <w:p w14:paraId="518FB1BD" w14:textId="77777777" w:rsidR="00BF076B" w:rsidRDefault="00000000">
      <w:pPr>
        <w:spacing w:line="600" w:lineRule="exact"/>
        <w:ind w:firstLineChars="200" w:firstLine="600"/>
        <w:rPr>
          <w:rFonts w:ascii="仿宋_GB2312" w:eastAsia="仿宋_GB2312"/>
          <w:sz w:val="30"/>
          <w:szCs w:val="30"/>
        </w:rPr>
      </w:pPr>
      <w:r>
        <w:rPr>
          <w:rFonts w:ascii="仿宋_GB2312" w:eastAsia="仿宋_GB2312" w:hint="eastAsia"/>
          <w:sz w:val="30"/>
          <w:szCs w:val="30"/>
        </w:rPr>
        <w:t>投资者当日买入的可转债当日可申报转股。投资者可于当日交易时间内撤销转股申请。</w:t>
      </w:r>
    </w:p>
    <w:p w14:paraId="10A28258" w14:textId="77777777" w:rsidR="00BF076B" w:rsidRDefault="00000000">
      <w:pPr>
        <w:pStyle w:val="afc"/>
        <w:spacing w:line="600" w:lineRule="exact"/>
        <w:ind w:firstLine="602"/>
        <w:rPr>
          <w:rFonts w:ascii="仿宋_GB2312" w:eastAsia="仿宋_GB2312" w:hAnsi="宋体" w:hint="eastAsia"/>
          <w:sz w:val="30"/>
          <w:szCs w:val="30"/>
        </w:rPr>
      </w:pPr>
      <w:r>
        <w:rPr>
          <w:rFonts w:ascii="仿宋_GB2312" w:eastAsia="仿宋_GB2312" w:hAnsi="宋体" w:hint="eastAsia"/>
          <w:b/>
          <w:sz w:val="30"/>
          <w:szCs w:val="30"/>
        </w:rPr>
        <w:lastRenderedPageBreak/>
        <w:t xml:space="preserve">第十条 </w:t>
      </w:r>
      <w:r>
        <w:rPr>
          <w:rFonts w:ascii="仿宋_GB2312" w:eastAsia="仿宋_GB2312" w:hAnsi="宋体" w:hint="eastAsia"/>
          <w:sz w:val="30"/>
          <w:szCs w:val="30"/>
        </w:rPr>
        <w:t>可转债转股的最小单位</w:t>
      </w:r>
      <w:r>
        <w:rPr>
          <w:rFonts w:ascii="仿宋_GB2312" w:eastAsia="仿宋_GB2312" w:hAnsi="宋体"/>
          <w:sz w:val="30"/>
          <w:szCs w:val="30"/>
        </w:rPr>
        <w:t>为1股。</w:t>
      </w:r>
      <w:r>
        <w:rPr>
          <w:rFonts w:ascii="仿宋_GB2312" w:eastAsia="仿宋_GB2312" w:hint="eastAsia"/>
          <w:sz w:val="30"/>
          <w:szCs w:val="30"/>
        </w:rPr>
        <w:t>可转债持有人</w:t>
      </w:r>
      <w:r>
        <w:rPr>
          <w:rFonts w:ascii="仿宋_GB2312" w:eastAsia="仿宋_GB2312" w:hAnsi="宋体" w:hint="eastAsia"/>
          <w:sz w:val="30"/>
          <w:szCs w:val="30"/>
        </w:rPr>
        <w:t>申报转股的可转债数额大于其实际拥有的数额的，按其实际拥有的数额进行转股。</w:t>
      </w:r>
      <w:r>
        <w:rPr>
          <w:rFonts w:ascii="仿宋_GB2312" w:eastAsia="仿宋_GB2312" w:hint="eastAsia"/>
          <w:sz w:val="30"/>
          <w:szCs w:val="30"/>
        </w:rPr>
        <w:t>可转债持有人</w:t>
      </w:r>
      <w:r>
        <w:rPr>
          <w:rFonts w:ascii="仿宋_GB2312" w:eastAsia="仿宋_GB2312" w:hAnsi="宋体" w:hint="eastAsia"/>
          <w:sz w:val="30"/>
          <w:szCs w:val="30"/>
        </w:rPr>
        <w:t>转股申报中不</w:t>
      </w:r>
      <w:r>
        <w:rPr>
          <w:rFonts w:ascii="仿宋_GB2312" w:eastAsia="仿宋_GB2312" w:hAnsi="宋体"/>
          <w:sz w:val="30"/>
          <w:szCs w:val="30"/>
        </w:rPr>
        <w:t>足转换1</w:t>
      </w:r>
      <w:r>
        <w:rPr>
          <w:rFonts w:ascii="仿宋_GB2312" w:eastAsia="仿宋_GB2312" w:hAnsi="宋体" w:hint="eastAsia"/>
          <w:sz w:val="30"/>
          <w:szCs w:val="30"/>
        </w:rPr>
        <w:t>股股份的可转债票面余额，由上市公司通过中国结算</w:t>
      </w:r>
      <w:r>
        <w:rPr>
          <w:rFonts w:ascii="仿宋_GB2312" w:eastAsia="仿宋_GB2312" w:hint="eastAsia"/>
          <w:sz w:val="30"/>
          <w:szCs w:val="30"/>
        </w:rPr>
        <w:t>上海分公司</w:t>
      </w:r>
      <w:r>
        <w:rPr>
          <w:rFonts w:ascii="仿宋_GB2312" w:eastAsia="仿宋_GB2312" w:hAnsi="宋体" w:hint="eastAsia"/>
          <w:sz w:val="30"/>
          <w:szCs w:val="30"/>
        </w:rPr>
        <w:t>进行资金兑付。</w:t>
      </w:r>
    </w:p>
    <w:p w14:paraId="456F25E9" w14:textId="77777777" w:rsidR="00BF076B" w:rsidRDefault="00000000">
      <w:pPr>
        <w:spacing w:line="600" w:lineRule="exact"/>
        <w:ind w:firstLine="602"/>
        <w:rPr>
          <w:rFonts w:ascii="仿宋_GB2312" w:eastAsia="仿宋_GB2312" w:hAnsi="宋体" w:hint="eastAsia"/>
          <w:sz w:val="30"/>
          <w:szCs w:val="30"/>
        </w:rPr>
      </w:pPr>
      <w:r>
        <w:rPr>
          <w:rFonts w:ascii="仿宋_GB2312" w:eastAsia="仿宋_GB2312" w:hAnsi="宋体" w:hint="eastAsia"/>
          <w:b/>
          <w:sz w:val="30"/>
          <w:szCs w:val="30"/>
        </w:rPr>
        <w:t>第十一条</w:t>
      </w:r>
      <w:r>
        <w:rPr>
          <w:rFonts w:ascii="仿宋_GB2312" w:eastAsia="仿宋_GB2312" w:hAnsi="仿宋_GB2312" w:cs="仿宋_GB2312" w:hint="eastAsia"/>
          <w:b/>
          <w:sz w:val="30"/>
          <w:szCs w:val="30"/>
        </w:rPr>
        <w:t xml:space="preserve"> </w:t>
      </w:r>
      <w:r>
        <w:rPr>
          <w:rFonts w:ascii="仿宋_GB2312" w:eastAsia="仿宋_GB2312" w:hint="eastAsia"/>
          <w:sz w:val="30"/>
          <w:szCs w:val="30"/>
        </w:rPr>
        <w:t>向特定对象发行的可转债持有人</w:t>
      </w:r>
      <w:r>
        <w:rPr>
          <w:rFonts w:ascii="仿宋_GB2312" w:eastAsia="仿宋_GB2312" w:hAnsi="宋体" w:hint="eastAsia"/>
          <w:sz w:val="30"/>
          <w:szCs w:val="30"/>
        </w:rPr>
        <w:t>同时持有已解除限售的可转债和限售可转债的，按照以下顺序实施转股：</w:t>
      </w:r>
    </w:p>
    <w:p w14:paraId="540E4179" w14:textId="77777777" w:rsidR="00BF076B" w:rsidRDefault="00000000">
      <w:pPr>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（一）已解除限售的可转债；</w:t>
      </w:r>
    </w:p>
    <w:p w14:paraId="41F29307" w14:textId="77777777" w:rsidR="00BF076B" w:rsidRDefault="00000000">
      <w:pPr>
        <w:spacing w:line="600" w:lineRule="exact"/>
        <w:ind w:left="602"/>
        <w:rPr>
          <w:rFonts w:ascii="仿宋_GB2312" w:eastAsia="仿宋_GB2312" w:hAnsi="宋体" w:hint="eastAsia"/>
          <w:sz w:val="30"/>
          <w:szCs w:val="30"/>
        </w:rPr>
      </w:pPr>
      <w:r>
        <w:rPr>
          <w:rFonts w:ascii="仿宋_GB2312" w:eastAsia="仿宋_GB2312" w:hAnsi="宋体" w:hint="eastAsia"/>
          <w:sz w:val="30"/>
          <w:szCs w:val="30"/>
        </w:rPr>
        <w:t>（二）剩余限售期限较短的可转债；</w:t>
      </w:r>
    </w:p>
    <w:p w14:paraId="11FF45BE" w14:textId="77777777" w:rsidR="00BF076B" w:rsidRDefault="00000000">
      <w:pPr>
        <w:spacing w:line="600" w:lineRule="exact"/>
        <w:ind w:left="602"/>
        <w:rPr>
          <w:rFonts w:ascii="仿宋_GB2312" w:eastAsia="仿宋_GB2312" w:hAnsi="宋体" w:hint="eastAsia"/>
          <w:sz w:val="30"/>
          <w:szCs w:val="30"/>
        </w:rPr>
      </w:pPr>
      <w:r>
        <w:rPr>
          <w:rFonts w:ascii="仿宋_GB2312" w:eastAsia="仿宋_GB2312" w:hAnsi="宋体" w:hint="eastAsia"/>
          <w:sz w:val="30"/>
          <w:szCs w:val="30"/>
        </w:rPr>
        <w:t>（三）剩余限售期限较长的可转债。</w:t>
      </w:r>
    </w:p>
    <w:p w14:paraId="09234778" w14:textId="77777777" w:rsidR="00BF076B" w:rsidRDefault="00000000">
      <w:pPr>
        <w:spacing w:line="600" w:lineRule="exact"/>
        <w:ind w:firstLineChars="200" w:firstLine="602"/>
        <w:rPr>
          <w:rFonts w:ascii="仿宋_GB2312" w:eastAsia="仿宋_GB2312"/>
          <w:sz w:val="30"/>
          <w:szCs w:val="30"/>
        </w:rPr>
      </w:pPr>
      <w:r>
        <w:rPr>
          <w:rFonts w:ascii="仿宋_GB2312" w:eastAsia="仿宋_GB2312" w:hint="eastAsia"/>
          <w:b/>
          <w:sz w:val="30"/>
          <w:szCs w:val="30"/>
        </w:rPr>
        <w:t xml:space="preserve">第十二条 </w:t>
      </w:r>
      <w:r>
        <w:rPr>
          <w:rFonts w:ascii="仿宋_GB2312" w:eastAsia="仿宋_GB2312" w:hint="eastAsia"/>
          <w:sz w:val="30"/>
          <w:szCs w:val="30"/>
        </w:rPr>
        <w:t>向不特定对象发行的可转债转换后的股票将于转股后的次一交易日上市交易。</w:t>
      </w:r>
    </w:p>
    <w:p w14:paraId="297977F9" w14:textId="77777777" w:rsidR="00BF076B" w:rsidRDefault="00000000">
      <w:pPr>
        <w:spacing w:line="600" w:lineRule="exact"/>
        <w:ind w:firstLineChars="200" w:firstLine="600"/>
        <w:rPr>
          <w:rFonts w:ascii="仿宋_GB2312" w:eastAsia="仿宋_GB2312"/>
          <w:sz w:val="30"/>
          <w:szCs w:val="30"/>
        </w:rPr>
      </w:pPr>
      <w:r>
        <w:rPr>
          <w:rFonts w:ascii="仿宋_GB2312" w:eastAsia="仿宋_GB2312" w:hint="eastAsia"/>
          <w:sz w:val="30"/>
          <w:szCs w:val="30"/>
        </w:rPr>
        <w:t>向特定对象发行的可转债，转换后的股票无限售期要求的，将于转股后的次一交易日上市交易；转换后的股票有限售期要求的，上市公司可在有关股票满足解除限售相关条件后，按照本所相关规定申请办理解除股份限售业务，并在解除限售的3个交易日前披露公告。</w:t>
      </w:r>
    </w:p>
    <w:p w14:paraId="33FC59D5" w14:textId="77777777" w:rsidR="00BF076B" w:rsidRDefault="00000000">
      <w:pPr>
        <w:spacing w:line="600" w:lineRule="exact"/>
        <w:ind w:firstLineChars="200" w:firstLine="602"/>
        <w:rPr>
          <w:rFonts w:ascii="仿宋_GB2312" w:eastAsia="仿宋_GB2312" w:hAnsi="宋体" w:hint="eastAsia"/>
          <w:sz w:val="30"/>
          <w:szCs w:val="30"/>
        </w:rPr>
      </w:pPr>
      <w:r>
        <w:rPr>
          <w:rFonts w:ascii="仿宋_GB2312" w:eastAsia="仿宋_GB2312" w:hAnsi="仿宋_GB2312" w:cs="仿宋_GB2312" w:hint="eastAsia"/>
          <w:b/>
          <w:sz w:val="30"/>
          <w:szCs w:val="30"/>
        </w:rPr>
        <w:t xml:space="preserve">第十三条 </w:t>
      </w:r>
      <w:r>
        <w:rPr>
          <w:rFonts w:ascii="仿宋_GB2312" w:eastAsia="仿宋_GB2312" w:hAnsi="宋体" w:hint="eastAsia"/>
          <w:sz w:val="30"/>
          <w:szCs w:val="30"/>
        </w:rPr>
        <w:t>上市公司可以将回购股份用于转股，拟新增使用回购股份作为转股来源方式的，应当按照本所回购股份相关规定以及</w:t>
      </w:r>
      <w:r>
        <w:rPr>
          <w:rFonts w:ascii="仿宋_GB2312" w:eastAsia="仿宋_GB2312" w:hAnsi="仿宋_GB2312" w:cs="仿宋_GB2312" w:hint="eastAsia"/>
          <w:sz w:val="30"/>
          <w:szCs w:val="30"/>
        </w:rPr>
        <w:t>募集说明书或者重组报告书约定</w:t>
      </w:r>
      <w:r>
        <w:rPr>
          <w:rFonts w:ascii="仿宋_GB2312" w:eastAsia="仿宋_GB2312" w:hAnsi="宋体" w:hint="eastAsia"/>
          <w:sz w:val="30"/>
          <w:szCs w:val="30"/>
        </w:rPr>
        <w:t>履行相应审议程序。</w:t>
      </w:r>
    </w:p>
    <w:p w14:paraId="730F1A11" w14:textId="77777777" w:rsidR="00BF076B" w:rsidRDefault="00000000">
      <w:pPr>
        <w:spacing w:line="600" w:lineRule="exact"/>
        <w:ind w:firstLineChars="200" w:firstLine="600"/>
        <w:rPr>
          <w:rFonts w:ascii="仿宋_GB2312" w:eastAsia="仿宋_GB2312" w:hAnsi="宋体" w:hint="eastAsia"/>
          <w:b/>
          <w:sz w:val="30"/>
          <w:szCs w:val="30"/>
        </w:rPr>
      </w:pPr>
      <w:r>
        <w:rPr>
          <w:rFonts w:ascii="仿宋_GB2312" w:eastAsia="仿宋_GB2312" w:hAnsi="宋体" w:hint="eastAsia"/>
          <w:sz w:val="30"/>
          <w:szCs w:val="30"/>
        </w:rPr>
        <w:t>上市公司拟将回购股份用于转股的，需要向中国结算</w:t>
      </w:r>
      <w:r>
        <w:rPr>
          <w:rFonts w:ascii="仿宋_GB2312" w:eastAsia="仿宋_GB2312" w:hint="eastAsia"/>
          <w:sz w:val="30"/>
          <w:szCs w:val="30"/>
        </w:rPr>
        <w:t>上海分公司</w:t>
      </w:r>
      <w:r>
        <w:rPr>
          <w:rFonts w:ascii="仿宋_GB2312" w:eastAsia="仿宋_GB2312" w:hAnsi="宋体" w:hint="eastAsia"/>
          <w:sz w:val="30"/>
          <w:szCs w:val="30"/>
        </w:rPr>
        <w:t>申请指定其名下一个回购专用证券账户作为转股专门账户，并使用该转股专门账户回购股份或者将其他回购专用证券账户中的回购股份划入转股专门账户用于转股。</w:t>
      </w:r>
    </w:p>
    <w:p w14:paraId="2567E847" w14:textId="77777777" w:rsidR="00BF076B" w:rsidRDefault="00000000">
      <w:pPr>
        <w:spacing w:line="60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lastRenderedPageBreak/>
        <w:t>第十四条</w:t>
      </w:r>
      <w:r>
        <w:rPr>
          <w:rFonts w:ascii="仿宋_GB2312" w:eastAsia="仿宋_GB2312" w:hAnsi="仿宋_GB2312" w:cs="仿宋_GB2312" w:hint="eastAsia"/>
          <w:b/>
          <w:sz w:val="30"/>
          <w:szCs w:val="30"/>
        </w:rPr>
        <w:t xml:space="preserve"> </w:t>
      </w:r>
      <w:r>
        <w:rPr>
          <w:rFonts w:ascii="仿宋_GB2312" w:eastAsia="仿宋_GB2312" w:hAnsi="宋体" w:hint="eastAsia"/>
          <w:sz w:val="30"/>
          <w:szCs w:val="30"/>
        </w:rPr>
        <w:t>上市公司同时采用增发股份与回购股份作为转股来源的，按照以下原则转股：</w:t>
      </w:r>
    </w:p>
    <w:p w14:paraId="1E46A710" w14:textId="77777777" w:rsidR="00BF076B" w:rsidRDefault="00000000">
      <w:pPr>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（一）投资者使用无限售的可转债转股的，且转股所得股份为无限售条件流通股的，优先使用回购股份作为转股来源，回购股份不足时使用增发股份作为转股来源；</w:t>
      </w:r>
    </w:p>
    <w:p w14:paraId="1783DE4B" w14:textId="77777777" w:rsidR="00BF076B" w:rsidRDefault="00000000">
      <w:pPr>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（二）投资者使用限售的可转债转股的，或者转股所得股份为有限售条件流通股的，仅使用增发股份作为转股来源。</w:t>
      </w:r>
    </w:p>
    <w:p w14:paraId="38F38FAE" w14:textId="77777777" w:rsidR="00BF076B" w:rsidRDefault="00000000">
      <w:pPr>
        <w:spacing w:line="600" w:lineRule="exact"/>
        <w:ind w:firstLine="600"/>
        <w:rPr>
          <w:rFonts w:ascii="仿宋_GB2312" w:eastAsia="仿宋_GB2312" w:hAnsi="宋体" w:hint="eastAsia"/>
          <w:sz w:val="30"/>
          <w:szCs w:val="30"/>
        </w:rPr>
      </w:pPr>
      <w:r>
        <w:rPr>
          <w:rFonts w:ascii="仿宋_GB2312" w:eastAsia="仿宋_GB2312" w:hAnsi="仿宋_GB2312" w:cs="仿宋_GB2312" w:hint="eastAsia"/>
          <w:b/>
          <w:sz w:val="30"/>
          <w:szCs w:val="30"/>
        </w:rPr>
        <w:t xml:space="preserve">第十五条 </w:t>
      </w:r>
      <w:r>
        <w:rPr>
          <w:rFonts w:ascii="仿宋_GB2312" w:eastAsia="仿宋_GB2312" w:hAnsi="仿宋_GB2312" w:cs="仿宋_GB2312" w:hint="eastAsia"/>
          <w:sz w:val="30"/>
          <w:szCs w:val="30"/>
        </w:rPr>
        <w:t>可转债发行后，因派息或者因配股、增发、送股、分立、减资及其他原因引起上市公司股份变动的，公司应当按照募集说明书或者重组报告书规定的原则及方式，同时调整转股价格，并</w:t>
      </w:r>
      <w:r>
        <w:rPr>
          <w:rFonts w:ascii="仿宋_GB2312" w:eastAsia="仿宋_GB2312" w:hAnsi="宋体" w:hint="eastAsia"/>
          <w:sz w:val="30"/>
          <w:szCs w:val="30"/>
        </w:rPr>
        <w:t>及时履行信息披露义务。</w:t>
      </w:r>
    </w:p>
    <w:p w14:paraId="72DBD508" w14:textId="77777777" w:rsidR="00BF076B" w:rsidRDefault="00000000">
      <w:pPr>
        <w:pStyle w:val="afc"/>
        <w:spacing w:line="600" w:lineRule="exact"/>
        <w:ind w:firstLine="602"/>
        <w:rPr>
          <w:rFonts w:ascii="仿宋_GB2312" w:eastAsia="仿宋_GB2312" w:hAnsi="仿宋_GB2312" w:cs="仿宋_GB2312" w:hint="eastAsia"/>
          <w:sz w:val="30"/>
          <w:szCs w:val="30"/>
        </w:rPr>
      </w:pPr>
      <w:r>
        <w:rPr>
          <w:rFonts w:ascii="仿宋_GB2312" w:eastAsia="仿宋_GB2312" w:hAnsi="宋体" w:hint="eastAsia"/>
          <w:b/>
          <w:sz w:val="30"/>
          <w:szCs w:val="30"/>
        </w:rPr>
        <w:t>第十六条</w:t>
      </w:r>
      <w:r>
        <w:rPr>
          <w:rFonts w:ascii="仿宋_GB2312" w:eastAsia="仿宋_GB2312" w:hAnsi="仿宋_GB2312" w:cs="仿宋_GB2312" w:hint="eastAsia"/>
          <w:b/>
          <w:sz w:val="30"/>
          <w:szCs w:val="30"/>
        </w:rPr>
        <w:t xml:space="preserve"> </w:t>
      </w:r>
      <w:r>
        <w:rPr>
          <w:rFonts w:ascii="仿宋_GB2312" w:eastAsia="仿宋_GB2312" w:hAnsi="仿宋_GB2312" w:cs="仿宋_GB2312" w:hint="eastAsia"/>
          <w:sz w:val="30"/>
          <w:szCs w:val="30"/>
        </w:rPr>
        <w:t>上市公司应当在预计触发转股价格修正条件的5个交易日前及时披露提示性公告。</w:t>
      </w:r>
    </w:p>
    <w:p w14:paraId="76889767" w14:textId="77777777" w:rsidR="00BF076B" w:rsidRDefault="00000000">
      <w:pPr>
        <w:pStyle w:val="afc"/>
        <w:spacing w:line="600" w:lineRule="exact"/>
        <w:ind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在转股价格修正条件触发当日，上市公司应当召开董事会审议决定是否修正转股价格，在次一交易日开市前披露修正或者不修正可转债转股价格的提示性公告，并按照募集说明书或者重组报告书的约定及时履行后续审议程序和信息披露义务。</w:t>
      </w:r>
      <w:r>
        <w:rPr>
          <w:rFonts w:ascii="仿宋_GB2312" w:eastAsia="仿宋_GB2312" w:hint="eastAsia"/>
          <w:sz w:val="30"/>
          <w:szCs w:val="30"/>
        </w:rPr>
        <w:t>上市公司未按本款规定履行审议程序及信息披露义务的，视为本次不修正转股价格。</w:t>
      </w:r>
    </w:p>
    <w:p w14:paraId="7125423A" w14:textId="77777777" w:rsidR="00BF076B" w:rsidRDefault="00000000">
      <w:pPr>
        <w:pStyle w:val="afc"/>
        <w:spacing w:line="600" w:lineRule="exact"/>
        <w:ind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上市公司修正转股价格的，应当及时披露转股价格修正公告。公告应当包括修正前的转股价格、修正后的转股价格、修正转股价格履行的审议程序、转股价格修正的起始时间等内容。</w:t>
      </w:r>
    </w:p>
    <w:p w14:paraId="3D6A95FE" w14:textId="77777777" w:rsidR="00BF076B" w:rsidRDefault="00000000">
      <w:pPr>
        <w:pStyle w:val="afc"/>
        <w:spacing w:line="600" w:lineRule="exact"/>
        <w:ind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上市公司不修正转股价格的，下一触发转股价格修正条件的</w:t>
      </w:r>
      <w:r>
        <w:rPr>
          <w:rFonts w:ascii="仿宋_GB2312" w:eastAsia="仿宋_GB2312" w:hAnsi="仿宋_GB2312" w:cs="仿宋_GB2312" w:hint="eastAsia"/>
          <w:sz w:val="30"/>
          <w:szCs w:val="30"/>
        </w:rPr>
        <w:lastRenderedPageBreak/>
        <w:t>期间从本次触发修正条件的次一交易日重新起算。</w:t>
      </w:r>
    </w:p>
    <w:p w14:paraId="3D0912E8" w14:textId="77777777" w:rsidR="00BF076B" w:rsidRDefault="00000000">
      <w:pPr>
        <w:spacing w:line="600" w:lineRule="exact"/>
        <w:ind w:firstLine="555"/>
        <w:rPr>
          <w:rFonts w:ascii="仿宋_GB2312" w:eastAsia="仿宋_GB2312" w:hAnsi="宋体" w:hint="eastAsia"/>
          <w:sz w:val="30"/>
          <w:szCs w:val="30"/>
        </w:rPr>
      </w:pPr>
      <w:r>
        <w:rPr>
          <w:rFonts w:ascii="仿宋_GB2312" w:eastAsia="仿宋_GB2312" w:hAnsi="宋体" w:hint="eastAsia"/>
          <w:b/>
          <w:sz w:val="30"/>
          <w:szCs w:val="30"/>
        </w:rPr>
        <w:t>第十七条</w:t>
      </w:r>
      <w:r>
        <w:rPr>
          <w:rFonts w:ascii="仿宋_GB2312" w:eastAsia="仿宋_GB2312" w:hAnsi="仿宋_GB2312" w:cs="仿宋_GB2312" w:hint="eastAsia"/>
          <w:b/>
          <w:sz w:val="30"/>
          <w:szCs w:val="30"/>
        </w:rPr>
        <w:t xml:space="preserve"> </w:t>
      </w:r>
      <w:r>
        <w:rPr>
          <w:rFonts w:ascii="仿宋_GB2312" w:eastAsia="仿宋_GB2312"/>
          <w:color w:val="000000"/>
          <w:sz w:val="30"/>
          <w:szCs w:val="30"/>
        </w:rPr>
        <w:t>可转债转换为股票的数额累计达到可转债开始转股前</w:t>
      </w:r>
      <w:r>
        <w:rPr>
          <w:rFonts w:ascii="仿宋_GB2312" w:eastAsia="仿宋_GB2312" w:hint="eastAsia"/>
          <w:color w:val="000000"/>
          <w:sz w:val="30"/>
          <w:szCs w:val="30"/>
        </w:rPr>
        <w:t>公司</w:t>
      </w:r>
      <w:r>
        <w:rPr>
          <w:rFonts w:ascii="仿宋_GB2312" w:eastAsia="仿宋_GB2312"/>
          <w:color w:val="000000"/>
          <w:sz w:val="30"/>
          <w:szCs w:val="30"/>
        </w:rPr>
        <w:t>已发行股份总额</w:t>
      </w:r>
      <w:r>
        <w:rPr>
          <w:rFonts w:ascii="仿宋_GB2312" w:eastAsia="仿宋_GB2312" w:hAnsi="宋体"/>
          <w:color w:val="000000"/>
          <w:sz w:val="30"/>
          <w:szCs w:val="30"/>
        </w:rPr>
        <w:t>10%</w:t>
      </w:r>
      <w:r>
        <w:rPr>
          <w:rFonts w:ascii="仿宋_GB2312" w:eastAsia="仿宋_GB2312" w:hAnsi="宋体" w:hint="eastAsia"/>
          <w:color w:val="000000"/>
          <w:sz w:val="30"/>
          <w:szCs w:val="30"/>
        </w:rPr>
        <w:t>时，上市公司应当及时履行信息披露义务。</w:t>
      </w:r>
    </w:p>
    <w:p w14:paraId="20271BC2" w14:textId="77777777" w:rsidR="00BF076B" w:rsidRDefault="00000000">
      <w:pPr>
        <w:spacing w:line="600" w:lineRule="exact"/>
        <w:ind w:firstLine="555"/>
        <w:rPr>
          <w:rFonts w:ascii="仿宋_GB2312" w:eastAsia="仿宋_GB2312" w:hAnsi="宋体" w:hint="eastAsia"/>
          <w:sz w:val="30"/>
          <w:szCs w:val="30"/>
        </w:rPr>
      </w:pPr>
      <w:r>
        <w:rPr>
          <w:rFonts w:ascii="仿宋_GB2312" w:eastAsia="仿宋_GB2312" w:hAnsi="宋体" w:hint="eastAsia"/>
          <w:b/>
          <w:sz w:val="30"/>
          <w:szCs w:val="30"/>
        </w:rPr>
        <w:t>第十八条</w:t>
      </w:r>
      <w:r>
        <w:rPr>
          <w:rFonts w:ascii="仿宋_GB2312" w:eastAsia="仿宋_GB2312" w:hAnsi="仿宋_GB2312" w:cs="仿宋_GB2312" w:hint="eastAsia"/>
          <w:b/>
          <w:sz w:val="30"/>
          <w:szCs w:val="30"/>
        </w:rPr>
        <w:t xml:space="preserve"> </w:t>
      </w:r>
      <w:r>
        <w:rPr>
          <w:rFonts w:ascii="仿宋_GB2312" w:eastAsia="仿宋_GB2312" w:hAnsi="宋体" w:hint="eastAsia"/>
          <w:sz w:val="30"/>
          <w:szCs w:val="30"/>
        </w:rPr>
        <w:t>上市公司应当在每一季度结束后及时披露因可转债转换为股票所引起的股份变动情况。</w:t>
      </w:r>
    </w:p>
    <w:p w14:paraId="1760B446" w14:textId="77777777" w:rsidR="00BF076B" w:rsidRDefault="00000000">
      <w:pPr>
        <w:pStyle w:val="afc"/>
        <w:spacing w:line="600" w:lineRule="exact"/>
        <w:ind w:firstLine="602"/>
        <w:rPr>
          <w:rFonts w:ascii="仿宋_GB2312" w:eastAsia="仿宋_GB2312" w:hAnsi="Arial Unicode MS" w:cs="Arial Unicode MS" w:hint="eastAsia"/>
          <w:sz w:val="30"/>
          <w:szCs w:val="30"/>
        </w:rPr>
      </w:pPr>
      <w:r>
        <w:rPr>
          <w:rFonts w:ascii="仿宋_GB2312" w:eastAsia="仿宋_GB2312" w:hAnsi="宋体" w:hint="eastAsia"/>
          <w:b/>
          <w:sz w:val="30"/>
          <w:szCs w:val="30"/>
        </w:rPr>
        <w:t>第十九条</w:t>
      </w:r>
      <w:r>
        <w:rPr>
          <w:rFonts w:ascii="仿宋_GB2312" w:eastAsia="仿宋_GB2312" w:hint="eastAsia"/>
          <w:b/>
          <w:kern w:val="24"/>
          <w:sz w:val="30"/>
          <w:szCs w:val="30"/>
        </w:rPr>
        <w:t xml:space="preserve"> </w:t>
      </w:r>
      <w:r>
        <w:rPr>
          <w:rFonts w:ascii="仿宋_GB2312" w:eastAsia="仿宋_GB2312" w:hAnsi="Arial Unicode MS" w:cs="Arial Unicode MS" w:hint="eastAsia"/>
          <w:sz w:val="30"/>
          <w:szCs w:val="30"/>
        </w:rPr>
        <w:t>发行可转债的上市公司涉及下列事项时，应当向本所申请暂停可转债转股：</w:t>
      </w:r>
    </w:p>
    <w:p w14:paraId="73F0B040" w14:textId="77777777" w:rsidR="00BF076B" w:rsidRDefault="00000000">
      <w:pPr>
        <w:pStyle w:val="afc"/>
        <w:spacing w:line="600" w:lineRule="exact"/>
        <w:ind w:firstLine="600"/>
        <w:rPr>
          <w:rFonts w:ascii="仿宋_GB2312" w:eastAsia="仿宋_GB2312" w:hAnsi="Arial Unicode MS" w:cs="Arial Unicode MS" w:hint="eastAsia"/>
          <w:sz w:val="30"/>
          <w:szCs w:val="30"/>
        </w:rPr>
      </w:pPr>
      <w:r>
        <w:rPr>
          <w:rFonts w:ascii="仿宋_GB2312" w:eastAsia="仿宋_GB2312" w:hAnsi="Arial Unicode MS" w:cs="Arial Unicode MS" w:hint="eastAsia"/>
          <w:sz w:val="30"/>
          <w:szCs w:val="30"/>
        </w:rPr>
        <w:t>（一）修正或者调整转股价格；</w:t>
      </w:r>
    </w:p>
    <w:p w14:paraId="73A68ABF" w14:textId="77777777" w:rsidR="00BF076B" w:rsidRDefault="00000000">
      <w:pPr>
        <w:pStyle w:val="afc"/>
        <w:spacing w:line="600" w:lineRule="exact"/>
        <w:ind w:firstLine="600"/>
        <w:rPr>
          <w:rFonts w:ascii="仿宋_GB2312" w:eastAsia="仿宋_GB2312" w:hAnsi="Arial Unicode MS" w:cs="Arial Unicode MS" w:hint="eastAsia"/>
          <w:sz w:val="30"/>
          <w:szCs w:val="30"/>
        </w:rPr>
      </w:pPr>
      <w:r>
        <w:rPr>
          <w:rFonts w:ascii="仿宋_GB2312" w:eastAsia="仿宋_GB2312" w:hAnsi="Arial Unicode MS" w:cs="Arial Unicode MS" w:hint="eastAsia"/>
          <w:sz w:val="30"/>
          <w:szCs w:val="30"/>
        </w:rPr>
        <w:t>（二）向不特定对象发行新股或者可转债；</w:t>
      </w:r>
    </w:p>
    <w:p w14:paraId="5725B932" w14:textId="77777777" w:rsidR="00BF076B" w:rsidRDefault="00000000">
      <w:pPr>
        <w:pStyle w:val="afc"/>
        <w:spacing w:line="600" w:lineRule="exact"/>
        <w:ind w:firstLine="600"/>
        <w:rPr>
          <w:rFonts w:ascii="仿宋_GB2312" w:eastAsia="仿宋_GB2312" w:hAnsi="Arial Unicode MS" w:cs="Arial Unicode MS" w:hint="eastAsia"/>
          <w:sz w:val="30"/>
          <w:szCs w:val="30"/>
        </w:rPr>
      </w:pPr>
      <w:r>
        <w:rPr>
          <w:rFonts w:ascii="仿宋_GB2312" w:eastAsia="仿宋_GB2312" w:hAnsi="Arial Unicode MS" w:cs="Arial Unicode MS" w:hint="eastAsia"/>
          <w:sz w:val="30"/>
          <w:szCs w:val="30"/>
        </w:rPr>
        <w:t>（三）实施权益分派方案；</w:t>
      </w:r>
    </w:p>
    <w:p w14:paraId="5D3E9E16" w14:textId="77777777" w:rsidR="00BF076B" w:rsidRDefault="00000000">
      <w:pPr>
        <w:pStyle w:val="afc"/>
        <w:spacing w:line="600" w:lineRule="exact"/>
        <w:ind w:firstLine="600"/>
        <w:rPr>
          <w:rFonts w:ascii="仿宋_GB2312" w:eastAsia="仿宋_GB2312" w:hAnsi="Arial Unicode MS" w:cs="Arial Unicode MS" w:hint="eastAsia"/>
          <w:sz w:val="30"/>
          <w:szCs w:val="30"/>
        </w:rPr>
      </w:pPr>
      <w:r>
        <w:rPr>
          <w:rFonts w:ascii="仿宋_GB2312" w:eastAsia="仿宋_GB2312" w:hAnsi="Arial Unicode MS" w:cs="Arial Unicode MS" w:hint="eastAsia"/>
          <w:sz w:val="30"/>
          <w:szCs w:val="30"/>
        </w:rPr>
        <w:t>（四）</w:t>
      </w:r>
      <w:r>
        <w:rPr>
          <w:rFonts w:ascii="仿宋_GB2312" w:eastAsia="仿宋_GB2312" w:hint="eastAsia"/>
          <w:color w:val="000000"/>
          <w:sz w:val="30"/>
          <w:szCs w:val="30"/>
        </w:rPr>
        <w:t>可转债</w:t>
      </w:r>
      <w:r>
        <w:rPr>
          <w:rFonts w:ascii="仿宋_GB2312" w:eastAsia="仿宋_GB2312" w:hAnsi="Arial Unicode MS" w:cs="Arial Unicode MS" w:hint="eastAsia"/>
          <w:sz w:val="30"/>
          <w:szCs w:val="30"/>
        </w:rPr>
        <w:t>实施回售；</w:t>
      </w:r>
    </w:p>
    <w:p w14:paraId="4643938C" w14:textId="77777777" w:rsidR="00BF076B" w:rsidRDefault="00000000">
      <w:pPr>
        <w:pStyle w:val="afc"/>
        <w:spacing w:line="600" w:lineRule="exact"/>
        <w:ind w:firstLine="600"/>
        <w:rPr>
          <w:rFonts w:ascii="仿宋_GB2312" w:eastAsia="仿宋_GB2312" w:hAnsi="Arial Unicode MS" w:cs="Arial Unicode MS" w:hint="eastAsia"/>
          <w:sz w:val="30"/>
          <w:szCs w:val="30"/>
        </w:rPr>
      </w:pPr>
      <w:r>
        <w:rPr>
          <w:rFonts w:ascii="仿宋_GB2312" w:eastAsia="仿宋_GB2312" w:hAnsi="Arial Unicode MS" w:cs="Arial Unicode MS" w:hint="eastAsia"/>
          <w:sz w:val="30"/>
          <w:szCs w:val="30"/>
        </w:rPr>
        <w:t>（五）中国证监会和本所认为应当暂停转股的其他事项。</w:t>
      </w:r>
    </w:p>
    <w:p w14:paraId="29804EBB" w14:textId="77777777" w:rsidR="00BF076B" w:rsidRDefault="00000000">
      <w:pPr>
        <w:pStyle w:val="afc"/>
        <w:spacing w:line="600" w:lineRule="exact"/>
        <w:ind w:firstLine="602"/>
        <w:rPr>
          <w:rFonts w:ascii="仿宋_GB2312" w:eastAsia="仿宋_GB2312" w:hAnsi="宋体" w:hint="eastAsia"/>
          <w:sz w:val="30"/>
          <w:szCs w:val="30"/>
        </w:rPr>
      </w:pPr>
      <w:r>
        <w:rPr>
          <w:rFonts w:ascii="仿宋_GB2312" w:eastAsia="仿宋_GB2312" w:hint="eastAsia"/>
          <w:b/>
          <w:kern w:val="24"/>
          <w:sz w:val="30"/>
          <w:szCs w:val="30"/>
        </w:rPr>
        <w:t xml:space="preserve">第二十条 </w:t>
      </w:r>
      <w:r>
        <w:rPr>
          <w:rFonts w:ascii="仿宋_GB2312" w:eastAsia="仿宋_GB2312" w:hAnsi="宋体" w:hint="eastAsia"/>
          <w:sz w:val="30"/>
          <w:szCs w:val="30"/>
        </w:rPr>
        <w:t>可转债在停止交易或者转让后、转股期结束前，</w:t>
      </w:r>
      <w:r>
        <w:rPr>
          <w:rFonts w:ascii="仿宋_GB2312" w:eastAsia="仿宋_GB2312" w:hint="eastAsia"/>
          <w:sz w:val="30"/>
          <w:szCs w:val="30"/>
        </w:rPr>
        <w:t>可转债</w:t>
      </w:r>
      <w:r>
        <w:rPr>
          <w:rFonts w:ascii="仿宋_GB2312" w:eastAsia="仿宋_GB2312" w:hAnsi="宋体" w:hint="eastAsia"/>
          <w:sz w:val="30"/>
          <w:szCs w:val="30"/>
        </w:rPr>
        <w:t>持有人仍然可以依据约定的条件申请转股。</w:t>
      </w:r>
    </w:p>
    <w:p w14:paraId="3A5932DA" w14:textId="77777777" w:rsidR="00BF076B" w:rsidRDefault="00000000">
      <w:pPr>
        <w:spacing w:line="600" w:lineRule="exact"/>
        <w:ind w:firstLineChars="200" w:firstLine="600"/>
        <w:rPr>
          <w:rFonts w:ascii="仿宋_GB2312" w:eastAsia="仿宋_GB2312"/>
          <w:color w:val="000000"/>
          <w:sz w:val="30"/>
          <w:szCs w:val="30"/>
        </w:rPr>
      </w:pPr>
      <w:r>
        <w:rPr>
          <w:rFonts w:ascii="仿宋_GB2312" w:eastAsia="仿宋_GB2312" w:hAnsi="宋体" w:hint="eastAsia"/>
          <w:sz w:val="30"/>
          <w:szCs w:val="30"/>
        </w:rPr>
        <w:t>上市公司在可转债转股期结束的20个交易日前，应当至少发布3次提示性公告，提醒投资者可转债将在转股期结束前的3个交易日停止交易或者转让的事项。</w:t>
      </w:r>
    </w:p>
    <w:p w14:paraId="0B00A3A6" w14:textId="77777777" w:rsidR="00BF076B" w:rsidRDefault="00000000">
      <w:pPr>
        <w:spacing w:line="600" w:lineRule="exact"/>
        <w:jc w:val="center"/>
        <w:rPr>
          <w:rFonts w:ascii="黑体" w:eastAsia="黑体"/>
          <w:b/>
          <w:sz w:val="30"/>
          <w:szCs w:val="30"/>
        </w:rPr>
      </w:pPr>
      <w:r>
        <w:rPr>
          <w:rFonts w:ascii="黑体" w:eastAsia="黑体" w:hint="eastAsia"/>
          <w:b/>
          <w:sz w:val="30"/>
          <w:szCs w:val="30"/>
        </w:rPr>
        <w:t>第四章  赎回</w:t>
      </w:r>
    </w:p>
    <w:p w14:paraId="3292D19A" w14:textId="77777777" w:rsidR="00BF076B" w:rsidRDefault="00000000">
      <w:pPr>
        <w:spacing w:line="600" w:lineRule="exact"/>
        <w:ind w:firstLine="600"/>
        <w:rPr>
          <w:rFonts w:ascii="仿宋_GB2312" w:eastAsia="仿宋_GB2312" w:hAnsi="仿宋_GB2312" w:cs="仿宋_GB2312" w:hint="eastAsia"/>
          <w:sz w:val="30"/>
          <w:szCs w:val="30"/>
        </w:rPr>
      </w:pPr>
      <w:r>
        <w:rPr>
          <w:rFonts w:ascii="仿宋_GB2312" w:eastAsia="仿宋_GB2312" w:hAnsi="仿宋_GB2312" w:cs="仿宋_GB2312" w:hint="eastAsia"/>
          <w:b/>
          <w:sz w:val="30"/>
          <w:szCs w:val="30"/>
        </w:rPr>
        <w:t xml:space="preserve">第二十一条 </w:t>
      </w:r>
      <w:r>
        <w:rPr>
          <w:rFonts w:ascii="仿宋_GB2312" w:eastAsia="仿宋_GB2312" w:hAnsi="仿宋_GB2312" w:cs="仿宋_GB2312" w:hint="eastAsia"/>
          <w:sz w:val="30"/>
          <w:szCs w:val="30"/>
        </w:rPr>
        <w:t>上市公司可以按照募集说明书或者重组报告书约定的条件和价格，赎回无限售条件的可转债。</w:t>
      </w:r>
    </w:p>
    <w:p w14:paraId="457FC08F" w14:textId="77777777" w:rsidR="00BF076B" w:rsidRDefault="00000000">
      <w:pPr>
        <w:spacing w:line="600" w:lineRule="exact"/>
        <w:ind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向特定对象发行的可转债的赎回条款应当与业绩承诺期间、锁定期相衔接，确保业绩承诺履行和限售规定执行。</w:t>
      </w:r>
    </w:p>
    <w:p w14:paraId="510B0FF4" w14:textId="77777777" w:rsidR="00BF076B" w:rsidRDefault="00000000">
      <w:pPr>
        <w:spacing w:line="600" w:lineRule="exact"/>
        <w:ind w:firstLine="600"/>
        <w:rPr>
          <w:rFonts w:ascii="仿宋_GB2312" w:eastAsia="仿宋_GB2312" w:hAnsi="仿宋_GB2312" w:cs="仿宋_GB2312" w:hint="eastAsia"/>
          <w:sz w:val="30"/>
          <w:szCs w:val="30"/>
        </w:rPr>
      </w:pPr>
      <w:r>
        <w:rPr>
          <w:rFonts w:ascii="仿宋_GB2312" w:eastAsia="仿宋_GB2312" w:hAnsi="仿宋_GB2312" w:cs="仿宋_GB2312" w:hint="eastAsia"/>
          <w:b/>
          <w:sz w:val="30"/>
          <w:szCs w:val="30"/>
        </w:rPr>
        <w:lastRenderedPageBreak/>
        <w:t xml:space="preserve">第二十二条 </w:t>
      </w:r>
      <w:r>
        <w:rPr>
          <w:rFonts w:ascii="仿宋_GB2312" w:eastAsia="仿宋_GB2312" w:hAnsi="仿宋_GB2312" w:cs="仿宋_GB2312" w:hint="eastAsia"/>
          <w:sz w:val="30"/>
          <w:szCs w:val="30"/>
        </w:rPr>
        <w:t>在可转债存续期内，上市公司应当持续关注赎回条件是否满足，预计可能满足赎回条件的，应当在赎回条件满足的5个交易日前及时披露提示性公告，向市场充分提示风险。</w:t>
      </w:r>
    </w:p>
    <w:p w14:paraId="306FF3F6" w14:textId="77777777" w:rsidR="00BF076B" w:rsidRDefault="00000000">
      <w:pPr>
        <w:spacing w:line="600" w:lineRule="exact"/>
        <w:ind w:firstLine="600"/>
        <w:rPr>
          <w:rFonts w:ascii="仿宋_GB2312" w:eastAsia="仿宋_GB2312"/>
          <w:sz w:val="30"/>
          <w:szCs w:val="30"/>
        </w:rPr>
      </w:pPr>
      <w:r>
        <w:rPr>
          <w:rFonts w:ascii="仿宋_GB2312" w:eastAsia="仿宋_GB2312" w:hAnsi="仿宋_GB2312" w:cs="仿宋_GB2312" w:hint="eastAsia"/>
          <w:b/>
          <w:sz w:val="30"/>
          <w:szCs w:val="30"/>
        </w:rPr>
        <w:t xml:space="preserve">第二十三条 </w:t>
      </w:r>
      <w:r>
        <w:rPr>
          <w:rFonts w:ascii="仿宋_GB2312" w:eastAsia="仿宋_GB2312" w:hint="eastAsia"/>
          <w:sz w:val="30"/>
          <w:szCs w:val="30"/>
        </w:rPr>
        <w:t>上市公司应当在满足可转债赎回条件的当日召开董事会决定是否行使赎回权，并在次一交易日开市前披露赎回或者不赎回的公告。上市公司未按本款规定履行审议程序及信息披露义务的，视为不行使本次赎回权。</w:t>
      </w:r>
    </w:p>
    <w:p w14:paraId="51EEE28F" w14:textId="77777777" w:rsidR="00BF076B" w:rsidRDefault="00000000">
      <w:pPr>
        <w:spacing w:line="600" w:lineRule="exact"/>
        <w:ind w:firstLineChars="200" w:firstLine="600"/>
        <w:rPr>
          <w:rFonts w:ascii="仿宋_GB2312" w:eastAsia="仿宋_GB2312" w:hAnsi="宋体" w:hint="eastAsia"/>
          <w:sz w:val="30"/>
          <w:szCs w:val="30"/>
        </w:rPr>
      </w:pPr>
      <w:r>
        <w:rPr>
          <w:rFonts w:ascii="仿宋_GB2312" w:eastAsia="仿宋_GB2312" w:hint="eastAsia"/>
          <w:sz w:val="30"/>
          <w:szCs w:val="30"/>
        </w:rPr>
        <w:t>上市公司行使赎回权的，</w:t>
      </w:r>
      <w:r>
        <w:rPr>
          <w:rFonts w:ascii="仿宋_GB2312" w:eastAsia="仿宋_GB2312" w:hAnsi="仿宋_GB2312" w:cs="仿宋_GB2312" w:hint="eastAsia"/>
          <w:sz w:val="30"/>
          <w:szCs w:val="30"/>
        </w:rPr>
        <w:t>应当及时办理赎回相关业务并披露实施赎回公告，此后在赎回登记日前</w:t>
      </w:r>
      <w:r>
        <w:rPr>
          <w:rFonts w:ascii="仿宋_GB2312" w:eastAsia="仿宋_GB2312" w:hint="eastAsia"/>
          <w:sz w:val="30"/>
          <w:szCs w:val="30"/>
        </w:rPr>
        <w:t>每个交易日披露1次赎回提示性公告</w:t>
      </w:r>
      <w:r>
        <w:rPr>
          <w:rFonts w:ascii="仿宋_GB2312" w:eastAsia="仿宋_GB2312" w:hAnsi="仿宋_GB2312" w:cs="仿宋_GB2312" w:hint="eastAsia"/>
          <w:sz w:val="30"/>
          <w:szCs w:val="30"/>
        </w:rPr>
        <w:t>。公告应当载明赎回条件、赎回日期、最后交易日、摘牌日、赎回价格、赎回程序、付款方法、付款时间等内容，并</w:t>
      </w:r>
      <w:r>
        <w:rPr>
          <w:rFonts w:ascii="仿宋_GB2312" w:eastAsia="仿宋_GB2312" w:hAnsi="宋体" w:hint="eastAsia"/>
          <w:sz w:val="30"/>
          <w:szCs w:val="30"/>
        </w:rPr>
        <w:t>重点提示可转债赎回的相关风险。</w:t>
      </w:r>
      <w:r>
        <w:rPr>
          <w:rFonts w:ascii="仿宋_GB2312" w:eastAsia="仿宋_GB2312" w:hAnsi="仿宋_GB2312" w:cs="仿宋_GB2312" w:hint="eastAsia"/>
          <w:sz w:val="30"/>
          <w:szCs w:val="30"/>
        </w:rPr>
        <w:t>赎回条件触发日与赎回资金发放日的间隔期限应当不少于15个交易日且不超过30个交易日。公司股票在赎回资金发放日前4个交易日内出现全天停牌情形的，</w:t>
      </w:r>
      <w:r>
        <w:rPr>
          <w:rFonts w:ascii="仿宋_GB2312" w:eastAsia="仿宋_GB2312" w:hint="eastAsia"/>
          <w:sz w:val="30"/>
          <w:szCs w:val="30"/>
        </w:rPr>
        <w:t>上市公司</w:t>
      </w:r>
      <w:r>
        <w:rPr>
          <w:rFonts w:ascii="仿宋_GB2312" w:eastAsia="仿宋_GB2312" w:hAnsi="仿宋_GB2312" w:cs="仿宋_GB2312" w:hint="eastAsia"/>
          <w:sz w:val="30"/>
          <w:szCs w:val="30"/>
        </w:rPr>
        <w:t>应当重新办理赎回相关业务。</w:t>
      </w:r>
    </w:p>
    <w:p w14:paraId="547658A5" w14:textId="77777777" w:rsidR="00BF076B" w:rsidRDefault="00000000">
      <w:pPr>
        <w:pStyle w:val="af0"/>
        <w:shd w:val="clear" w:color="auto" w:fill="FFFFFF"/>
        <w:spacing w:before="0" w:beforeAutospacing="0" w:after="0" w:afterAutospacing="0" w:line="600" w:lineRule="exact"/>
        <w:ind w:firstLine="536"/>
        <w:jc w:val="both"/>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上市公司</w:t>
      </w:r>
      <w:r>
        <w:rPr>
          <w:rFonts w:ascii="仿宋_GB2312" w:eastAsia="仿宋_GB2312" w:hAnsi="Times New Roman" w:cs="Times New Roman" w:hint="eastAsia"/>
          <w:kern w:val="2"/>
          <w:sz w:val="30"/>
          <w:szCs w:val="30"/>
        </w:rPr>
        <w:t>不</w:t>
      </w:r>
      <w:r>
        <w:rPr>
          <w:rFonts w:ascii="仿宋_GB2312" w:eastAsia="仿宋_GB2312" w:hint="eastAsia"/>
          <w:sz w:val="30"/>
          <w:szCs w:val="30"/>
        </w:rPr>
        <w:t>行使</w:t>
      </w:r>
      <w:r>
        <w:rPr>
          <w:rFonts w:ascii="仿宋_GB2312" w:eastAsia="仿宋_GB2312" w:hAnsi="Times New Roman" w:cs="Times New Roman" w:hint="eastAsia"/>
          <w:kern w:val="2"/>
          <w:sz w:val="30"/>
          <w:szCs w:val="30"/>
        </w:rPr>
        <w:t>赎回</w:t>
      </w:r>
      <w:r>
        <w:rPr>
          <w:rFonts w:ascii="仿宋_GB2312" w:eastAsia="仿宋_GB2312" w:hint="eastAsia"/>
          <w:sz w:val="30"/>
          <w:szCs w:val="30"/>
        </w:rPr>
        <w:t>权的</w:t>
      </w:r>
      <w:r>
        <w:rPr>
          <w:rFonts w:ascii="仿宋_GB2312" w:eastAsia="仿宋_GB2312" w:hAnsi="Times New Roman" w:cs="Times New Roman" w:hint="eastAsia"/>
          <w:kern w:val="2"/>
          <w:sz w:val="30"/>
          <w:szCs w:val="30"/>
        </w:rPr>
        <w:t>，应当充分说明不赎回的具体原因，且</w:t>
      </w:r>
      <w:r>
        <w:rPr>
          <w:rFonts w:ascii="仿宋_GB2312" w:eastAsia="仿宋_GB2312" w:hAnsi="仿宋_GB2312" w:cs="仿宋_GB2312" w:hint="eastAsia"/>
          <w:sz w:val="30"/>
          <w:szCs w:val="30"/>
        </w:rPr>
        <w:t>在未来至少3个月内不得再次行使赎回权，并在公告中说明下一满足赎回条件期间的起算时间。</w:t>
      </w:r>
    </w:p>
    <w:p w14:paraId="5B33A3D5" w14:textId="61BEB407" w:rsidR="00BF076B" w:rsidRDefault="00000000">
      <w:pPr>
        <w:pStyle w:val="af0"/>
        <w:shd w:val="clear" w:color="auto" w:fill="FFFFFF"/>
        <w:spacing w:before="0" w:beforeAutospacing="0" w:after="0" w:afterAutospacing="0" w:line="600" w:lineRule="exact"/>
        <w:ind w:firstLine="536"/>
        <w:jc w:val="both"/>
        <w:rPr>
          <w:rFonts w:ascii="仿宋_GB2312" w:eastAsia="仿宋_GB2312" w:hAnsi="仿宋_GB2312" w:cs="仿宋_GB2312" w:hint="eastAsia"/>
          <w:sz w:val="30"/>
          <w:szCs w:val="30"/>
        </w:rPr>
      </w:pPr>
      <w:r>
        <w:rPr>
          <w:rFonts w:ascii="仿宋_GB2312" w:eastAsia="仿宋_GB2312" w:hAnsi="仿宋_GB2312" w:cs="仿宋_GB2312" w:hint="eastAsia"/>
          <w:b/>
          <w:sz w:val="30"/>
          <w:szCs w:val="30"/>
        </w:rPr>
        <w:t xml:space="preserve">第二十四条 </w:t>
      </w:r>
      <w:r>
        <w:rPr>
          <w:rFonts w:ascii="仿宋_GB2312" w:eastAsia="仿宋_GB2312" w:hAnsi="仿宋_GB2312" w:cs="仿宋_GB2312" w:hint="eastAsia"/>
          <w:sz w:val="30"/>
          <w:szCs w:val="30"/>
        </w:rPr>
        <w:t>上市公司决定行使或者不行使可转债赎回权的，应当充分披露其实际控制人、控股股东、持有5%以上股份的股东、董事、高级管理人员在赎回条件满足前的6个月内交易该可转债的情况。披露内容应当包括期初持有数量、期间合计买入数量、期间合计卖出数量、期末持有数量等。</w:t>
      </w:r>
    </w:p>
    <w:p w14:paraId="6720FFD0" w14:textId="77777777" w:rsidR="00BF076B" w:rsidRDefault="00000000">
      <w:pPr>
        <w:pStyle w:val="af0"/>
        <w:shd w:val="clear" w:color="auto" w:fill="FFFFFF"/>
        <w:spacing w:before="0" w:beforeAutospacing="0" w:after="0" w:afterAutospacing="0" w:line="600" w:lineRule="exact"/>
        <w:ind w:firstLine="536"/>
        <w:jc w:val="both"/>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lastRenderedPageBreak/>
        <w:t>上市公司不行使可转债赎回权的，还应当披露上述主体未来6个月内减持可转债的计划，相关主体应当予以配合。</w:t>
      </w:r>
    </w:p>
    <w:p w14:paraId="7802BBCE" w14:textId="77777777" w:rsidR="00BF076B" w:rsidRDefault="00000000">
      <w:pPr>
        <w:spacing w:line="600" w:lineRule="exact"/>
        <w:ind w:firstLine="555"/>
        <w:rPr>
          <w:rFonts w:ascii="仿宋_GB2312" w:eastAsia="仿宋_GB2312" w:hAnsi="仿宋_GB2312" w:cs="仿宋_GB2312" w:hint="eastAsia"/>
          <w:sz w:val="30"/>
          <w:szCs w:val="30"/>
        </w:rPr>
      </w:pPr>
      <w:r>
        <w:rPr>
          <w:rFonts w:ascii="仿宋_GB2312" w:eastAsia="仿宋_GB2312" w:hAnsi="仿宋_GB2312" w:cs="仿宋_GB2312" w:hint="eastAsia"/>
          <w:b/>
          <w:sz w:val="30"/>
          <w:szCs w:val="30"/>
        </w:rPr>
        <w:t xml:space="preserve">第二十五条 </w:t>
      </w:r>
      <w:r>
        <w:rPr>
          <w:rFonts w:ascii="仿宋_GB2312" w:eastAsia="仿宋_GB2312" w:hAnsi="宋体"/>
          <w:sz w:val="30"/>
          <w:szCs w:val="30"/>
        </w:rPr>
        <w:t>上市公司应当</w:t>
      </w:r>
      <w:r>
        <w:rPr>
          <w:rFonts w:ascii="仿宋_GB2312" w:eastAsia="仿宋_GB2312" w:hAnsi="宋体" w:hint="eastAsia"/>
          <w:sz w:val="30"/>
          <w:szCs w:val="30"/>
        </w:rPr>
        <w:t>及时</w:t>
      </w:r>
      <w:r>
        <w:rPr>
          <w:rFonts w:ascii="仿宋_GB2312" w:eastAsia="仿宋_GB2312" w:hAnsi="宋体"/>
          <w:sz w:val="30"/>
          <w:szCs w:val="30"/>
        </w:rPr>
        <w:t>将</w:t>
      </w:r>
      <w:r>
        <w:rPr>
          <w:rFonts w:ascii="仿宋_GB2312" w:eastAsia="仿宋_GB2312" w:hAnsi="宋体" w:hint="eastAsia"/>
          <w:sz w:val="30"/>
          <w:szCs w:val="30"/>
        </w:rPr>
        <w:t>赎回</w:t>
      </w:r>
      <w:r>
        <w:rPr>
          <w:rFonts w:ascii="仿宋_GB2312" w:eastAsia="仿宋_GB2312" w:hAnsi="宋体"/>
          <w:sz w:val="30"/>
          <w:szCs w:val="30"/>
        </w:rPr>
        <w:t>资金划入</w:t>
      </w:r>
      <w:r>
        <w:rPr>
          <w:rFonts w:ascii="仿宋_GB2312" w:eastAsia="仿宋_GB2312" w:hAnsi="宋体" w:hint="eastAsia"/>
          <w:sz w:val="30"/>
          <w:szCs w:val="30"/>
        </w:rPr>
        <w:t>中国结算</w:t>
      </w:r>
      <w:r>
        <w:rPr>
          <w:rFonts w:ascii="仿宋_GB2312" w:eastAsia="仿宋_GB2312" w:hint="eastAsia"/>
          <w:sz w:val="30"/>
          <w:szCs w:val="30"/>
        </w:rPr>
        <w:t>上海分公司</w:t>
      </w:r>
      <w:r>
        <w:rPr>
          <w:rFonts w:ascii="仿宋_GB2312" w:eastAsia="仿宋_GB2312" w:hAnsi="宋体" w:hint="eastAsia"/>
          <w:sz w:val="30"/>
          <w:szCs w:val="30"/>
        </w:rPr>
        <w:t>指定的收款银行账户，</w:t>
      </w:r>
      <w:r>
        <w:rPr>
          <w:rFonts w:ascii="仿宋_GB2312" w:eastAsia="仿宋_GB2312" w:hAnsi="仿宋_GB2312" w:cs="仿宋_GB2312" w:hint="eastAsia"/>
          <w:sz w:val="30"/>
          <w:szCs w:val="30"/>
        </w:rPr>
        <w:t>并在赎回结束后及时披露赎回结果公告，内容包括赎回价格、赎回数量、赎回金额以及赎回事项对公司财务状况、股本结构、经营成果及现金流量的影响。</w:t>
      </w:r>
    </w:p>
    <w:p w14:paraId="1BEBC799" w14:textId="77777777" w:rsidR="00BF076B" w:rsidRDefault="00000000">
      <w:pPr>
        <w:spacing w:line="600" w:lineRule="exact"/>
        <w:jc w:val="center"/>
        <w:rPr>
          <w:rFonts w:ascii="仿宋_GB2312" w:eastAsia="仿宋_GB2312" w:hAnsi="仿宋_GB2312" w:cs="仿宋_GB2312" w:hint="eastAsia"/>
          <w:b/>
          <w:sz w:val="30"/>
          <w:szCs w:val="30"/>
        </w:rPr>
      </w:pPr>
      <w:r>
        <w:rPr>
          <w:rFonts w:ascii="黑体" w:eastAsia="黑体" w:hint="eastAsia"/>
          <w:b/>
          <w:sz w:val="30"/>
          <w:szCs w:val="30"/>
        </w:rPr>
        <w:t xml:space="preserve">第五章 </w:t>
      </w:r>
      <w:r>
        <w:rPr>
          <w:rFonts w:ascii="黑体" w:eastAsia="黑体"/>
          <w:b/>
          <w:sz w:val="30"/>
          <w:szCs w:val="30"/>
        </w:rPr>
        <w:t xml:space="preserve"> </w:t>
      </w:r>
      <w:r>
        <w:rPr>
          <w:rFonts w:ascii="黑体" w:eastAsia="黑体" w:hint="eastAsia"/>
          <w:b/>
          <w:sz w:val="30"/>
          <w:szCs w:val="30"/>
        </w:rPr>
        <w:t>回售</w:t>
      </w:r>
    </w:p>
    <w:p w14:paraId="3F54F281" w14:textId="77777777" w:rsidR="00BF076B" w:rsidRDefault="00000000">
      <w:pPr>
        <w:spacing w:line="600" w:lineRule="exact"/>
        <w:ind w:firstLineChars="200" w:firstLine="602"/>
        <w:rPr>
          <w:rFonts w:ascii="仿宋_GB2312" w:eastAsia="仿宋_GB2312" w:hAnsi="仿宋_GB2312" w:cs="仿宋_GB2312" w:hint="eastAsia"/>
          <w:sz w:val="30"/>
          <w:szCs w:val="30"/>
        </w:rPr>
      </w:pPr>
      <w:r>
        <w:rPr>
          <w:rFonts w:ascii="仿宋_GB2312" w:eastAsia="仿宋_GB2312" w:hAnsi="仿宋_GB2312" w:cs="仿宋_GB2312" w:hint="eastAsia"/>
          <w:b/>
          <w:sz w:val="30"/>
          <w:szCs w:val="30"/>
        </w:rPr>
        <w:t xml:space="preserve">第二十六条 </w:t>
      </w:r>
      <w:r>
        <w:rPr>
          <w:rFonts w:ascii="仿宋_GB2312" w:eastAsia="仿宋_GB2312" w:hint="eastAsia"/>
          <w:sz w:val="30"/>
          <w:szCs w:val="30"/>
        </w:rPr>
        <w:t>可转债</w:t>
      </w:r>
      <w:r>
        <w:rPr>
          <w:rFonts w:ascii="仿宋_GB2312" w:eastAsia="仿宋_GB2312" w:hAnsi="仿宋_GB2312" w:cs="仿宋_GB2312" w:hint="eastAsia"/>
          <w:sz w:val="30"/>
          <w:szCs w:val="30"/>
        </w:rPr>
        <w:t>持有人可以按照募集说明书或者重组报告书约定的条件和价格，将所持全部或者部分无限售条件的可转债回售给上市公司。</w:t>
      </w:r>
    </w:p>
    <w:p w14:paraId="38E80200" w14:textId="77777777" w:rsidR="00BF076B" w:rsidRDefault="00000000">
      <w:pPr>
        <w:spacing w:line="6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向特定对象发行的可转债的回售条款应当与业绩承诺期间、锁定期相衔接，确保业绩承诺履行和限售规定执行。</w:t>
      </w:r>
    </w:p>
    <w:p w14:paraId="37A18A40" w14:textId="77777777" w:rsidR="00BF076B" w:rsidRDefault="00000000">
      <w:pPr>
        <w:spacing w:line="600" w:lineRule="exact"/>
        <w:ind w:firstLineChars="200" w:firstLine="602"/>
        <w:rPr>
          <w:rFonts w:ascii="仿宋_GB2312" w:eastAsia="仿宋_GB2312" w:hAnsi="宋体" w:hint="eastAsia"/>
          <w:sz w:val="30"/>
          <w:szCs w:val="30"/>
        </w:rPr>
      </w:pPr>
      <w:r>
        <w:rPr>
          <w:rFonts w:ascii="仿宋_GB2312" w:eastAsia="仿宋_GB2312" w:hAnsi="仿宋_GB2312" w:cs="仿宋_GB2312" w:hint="eastAsia"/>
          <w:b/>
          <w:sz w:val="30"/>
          <w:szCs w:val="30"/>
        </w:rPr>
        <w:t xml:space="preserve">第二十七条 </w:t>
      </w:r>
      <w:r>
        <w:rPr>
          <w:rFonts w:ascii="仿宋_GB2312" w:eastAsia="仿宋_GB2312" w:hint="eastAsia"/>
          <w:sz w:val="30"/>
          <w:szCs w:val="30"/>
        </w:rPr>
        <w:t>上市公司应当在满足可转债回售条件的次一交易日开市前披露回售公告，</w:t>
      </w:r>
      <w:r>
        <w:rPr>
          <w:rFonts w:ascii="仿宋_GB2312" w:eastAsia="仿宋_GB2312" w:hAnsi="仿宋_GB2312" w:cs="仿宋_GB2312" w:hint="eastAsia"/>
          <w:sz w:val="30"/>
          <w:szCs w:val="30"/>
        </w:rPr>
        <w:t>此后</w:t>
      </w:r>
      <w:r>
        <w:rPr>
          <w:rFonts w:ascii="仿宋_GB2312" w:eastAsia="仿宋_GB2312" w:hint="eastAsia"/>
          <w:sz w:val="30"/>
          <w:szCs w:val="30"/>
        </w:rPr>
        <w:t>在</w:t>
      </w:r>
      <w:r>
        <w:rPr>
          <w:rFonts w:ascii="仿宋_GB2312" w:eastAsia="仿宋_GB2312" w:hAnsi="仿宋_GB2312" w:cs="仿宋_GB2312" w:hint="eastAsia"/>
          <w:sz w:val="30"/>
          <w:szCs w:val="30"/>
        </w:rPr>
        <w:t>回售期结束前每个交易日披露1次回售提示性公告，</w:t>
      </w:r>
      <w:r>
        <w:rPr>
          <w:rFonts w:ascii="仿宋_GB2312" w:eastAsia="仿宋_GB2312" w:hAnsi="宋体" w:hint="eastAsia"/>
          <w:sz w:val="30"/>
          <w:szCs w:val="30"/>
        </w:rPr>
        <w:t>公告应当载明回售条件、</w:t>
      </w:r>
      <w:r>
        <w:rPr>
          <w:rFonts w:ascii="仿宋_GB2312" w:eastAsia="仿宋_GB2312" w:hAnsi="仿宋_GB2312" w:cs="仿宋_GB2312" w:hint="eastAsia"/>
          <w:sz w:val="30"/>
          <w:szCs w:val="30"/>
        </w:rPr>
        <w:t>申报</w:t>
      </w:r>
      <w:r>
        <w:rPr>
          <w:rFonts w:ascii="仿宋_GB2312" w:eastAsia="仿宋_GB2312" w:hAnsi="仿宋_GB2312" w:cs="仿宋_GB2312"/>
          <w:sz w:val="30"/>
          <w:szCs w:val="30"/>
        </w:rPr>
        <w:t>期间、</w:t>
      </w:r>
      <w:r>
        <w:rPr>
          <w:rFonts w:ascii="仿宋_GB2312" w:eastAsia="仿宋_GB2312" w:hAnsi="仿宋_GB2312" w:cs="仿宋_GB2312" w:hint="eastAsia"/>
          <w:sz w:val="30"/>
          <w:szCs w:val="30"/>
        </w:rPr>
        <w:t>回售</w:t>
      </w:r>
      <w:r>
        <w:rPr>
          <w:rFonts w:ascii="仿宋_GB2312" w:eastAsia="仿宋_GB2312" w:hAnsi="仿宋_GB2312" w:cs="仿宋_GB2312"/>
          <w:sz w:val="30"/>
          <w:szCs w:val="30"/>
        </w:rPr>
        <w:t>价格</w:t>
      </w:r>
      <w:r>
        <w:rPr>
          <w:rFonts w:ascii="仿宋_GB2312" w:eastAsia="仿宋_GB2312" w:hAnsi="仿宋_GB2312" w:cs="仿宋_GB2312" w:hint="eastAsia"/>
          <w:sz w:val="30"/>
          <w:szCs w:val="30"/>
        </w:rPr>
        <w:t>、回售</w:t>
      </w:r>
      <w:r>
        <w:rPr>
          <w:rFonts w:ascii="仿宋_GB2312" w:eastAsia="仿宋_GB2312" w:hAnsi="仿宋_GB2312" w:cs="仿宋_GB2312"/>
          <w:sz w:val="30"/>
          <w:szCs w:val="30"/>
        </w:rPr>
        <w:t>程序、</w:t>
      </w:r>
      <w:r>
        <w:rPr>
          <w:rFonts w:ascii="仿宋_GB2312" w:eastAsia="仿宋_GB2312" w:hAnsi="仿宋_GB2312" w:cs="仿宋_GB2312" w:hint="eastAsia"/>
          <w:sz w:val="30"/>
          <w:szCs w:val="30"/>
        </w:rPr>
        <w:t>付款方法、付款时间</w:t>
      </w:r>
      <w:r>
        <w:rPr>
          <w:rFonts w:ascii="仿宋_GB2312" w:eastAsia="仿宋_GB2312" w:hAnsi="仿宋_GB2312" w:cs="仿宋_GB2312"/>
          <w:sz w:val="30"/>
          <w:szCs w:val="30"/>
        </w:rPr>
        <w:t>等内容</w:t>
      </w:r>
      <w:r>
        <w:rPr>
          <w:rFonts w:ascii="仿宋_GB2312" w:eastAsia="仿宋_GB2312" w:hAnsi="仿宋_GB2312" w:cs="仿宋_GB2312" w:hint="eastAsia"/>
          <w:sz w:val="30"/>
          <w:szCs w:val="30"/>
        </w:rPr>
        <w:t>。回售条件触发日与回售申报期首日的间隔期限应当不超过15个交易日。</w:t>
      </w:r>
    </w:p>
    <w:p w14:paraId="4B418155" w14:textId="56C2CE10" w:rsidR="00BF076B" w:rsidRDefault="00000000">
      <w:pPr>
        <w:spacing w:line="60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t>第二十八条</w:t>
      </w:r>
      <w:r>
        <w:rPr>
          <w:rFonts w:ascii="仿宋_GB2312" w:eastAsia="仿宋_GB2312" w:hAnsi="仿宋_GB2312" w:cs="仿宋_GB2312" w:hint="eastAsia"/>
          <w:b/>
          <w:sz w:val="30"/>
          <w:szCs w:val="30"/>
        </w:rPr>
        <w:t xml:space="preserve"> </w:t>
      </w:r>
      <w:r>
        <w:rPr>
          <w:rFonts w:ascii="仿宋_GB2312" w:eastAsia="仿宋_GB2312" w:hAnsi="宋体" w:hint="eastAsia"/>
          <w:sz w:val="30"/>
          <w:szCs w:val="30"/>
        </w:rPr>
        <w:t>变更</w:t>
      </w:r>
      <w:r>
        <w:rPr>
          <w:rFonts w:ascii="仿宋_GB2312" w:eastAsia="仿宋_GB2312" w:hint="eastAsia"/>
          <w:sz w:val="30"/>
          <w:szCs w:val="30"/>
        </w:rPr>
        <w:t>可转债</w:t>
      </w:r>
      <w:r>
        <w:rPr>
          <w:rFonts w:ascii="仿宋_GB2312" w:eastAsia="仿宋_GB2312" w:hAnsi="宋体" w:hint="eastAsia"/>
          <w:sz w:val="30"/>
          <w:szCs w:val="30"/>
        </w:rPr>
        <w:t>募集资金</w:t>
      </w:r>
      <w:r>
        <w:rPr>
          <w:rFonts w:ascii="仿宋_GB2312" w:eastAsia="仿宋_GB2312" w:hAnsi="仿宋_GB2312" w:cs="仿宋_GB2312" w:hint="eastAsia"/>
          <w:sz w:val="30"/>
          <w:szCs w:val="30"/>
        </w:rPr>
        <w:t>投资项目</w:t>
      </w:r>
      <w:r>
        <w:rPr>
          <w:rFonts w:ascii="仿宋_GB2312" w:eastAsia="仿宋_GB2312" w:hAnsi="宋体" w:hint="eastAsia"/>
          <w:sz w:val="30"/>
          <w:szCs w:val="30"/>
        </w:rPr>
        <w:t>的，上市公司应当在股东会通过决议后20个交易日内赋予可转债持有人一次回售的权利，有关回售公告至少发布3次。其中，在回售实施前、股东会决议公告后5个交易日内至少发布一次，在回售实施期间至少发布一次，余下一次回售公告的发布时间视需要而定。</w:t>
      </w:r>
    </w:p>
    <w:p w14:paraId="2B0B69AE" w14:textId="77777777" w:rsidR="00BF076B" w:rsidRDefault="00000000">
      <w:pPr>
        <w:spacing w:line="600" w:lineRule="exact"/>
        <w:ind w:firstLineChars="200" w:firstLine="602"/>
        <w:rPr>
          <w:rFonts w:ascii="仿宋_GB2312" w:eastAsia="仿宋_GB2312" w:hAnsi="宋体" w:hint="eastAsia"/>
          <w:sz w:val="30"/>
          <w:szCs w:val="30"/>
          <w:highlight w:val="yellow"/>
        </w:rPr>
      </w:pPr>
      <w:r>
        <w:rPr>
          <w:rFonts w:ascii="仿宋_GB2312" w:eastAsia="仿宋_GB2312" w:hAnsi="宋体" w:hint="eastAsia"/>
          <w:b/>
          <w:sz w:val="30"/>
          <w:szCs w:val="30"/>
        </w:rPr>
        <w:t>第二十九条</w:t>
      </w:r>
      <w:r>
        <w:rPr>
          <w:rFonts w:ascii="仿宋_GB2312" w:eastAsia="仿宋_GB2312" w:hAnsi="仿宋_GB2312" w:cs="仿宋_GB2312" w:hint="eastAsia"/>
          <w:b/>
          <w:sz w:val="30"/>
          <w:szCs w:val="30"/>
        </w:rPr>
        <w:t xml:space="preserve"> </w:t>
      </w:r>
      <w:r>
        <w:rPr>
          <w:rFonts w:ascii="仿宋_GB2312" w:eastAsia="仿宋_GB2312" w:hAnsi="宋体" w:hint="eastAsia"/>
          <w:sz w:val="30"/>
          <w:szCs w:val="30"/>
        </w:rPr>
        <w:t>在可转债的回售期内，</w:t>
      </w:r>
      <w:r>
        <w:rPr>
          <w:rFonts w:ascii="仿宋_GB2312" w:eastAsia="仿宋_GB2312" w:hint="eastAsia"/>
          <w:sz w:val="30"/>
          <w:szCs w:val="30"/>
        </w:rPr>
        <w:t>可转债</w:t>
      </w:r>
      <w:r>
        <w:rPr>
          <w:rFonts w:ascii="仿宋_GB2312" w:eastAsia="仿宋_GB2312" w:hAnsi="宋体" w:hint="eastAsia"/>
          <w:sz w:val="30"/>
          <w:szCs w:val="30"/>
        </w:rPr>
        <w:t>持有人可通过本</w:t>
      </w:r>
      <w:r>
        <w:rPr>
          <w:rFonts w:ascii="仿宋_GB2312" w:eastAsia="仿宋_GB2312" w:hAnsi="宋体" w:hint="eastAsia"/>
          <w:sz w:val="30"/>
          <w:szCs w:val="30"/>
        </w:rPr>
        <w:lastRenderedPageBreak/>
        <w:t>所交易系统进行回售申报，回售申报可在当日交易时间内撤销。</w:t>
      </w:r>
    </w:p>
    <w:p w14:paraId="6FE1FCD8" w14:textId="77777777" w:rsidR="00BF076B" w:rsidRDefault="00000000">
      <w:pPr>
        <w:spacing w:line="600" w:lineRule="exact"/>
        <w:ind w:firstLineChars="200" w:firstLine="602"/>
        <w:rPr>
          <w:rFonts w:ascii="仿宋_GB2312" w:eastAsia="仿宋_GB2312" w:hAnsi="宋体" w:hint="eastAsia"/>
          <w:sz w:val="30"/>
          <w:szCs w:val="30"/>
        </w:rPr>
      </w:pPr>
      <w:r>
        <w:rPr>
          <w:rFonts w:ascii="仿宋_GB2312" w:eastAsia="仿宋_GB2312" w:hAnsi="仿宋_GB2312" w:cs="仿宋_GB2312" w:hint="eastAsia"/>
          <w:b/>
          <w:sz w:val="30"/>
          <w:szCs w:val="30"/>
        </w:rPr>
        <w:t xml:space="preserve">第三十条 </w:t>
      </w:r>
      <w:r>
        <w:rPr>
          <w:rFonts w:ascii="仿宋_GB2312" w:eastAsia="仿宋_GB2312" w:hAnsi="宋体"/>
          <w:sz w:val="30"/>
          <w:szCs w:val="30"/>
        </w:rPr>
        <w:t>上市公司应当</w:t>
      </w:r>
      <w:r>
        <w:rPr>
          <w:rFonts w:ascii="仿宋_GB2312" w:eastAsia="仿宋_GB2312" w:hAnsi="宋体" w:hint="eastAsia"/>
          <w:sz w:val="30"/>
          <w:szCs w:val="30"/>
        </w:rPr>
        <w:t>及时</w:t>
      </w:r>
      <w:r>
        <w:rPr>
          <w:rFonts w:ascii="仿宋_GB2312" w:eastAsia="仿宋_GB2312" w:hAnsi="宋体"/>
          <w:sz w:val="30"/>
          <w:szCs w:val="30"/>
        </w:rPr>
        <w:t>将</w:t>
      </w:r>
      <w:r>
        <w:rPr>
          <w:rFonts w:ascii="仿宋_GB2312" w:eastAsia="仿宋_GB2312" w:hAnsi="宋体" w:hint="eastAsia"/>
          <w:sz w:val="30"/>
          <w:szCs w:val="30"/>
        </w:rPr>
        <w:t>回售</w:t>
      </w:r>
      <w:r>
        <w:rPr>
          <w:rFonts w:ascii="仿宋_GB2312" w:eastAsia="仿宋_GB2312" w:hAnsi="宋体"/>
          <w:sz w:val="30"/>
          <w:szCs w:val="30"/>
        </w:rPr>
        <w:t>资金划入</w:t>
      </w:r>
      <w:r>
        <w:rPr>
          <w:rFonts w:ascii="仿宋_GB2312" w:eastAsia="仿宋_GB2312" w:hAnsi="宋体" w:hint="eastAsia"/>
          <w:sz w:val="30"/>
          <w:szCs w:val="30"/>
        </w:rPr>
        <w:t>中国结算</w:t>
      </w:r>
      <w:r>
        <w:rPr>
          <w:rFonts w:ascii="仿宋_GB2312" w:eastAsia="仿宋_GB2312" w:hint="eastAsia"/>
          <w:sz w:val="30"/>
          <w:szCs w:val="30"/>
        </w:rPr>
        <w:t>上海分公司</w:t>
      </w:r>
      <w:r>
        <w:rPr>
          <w:rFonts w:ascii="仿宋_GB2312" w:eastAsia="仿宋_GB2312" w:hAnsi="宋体" w:hint="eastAsia"/>
          <w:sz w:val="30"/>
          <w:szCs w:val="30"/>
        </w:rPr>
        <w:t>指定的收款银行账户，</w:t>
      </w:r>
      <w:r>
        <w:rPr>
          <w:rFonts w:ascii="仿宋_GB2312" w:eastAsia="仿宋_GB2312" w:hAnsi="仿宋_GB2312" w:cs="仿宋_GB2312" w:hint="eastAsia"/>
          <w:sz w:val="30"/>
          <w:szCs w:val="30"/>
        </w:rPr>
        <w:t>并在</w:t>
      </w:r>
      <w:r>
        <w:rPr>
          <w:rFonts w:ascii="仿宋_GB2312" w:eastAsia="仿宋_GB2312" w:hAnsi="宋体" w:hint="eastAsia"/>
          <w:sz w:val="30"/>
          <w:szCs w:val="30"/>
        </w:rPr>
        <w:t>回售期结束后</w:t>
      </w:r>
      <w:r>
        <w:rPr>
          <w:rFonts w:ascii="仿宋_GB2312" w:eastAsia="仿宋_GB2312" w:hAnsi="仿宋_GB2312" w:cs="仿宋_GB2312" w:hint="eastAsia"/>
          <w:sz w:val="30"/>
          <w:szCs w:val="30"/>
        </w:rPr>
        <w:t>及时披露回售结果公告，内容包括回售价格、回售数量、回售金额以及回售事项对公司财务状况、股本结构、经营成果及现金流量的影响。全部回售的，还应当明确可转债摘牌时间。</w:t>
      </w:r>
    </w:p>
    <w:p w14:paraId="4BADD2FE" w14:textId="77777777" w:rsidR="00BF076B" w:rsidRDefault="00000000">
      <w:pPr>
        <w:spacing w:line="600" w:lineRule="exact"/>
        <w:ind w:firstLineChars="200" w:firstLine="602"/>
        <w:rPr>
          <w:rFonts w:ascii="仿宋_GB2312" w:eastAsia="仿宋_GB2312" w:hAnsi="仿宋_GB2312" w:cs="仿宋_GB2312" w:hint="eastAsia"/>
          <w:sz w:val="30"/>
          <w:szCs w:val="30"/>
        </w:rPr>
      </w:pPr>
      <w:r>
        <w:rPr>
          <w:rFonts w:ascii="仿宋_GB2312" w:eastAsia="仿宋_GB2312" w:hAnsi="仿宋_GB2312" w:cs="仿宋_GB2312"/>
          <w:b/>
          <w:sz w:val="30"/>
          <w:szCs w:val="30"/>
        </w:rPr>
        <w:t>第</w:t>
      </w:r>
      <w:r>
        <w:rPr>
          <w:rFonts w:ascii="仿宋_GB2312" w:eastAsia="仿宋_GB2312" w:hAnsi="仿宋_GB2312" w:cs="仿宋_GB2312" w:hint="eastAsia"/>
          <w:b/>
          <w:sz w:val="30"/>
          <w:szCs w:val="30"/>
        </w:rPr>
        <w:t>三十一</w:t>
      </w:r>
      <w:r>
        <w:rPr>
          <w:rFonts w:ascii="仿宋_GB2312" w:eastAsia="仿宋_GB2312" w:hAnsi="仿宋_GB2312" w:cs="仿宋_GB2312"/>
          <w:b/>
          <w:sz w:val="30"/>
          <w:szCs w:val="30"/>
        </w:rPr>
        <w:t>条</w:t>
      </w:r>
      <w:r>
        <w:rPr>
          <w:rFonts w:ascii="仿宋_GB2312" w:eastAsia="仿宋_GB2312" w:hAnsi="仿宋_GB2312" w:cs="仿宋_GB2312" w:hint="eastAsia"/>
          <w:b/>
          <w:sz w:val="30"/>
          <w:szCs w:val="30"/>
        </w:rPr>
        <w:t xml:space="preserve"> </w:t>
      </w:r>
      <w:r>
        <w:rPr>
          <w:rFonts w:ascii="仿宋_GB2312" w:eastAsia="仿宋_GB2312" w:hAnsi="仿宋_GB2312" w:cs="仿宋_GB2312"/>
          <w:sz w:val="30"/>
          <w:szCs w:val="30"/>
        </w:rPr>
        <w:t>如在同一交易日内分别收到</w:t>
      </w:r>
      <w:r>
        <w:rPr>
          <w:rFonts w:ascii="仿宋_GB2312" w:eastAsia="仿宋_GB2312" w:hint="eastAsia"/>
          <w:sz w:val="30"/>
          <w:szCs w:val="30"/>
        </w:rPr>
        <w:t>可转债</w:t>
      </w:r>
      <w:r>
        <w:rPr>
          <w:rFonts w:ascii="仿宋_GB2312" w:eastAsia="仿宋_GB2312" w:hAnsi="仿宋_GB2312" w:cs="仿宋_GB2312"/>
          <w:sz w:val="30"/>
          <w:szCs w:val="30"/>
        </w:rPr>
        <w:t>持有人的交易或</w:t>
      </w:r>
      <w:r>
        <w:rPr>
          <w:rFonts w:ascii="仿宋_GB2312" w:eastAsia="仿宋_GB2312" w:hAnsi="宋体" w:hint="eastAsia"/>
          <w:sz w:val="30"/>
          <w:szCs w:val="30"/>
        </w:rPr>
        <w:t>者</w:t>
      </w:r>
      <w:r>
        <w:rPr>
          <w:rFonts w:ascii="仿宋_GB2312" w:eastAsia="仿宋_GB2312" w:hAnsi="仿宋_GB2312" w:cs="仿宋_GB2312"/>
          <w:sz w:val="30"/>
          <w:szCs w:val="30"/>
        </w:rPr>
        <w:t>转让、转股、回售等两项以上</w:t>
      </w:r>
      <w:r>
        <w:rPr>
          <w:rFonts w:ascii="仿宋_GB2312" w:eastAsia="仿宋_GB2312" w:hAnsi="仿宋_GB2312" w:cs="仿宋_GB2312" w:hint="eastAsia"/>
          <w:sz w:val="30"/>
          <w:szCs w:val="30"/>
        </w:rPr>
        <w:t>业务</w:t>
      </w:r>
      <w:r>
        <w:rPr>
          <w:rFonts w:ascii="仿宋_GB2312" w:eastAsia="仿宋_GB2312" w:hAnsi="仿宋_GB2312" w:cs="仿宋_GB2312"/>
          <w:sz w:val="30"/>
          <w:szCs w:val="30"/>
        </w:rPr>
        <w:t>申请的，按照交易或</w:t>
      </w:r>
      <w:r>
        <w:rPr>
          <w:rFonts w:ascii="仿宋_GB2312" w:eastAsia="仿宋_GB2312" w:hAnsi="宋体" w:hint="eastAsia"/>
          <w:sz w:val="30"/>
          <w:szCs w:val="30"/>
        </w:rPr>
        <w:t>者</w:t>
      </w:r>
      <w:r>
        <w:rPr>
          <w:rFonts w:ascii="仿宋_GB2312" w:eastAsia="仿宋_GB2312" w:hAnsi="仿宋_GB2312" w:cs="仿宋_GB2312"/>
          <w:sz w:val="30"/>
          <w:szCs w:val="30"/>
        </w:rPr>
        <w:t>转让、转股、回售的顺序处理申请。</w:t>
      </w:r>
    </w:p>
    <w:p w14:paraId="66844319" w14:textId="77777777" w:rsidR="00BF076B" w:rsidRDefault="00000000">
      <w:pPr>
        <w:spacing w:line="600" w:lineRule="exact"/>
        <w:jc w:val="center"/>
        <w:rPr>
          <w:rFonts w:ascii="仿宋_GB2312" w:eastAsia="仿宋_GB2312" w:hAnsi="仿宋_GB2312" w:cs="仿宋_GB2312" w:hint="eastAsia"/>
          <w:b/>
          <w:sz w:val="30"/>
          <w:szCs w:val="30"/>
        </w:rPr>
      </w:pPr>
      <w:r>
        <w:rPr>
          <w:rFonts w:ascii="黑体" w:eastAsia="黑体" w:hint="eastAsia"/>
          <w:b/>
          <w:sz w:val="30"/>
          <w:szCs w:val="30"/>
        </w:rPr>
        <w:t xml:space="preserve">第六章 </w:t>
      </w:r>
      <w:r>
        <w:rPr>
          <w:rFonts w:ascii="黑体" w:eastAsia="黑体"/>
          <w:b/>
          <w:sz w:val="30"/>
          <w:szCs w:val="30"/>
        </w:rPr>
        <w:t xml:space="preserve"> </w:t>
      </w:r>
      <w:r>
        <w:rPr>
          <w:rFonts w:ascii="黑体" w:eastAsia="黑体" w:hint="eastAsia"/>
          <w:b/>
          <w:sz w:val="30"/>
          <w:szCs w:val="30"/>
        </w:rPr>
        <w:t>本息兑付</w:t>
      </w:r>
    </w:p>
    <w:p w14:paraId="7B0EF457" w14:textId="77777777" w:rsidR="00BF076B" w:rsidRDefault="00000000">
      <w:pPr>
        <w:spacing w:line="600" w:lineRule="exact"/>
        <w:ind w:firstLineChars="200" w:firstLine="602"/>
        <w:rPr>
          <w:rFonts w:ascii="仿宋_GB2312" w:eastAsia="仿宋_GB2312" w:hAnsi="宋体" w:hint="eastAsia"/>
          <w:sz w:val="30"/>
          <w:szCs w:val="30"/>
        </w:rPr>
      </w:pPr>
      <w:r>
        <w:rPr>
          <w:rFonts w:ascii="仿宋_GB2312" w:eastAsia="仿宋_GB2312" w:hAnsi="仿宋_GB2312" w:cs="仿宋_GB2312" w:hint="eastAsia"/>
          <w:b/>
          <w:sz w:val="30"/>
          <w:szCs w:val="30"/>
        </w:rPr>
        <w:t xml:space="preserve">第三十二条 </w:t>
      </w:r>
      <w:r>
        <w:rPr>
          <w:rFonts w:ascii="仿宋_GB2312" w:eastAsia="仿宋_GB2312" w:hAnsi="宋体" w:hint="eastAsia"/>
          <w:sz w:val="30"/>
          <w:szCs w:val="30"/>
        </w:rPr>
        <w:t>上市公司应当在可转债约定的付息日前3至5个交易日内披露付息公告。公告应当载明付息方案、债权登记日与除息日、兑息日、付息对象、付息方法等内容。</w:t>
      </w:r>
    </w:p>
    <w:p w14:paraId="07C09AC8" w14:textId="77777777" w:rsidR="00BF076B" w:rsidRDefault="00000000">
      <w:pPr>
        <w:spacing w:line="600" w:lineRule="exact"/>
        <w:ind w:firstLineChars="200" w:firstLine="602"/>
        <w:rPr>
          <w:rFonts w:ascii="仿宋_GB2312" w:eastAsia="仿宋_GB2312" w:hAnsi="仿宋_GB2312" w:cs="仿宋_GB2312" w:hint="eastAsia"/>
          <w:sz w:val="30"/>
          <w:szCs w:val="30"/>
        </w:rPr>
      </w:pPr>
      <w:r>
        <w:rPr>
          <w:rFonts w:ascii="仿宋_GB2312" w:eastAsia="仿宋_GB2312" w:hAnsi="仿宋_GB2312" w:cs="仿宋_GB2312" w:hint="eastAsia"/>
          <w:b/>
          <w:sz w:val="30"/>
          <w:szCs w:val="30"/>
        </w:rPr>
        <w:t xml:space="preserve">第三十三条 </w:t>
      </w:r>
      <w:r>
        <w:rPr>
          <w:rFonts w:ascii="仿宋_GB2312" w:eastAsia="仿宋_GB2312" w:hAnsi="宋体" w:hint="eastAsia"/>
          <w:sz w:val="30"/>
          <w:szCs w:val="30"/>
        </w:rPr>
        <w:t>上市公司应当在可转债期满5个交易日前披露本息兑付公告。</w:t>
      </w:r>
      <w:r>
        <w:rPr>
          <w:rFonts w:ascii="仿宋_GB2312" w:eastAsia="仿宋_GB2312" w:hAnsi="仿宋_GB2312" w:cs="仿宋_GB2312" w:hint="eastAsia"/>
          <w:sz w:val="30"/>
          <w:szCs w:val="30"/>
        </w:rPr>
        <w:t>本息兑付公告内容参照付息公告。</w:t>
      </w:r>
    </w:p>
    <w:p w14:paraId="02FE90CC" w14:textId="77777777" w:rsidR="00BF076B" w:rsidRDefault="00000000">
      <w:pPr>
        <w:spacing w:line="600" w:lineRule="exact"/>
        <w:ind w:firstLineChars="200" w:firstLine="600"/>
        <w:rPr>
          <w:rFonts w:ascii="仿宋_GB2312" w:eastAsia="仿宋_GB2312"/>
          <w:sz w:val="30"/>
          <w:szCs w:val="30"/>
        </w:rPr>
      </w:pPr>
      <w:r>
        <w:rPr>
          <w:rFonts w:ascii="仿宋_GB2312" w:eastAsia="仿宋_GB2312"/>
          <w:sz w:val="30"/>
          <w:szCs w:val="30"/>
        </w:rPr>
        <w:t>上市公司应当在可转债期满后</w:t>
      </w:r>
      <w:r>
        <w:rPr>
          <w:rFonts w:ascii="仿宋_GB2312" w:eastAsia="仿宋_GB2312" w:hint="eastAsia"/>
          <w:sz w:val="30"/>
          <w:szCs w:val="30"/>
        </w:rPr>
        <w:t>5</w:t>
      </w:r>
      <w:r>
        <w:rPr>
          <w:rFonts w:ascii="仿宋_GB2312" w:eastAsia="仿宋_GB2312"/>
          <w:sz w:val="30"/>
          <w:szCs w:val="30"/>
        </w:rPr>
        <w:t>个工作日内办理完毕偿还债券余额本息的事项。</w:t>
      </w:r>
    </w:p>
    <w:p w14:paraId="7B05A70A" w14:textId="77777777" w:rsidR="00BF076B" w:rsidRDefault="00000000">
      <w:pPr>
        <w:spacing w:line="600" w:lineRule="exact"/>
        <w:jc w:val="center"/>
        <w:rPr>
          <w:rFonts w:ascii="仿宋_GB2312" w:eastAsia="仿宋_GB2312" w:hAnsi="仿宋_GB2312" w:cs="仿宋_GB2312" w:hint="eastAsia"/>
          <w:b/>
          <w:sz w:val="30"/>
          <w:szCs w:val="30"/>
        </w:rPr>
      </w:pPr>
      <w:r>
        <w:rPr>
          <w:rFonts w:ascii="黑体" w:eastAsia="黑体" w:hint="eastAsia"/>
          <w:b/>
          <w:sz w:val="30"/>
          <w:szCs w:val="30"/>
        </w:rPr>
        <w:t xml:space="preserve">第七章 </w:t>
      </w:r>
      <w:r>
        <w:rPr>
          <w:rFonts w:ascii="黑体" w:eastAsia="黑体"/>
          <w:b/>
          <w:sz w:val="30"/>
          <w:szCs w:val="30"/>
        </w:rPr>
        <w:t xml:space="preserve"> </w:t>
      </w:r>
      <w:r>
        <w:rPr>
          <w:rFonts w:ascii="黑体" w:eastAsia="黑体" w:hint="eastAsia"/>
          <w:b/>
          <w:sz w:val="30"/>
          <w:szCs w:val="30"/>
        </w:rPr>
        <w:t>其他重大事项</w:t>
      </w:r>
    </w:p>
    <w:p w14:paraId="22E62F09" w14:textId="77777777" w:rsidR="00BF076B" w:rsidRDefault="00000000">
      <w:pPr>
        <w:spacing w:line="600" w:lineRule="exact"/>
        <w:ind w:firstLineChars="200" w:firstLine="602"/>
        <w:rPr>
          <w:rFonts w:ascii="仿宋_GB2312" w:eastAsia="仿宋_GB2312"/>
          <w:color w:val="000000"/>
          <w:sz w:val="30"/>
          <w:szCs w:val="30"/>
        </w:rPr>
      </w:pPr>
      <w:r>
        <w:rPr>
          <w:rFonts w:ascii="仿宋_GB2312" w:eastAsia="仿宋_GB2312" w:hint="eastAsia"/>
          <w:b/>
          <w:color w:val="000000"/>
          <w:sz w:val="30"/>
          <w:szCs w:val="30"/>
        </w:rPr>
        <w:t>第三十四条</w:t>
      </w:r>
      <w:r>
        <w:rPr>
          <w:rFonts w:ascii="仿宋_GB2312" w:eastAsia="仿宋_GB2312" w:hint="eastAsia"/>
          <w:b/>
          <w:kern w:val="24"/>
          <w:sz w:val="30"/>
          <w:szCs w:val="30"/>
        </w:rPr>
        <w:t xml:space="preserve"> </w:t>
      </w:r>
      <w:r>
        <w:rPr>
          <w:rFonts w:ascii="仿宋_GB2312" w:eastAsia="仿宋_GB2312" w:hint="eastAsia"/>
          <w:color w:val="000000"/>
          <w:sz w:val="30"/>
          <w:szCs w:val="30"/>
        </w:rPr>
        <w:t>上市公司申请股票停复牌的，应当向本所申请对其可转债停复牌并暂停或</w:t>
      </w:r>
      <w:r>
        <w:rPr>
          <w:rFonts w:ascii="仿宋_GB2312" w:eastAsia="仿宋_GB2312" w:hAnsi="宋体" w:hint="eastAsia"/>
          <w:sz w:val="30"/>
          <w:szCs w:val="30"/>
        </w:rPr>
        <w:t>者</w:t>
      </w:r>
      <w:r>
        <w:rPr>
          <w:rFonts w:ascii="仿宋_GB2312" w:eastAsia="仿宋_GB2312" w:hint="eastAsia"/>
          <w:color w:val="000000"/>
          <w:sz w:val="30"/>
          <w:szCs w:val="30"/>
        </w:rPr>
        <w:t>恢复转股。公司因业务需要，可以单独申请可转债停复牌、暂停或</w:t>
      </w:r>
      <w:r>
        <w:rPr>
          <w:rFonts w:ascii="仿宋_GB2312" w:eastAsia="仿宋_GB2312" w:hAnsi="宋体" w:hint="eastAsia"/>
          <w:sz w:val="30"/>
          <w:szCs w:val="30"/>
        </w:rPr>
        <w:t>者</w:t>
      </w:r>
      <w:r>
        <w:rPr>
          <w:rFonts w:ascii="仿宋_GB2312" w:eastAsia="仿宋_GB2312" w:hint="eastAsia"/>
          <w:color w:val="000000"/>
          <w:sz w:val="30"/>
          <w:szCs w:val="30"/>
        </w:rPr>
        <w:t>恢复转股。</w:t>
      </w:r>
    </w:p>
    <w:p w14:paraId="73A7352C" w14:textId="77777777" w:rsidR="00BF076B" w:rsidRDefault="00000000">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上市公司出现可转债按规定须停牌、暂停转股、停止交易或</w:t>
      </w:r>
      <w:r>
        <w:rPr>
          <w:rFonts w:ascii="仿宋_GB2312" w:eastAsia="仿宋_GB2312" w:hAnsi="宋体" w:hint="eastAsia"/>
          <w:sz w:val="30"/>
          <w:szCs w:val="30"/>
        </w:rPr>
        <w:t>者</w:t>
      </w:r>
      <w:r>
        <w:rPr>
          <w:rFonts w:ascii="仿宋_GB2312" w:eastAsia="仿宋_GB2312" w:hint="eastAsia"/>
          <w:color w:val="000000"/>
          <w:sz w:val="30"/>
          <w:szCs w:val="30"/>
        </w:rPr>
        <w:t>转让的情形时，应当及时履行信息披露义务。</w:t>
      </w:r>
    </w:p>
    <w:p w14:paraId="70AFCF12" w14:textId="77777777" w:rsidR="00BF076B" w:rsidRDefault="00000000">
      <w:pPr>
        <w:spacing w:line="600" w:lineRule="exact"/>
        <w:ind w:firstLineChars="200" w:firstLine="602"/>
        <w:rPr>
          <w:rFonts w:ascii="仿宋_GB2312" w:eastAsia="仿宋_GB2312"/>
          <w:color w:val="000000"/>
          <w:sz w:val="30"/>
          <w:szCs w:val="30"/>
        </w:rPr>
      </w:pPr>
      <w:r>
        <w:rPr>
          <w:rFonts w:ascii="仿宋_GB2312" w:eastAsia="仿宋_GB2312" w:hint="eastAsia"/>
          <w:b/>
          <w:color w:val="000000"/>
          <w:sz w:val="30"/>
          <w:szCs w:val="30"/>
        </w:rPr>
        <w:lastRenderedPageBreak/>
        <w:t xml:space="preserve">第三十五条 </w:t>
      </w:r>
      <w:r>
        <w:rPr>
          <w:rFonts w:ascii="仿宋_GB2312" w:eastAsia="仿宋_GB2312" w:hint="eastAsia"/>
          <w:color w:val="000000"/>
          <w:sz w:val="30"/>
          <w:szCs w:val="30"/>
        </w:rPr>
        <w:t>可转债出现下列情形之一的，应当停止交易或</w:t>
      </w:r>
      <w:r>
        <w:rPr>
          <w:rFonts w:ascii="仿宋_GB2312" w:eastAsia="仿宋_GB2312" w:hAnsi="宋体" w:hint="eastAsia"/>
          <w:sz w:val="30"/>
          <w:szCs w:val="30"/>
        </w:rPr>
        <w:t>者</w:t>
      </w:r>
      <w:r>
        <w:rPr>
          <w:rFonts w:ascii="仿宋_GB2312" w:eastAsia="仿宋_GB2312" w:hint="eastAsia"/>
          <w:color w:val="000000"/>
          <w:sz w:val="30"/>
          <w:szCs w:val="30"/>
        </w:rPr>
        <w:t>转让：</w:t>
      </w:r>
    </w:p>
    <w:p w14:paraId="23A7C992" w14:textId="77777777" w:rsidR="00BF076B" w:rsidRDefault="00000000">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（一）向不特定对象发行的可转债流通面值总额少于3000万元，且上市公司发布相关公告3个交易日后。赎回条件触发日次一交易日至</w:t>
      </w:r>
      <w:r>
        <w:rPr>
          <w:rFonts w:ascii="仿宋_GB2312" w:eastAsia="仿宋_GB2312" w:hAnsi="仿宋_GB2312" w:cs="仿宋_GB2312" w:hint="eastAsia"/>
          <w:sz w:val="30"/>
          <w:szCs w:val="30"/>
        </w:rPr>
        <w:t>赎回资金发放日</w:t>
      </w:r>
      <w:r>
        <w:rPr>
          <w:rFonts w:ascii="仿宋_GB2312" w:eastAsia="仿宋_GB2312" w:hint="eastAsia"/>
          <w:color w:val="000000"/>
          <w:sz w:val="30"/>
          <w:szCs w:val="30"/>
        </w:rPr>
        <w:t>3个交易日前发生前述情形的，可转债不停止交易；</w:t>
      </w:r>
    </w:p>
    <w:p w14:paraId="76ECAC65" w14:textId="77777777" w:rsidR="00BF076B" w:rsidRDefault="00000000">
      <w:pPr>
        <w:spacing w:line="600" w:lineRule="exact"/>
        <w:ind w:firstLineChars="200" w:firstLine="600"/>
        <w:rPr>
          <w:rFonts w:ascii="仿宋_GB2312" w:eastAsia="仿宋_GB2312" w:hAnsi="Arial Unicode MS" w:cs="Arial Unicode MS" w:hint="eastAsia"/>
          <w:color w:val="000000"/>
          <w:sz w:val="30"/>
          <w:szCs w:val="30"/>
        </w:rPr>
      </w:pPr>
      <w:r>
        <w:rPr>
          <w:rFonts w:ascii="仿宋_GB2312" w:eastAsia="仿宋_GB2312" w:hAnsi="Arial Unicode MS" w:cs="Arial Unicode MS" w:hint="eastAsia"/>
          <w:color w:val="000000"/>
          <w:sz w:val="30"/>
          <w:szCs w:val="30"/>
        </w:rPr>
        <w:t>（二）可转债自转股期结束前的第3个交易日起；</w:t>
      </w:r>
    </w:p>
    <w:p w14:paraId="709E8E08" w14:textId="77777777" w:rsidR="00BF076B" w:rsidRDefault="00000000">
      <w:pPr>
        <w:spacing w:line="600" w:lineRule="exact"/>
        <w:ind w:firstLineChars="200" w:firstLine="600"/>
        <w:rPr>
          <w:rFonts w:ascii="仿宋_GB2312" w:eastAsia="仿宋_GB2312" w:hAnsi="Arial Unicode MS" w:cs="Arial Unicode MS" w:hint="eastAsia"/>
          <w:color w:val="000000"/>
          <w:sz w:val="30"/>
          <w:szCs w:val="30"/>
        </w:rPr>
      </w:pPr>
      <w:r>
        <w:rPr>
          <w:rFonts w:ascii="仿宋_GB2312" w:eastAsia="仿宋_GB2312" w:hAnsi="Arial Unicode MS" w:cs="Arial Unicode MS" w:hint="eastAsia"/>
          <w:color w:val="000000"/>
          <w:sz w:val="30"/>
          <w:szCs w:val="30"/>
        </w:rPr>
        <w:t>（三）可转债自</w:t>
      </w:r>
      <w:r>
        <w:rPr>
          <w:rFonts w:ascii="仿宋_GB2312" w:eastAsia="仿宋_GB2312" w:hint="eastAsia"/>
          <w:color w:val="000000"/>
          <w:sz w:val="30"/>
          <w:szCs w:val="30"/>
        </w:rPr>
        <w:t>赎回</w:t>
      </w:r>
      <w:r>
        <w:rPr>
          <w:rFonts w:ascii="仿宋_GB2312" w:eastAsia="仿宋_GB2312" w:hAnsi="仿宋_GB2312" w:cs="仿宋_GB2312" w:hint="eastAsia"/>
          <w:sz w:val="30"/>
          <w:szCs w:val="30"/>
        </w:rPr>
        <w:t>资金发放</w:t>
      </w:r>
      <w:r>
        <w:rPr>
          <w:rFonts w:ascii="仿宋_GB2312" w:eastAsia="仿宋_GB2312" w:hint="eastAsia"/>
          <w:color w:val="000000"/>
          <w:sz w:val="30"/>
          <w:szCs w:val="30"/>
        </w:rPr>
        <w:t>日前</w:t>
      </w:r>
      <w:r>
        <w:rPr>
          <w:rFonts w:ascii="仿宋_GB2312" w:eastAsia="仿宋_GB2312" w:hAnsi="Arial Unicode MS" w:cs="Arial Unicode MS" w:hint="eastAsia"/>
          <w:color w:val="000000"/>
          <w:sz w:val="30"/>
          <w:szCs w:val="30"/>
        </w:rPr>
        <w:t>的第3个交易日起；</w:t>
      </w:r>
    </w:p>
    <w:p w14:paraId="0DBBC61D" w14:textId="77777777" w:rsidR="00BF076B" w:rsidRDefault="00000000">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（四）中国证监会和本所认定的其他情况。</w:t>
      </w:r>
    </w:p>
    <w:p w14:paraId="77AC0E17" w14:textId="77777777" w:rsidR="00BF076B" w:rsidRDefault="00000000">
      <w:pPr>
        <w:spacing w:line="600" w:lineRule="exact"/>
        <w:ind w:firstLineChars="200" w:firstLine="602"/>
        <w:rPr>
          <w:rFonts w:ascii="仿宋_GB2312" w:eastAsia="仿宋_GB2312" w:hAnsi="宋体" w:hint="eastAsia"/>
          <w:sz w:val="30"/>
          <w:szCs w:val="30"/>
        </w:rPr>
      </w:pPr>
      <w:r>
        <w:rPr>
          <w:rFonts w:ascii="仿宋_GB2312" w:eastAsia="仿宋_GB2312" w:hAnsi="仿宋_GB2312" w:cs="仿宋_GB2312" w:hint="eastAsia"/>
          <w:b/>
          <w:sz w:val="30"/>
          <w:szCs w:val="30"/>
        </w:rPr>
        <w:t>第三十六条</w:t>
      </w:r>
      <w:r>
        <w:rPr>
          <w:rFonts w:ascii="仿宋_GB2312" w:eastAsia="仿宋_GB2312" w:hint="eastAsia"/>
          <w:b/>
          <w:kern w:val="24"/>
          <w:sz w:val="30"/>
          <w:szCs w:val="30"/>
        </w:rPr>
        <w:t xml:space="preserve"> </w:t>
      </w:r>
      <w:r>
        <w:rPr>
          <w:rFonts w:ascii="仿宋_GB2312" w:eastAsia="仿宋_GB2312" w:hAnsi="宋体" w:hint="eastAsia"/>
          <w:sz w:val="30"/>
          <w:szCs w:val="30"/>
        </w:rPr>
        <w:t>投资者持有上市公司已发行的可转债达到发行总量的20%时，应当在事实发生之日起2个交易日内通知上市公司予以公告。</w:t>
      </w:r>
    </w:p>
    <w:p w14:paraId="1EA5741B" w14:textId="77777777" w:rsidR="00BF076B" w:rsidRDefault="00000000">
      <w:pPr>
        <w:spacing w:line="600" w:lineRule="exact"/>
        <w:ind w:firstLineChars="200" w:firstLine="600"/>
        <w:rPr>
          <w:rFonts w:ascii="仿宋_GB2312" w:eastAsia="仿宋_GB2312"/>
          <w:sz w:val="30"/>
          <w:szCs w:val="30"/>
        </w:rPr>
      </w:pPr>
      <w:r>
        <w:rPr>
          <w:rFonts w:ascii="仿宋_GB2312" w:eastAsia="仿宋_GB2312" w:hint="eastAsia"/>
          <w:sz w:val="30"/>
          <w:szCs w:val="30"/>
        </w:rPr>
        <w:t>投资者持有上市公司已发行的可转债达到</w:t>
      </w:r>
      <w:r>
        <w:rPr>
          <w:rFonts w:ascii="仿宋_GB2312" w:eastAsia="仿宋_GB2312" w:hAnsi="宋体" w:hint="eastAsia"/>
          <w:sz w:val="30"/>
          <w:szCs w:val="30"/>
        </w:rPr>
        <w:t>发行总量的</w:t>
      </w:r>
      <w:r>
        <w:rPr>
          <w:rFonts w:ascii="仿宋_GB2312" w:eastAsia="仿宋_GB2312" w:hint="eastAsia"/>
          <w:sz w:val="30"/>
          <w:szCs w:val="30"/>
        </w:rPr>
        <w:t>20%后，每增加或者减少10%时，应当依照前款规定履行通知公告义务。</w:t>
      </w:r>
    </w:p>
    <w:p w14:paraId="4C63EB14" w14:textId="0A68240B" w:rsidR="00BF076B" w:rsidRDefault="00000000">
      <w:pPr>
        <w:spacing w:line="600" w:lineRule="exact"/>
        <w:ind w:firstLineChars="200" w:firstLine="602"/>
        <w:rPr>
          <w:rFonts w:ascii="仿宋_GB2312" w:eastAsia="仿宋_GB2312" w:hAnsi="宋体" w:hint="eastAsia"/>
          <w:sz w:val="30"/>
          <w:szCs w:val="30"/>
        </w:rPr>
      </w:pPr>
      <w:r>
        <w:rPr>
          <w:rFonts w:ascii="仿宋_GB2312" w:eastAsia="仿宋_GB2312" w:hAnsi="仿宋_GB2312" w:cs="仿宋_GB2312" w:hint="eastAsia"/>
          <w:b/>
          <w:sz w:val="30"/>
          <w:szCs w:val="30"/>
        </w:rPr>
        <w:t>第三十七条</w:t>
      </w:r>
      <w:r>
        <w:rPr>
          <w:rFonts w:ascii="仿宋_GB2312" w:eastAsia="仿宋_GB2312" w:hint="eastAsia"/>
          <w:b/>
          <w:kern w:val="24"/>
          <w:sz w:val="30"/>
          <w:szCs w:val="30"/>
        </w:rPr>
        <w:t xml:space="preserve"> </w:t>
      </w:r>
      <w:r>
        <w:rPr>
          <w:rFonts w:ascii="仿宋_GB2312" w:eastAsia="仿宋_GB2312" w:hAnsi="宋体" w:hint="eastAsia"/>
          <w:sz w:val="30"/>
          <w:szCs w:val="30"/>
        </w:rPr>
        <w:t>上市公司持有5%以上股份的股东、董事、高级管理人员申购或者认购、交易或者转让本公司发行的可转债，应当遵守《</w:t>
      </w:r>
      <w:r>
        <w:rPr>
          <w:rFonts w:ascii="仿宋_GB2312" w:eastAsia="仿宋_GB2312" w:hint="eastAsia"/>
          <w:sz w:val="30"/>
          <w:szCs w:val="30"/>
        </w:rPr>
        <w:t>中华人民共和国</w:t>
      </w:r>
      <w:r>
        <w:rPr>
          <w:rFonts w:ascii="仿宋_GB2312" w:eastAsia="仿宋_GB2312" w:hAnsi="宋体" w:hint="eastAsia"/>
          <w:sz w:val="30"/>
          <w:szCs w:val="30"/>
        </w:rPr>
        <w:t>证券法》第四十四条短线交易的相关规定。可转债转股、赎回及回售不适用短线交易的相关规定。</w:t>
      </w:r>
    </w:p>
    <w:p w14:paraId="303E2BBE" w14:textId="77777777" w:rsidR="00BF076B" w:rsidRDefault="00000000">
      <w:pPr>
        <w:spacing w:line="600" w:lineRule="exact"/>
        <w:ind w:firstLineChars="200" w:firstLine="602"/>
        <w:rPr>
          <w:rFonts w:ascii="仿宋_GB2312" w:eastAsia="仿宋_GB2312"/>
          <w:sz w:val="30"/>
          <w:szCs w:val="30"/>
        </w:rPr>
      </w:pPr>
      <w:r>
        <w:rPr>
          <w:rFonts w:ascii="仿宋_GB2312" w:eastAsia="仿宋_GB2312" w:hint="eastAsia"/>
          <w:b/>
          <w:sz w:val="30"/>
          <w:szCs w:val="30"/>
        </w:rPr>
        <w:t>第三十八条</w:t>
      </w:r>
      <w:r>
        <w:rPr>
          <w:rFonts w:ascii="仿宋_GB2312" w:eastAsia="仿宋_GB2312" w:hint="eastAsia"/>
          <w:b/>
          <w:kern w:val="24"/>
          <w:sz w:val="30"/>
          <w:szCs w:val="30"/>
        </w:rPr>
        <w:t xml:space="preserve"> </w:t>
      </w:r>
      <w:r>
        <w:rPr>
          <w:rFonts w:ascii="仿宋_GB2312" w:eastAsia="仿宋_GB2312" w:hint="eastAsia"/>
          <w:sz w:val="30"/>
          <w:szCs w:val="30"/>
        </w:rPr>
        <w:t>投资者因持有或者买卖可转债中有权转股部分导致所持上市公司权益发生变动的，应当根据《上市公司收购管理办法》的相关规定及时履行权益变动报告、公告和其他法定义务。</w:t>
      </w:r>
    </w:p>
    <w:p w14:paraId="5C20EAD1" w14:textId="77777777" w:rsidR="00BF076B" w:rsidRDefault="00000000">
      <w:pPr>
        <w:spacing w:line="600" w:lineRule="exact"/>
        <w:ind w:firstLineChars="200" w:firstLine="602"/>
        <w:rPr>
          <w:rFonts w:ascii="仿宋_GB2312" w:eastAsia="仿宋_GB2312" w:hAnsi="仿宋_GB2312" w:cs="仿宋_GB2312" w:hint="eastAsia"/>
          <w:sz w:val="30"/>
          <w:szCs w:val="30"/>
        </w:rPr>
      </w:pPr>
      <w:r>
        <w:rPr>
          <w:rFonts w:ascii="仿宋_GB2312" w:eastAsia="仿宋_GB2312" w:hAnsi="仿宋_GB2312" w:cs="仿宋_GB2312" w:hint="eastAsia"/>
          <w:b/>
          <w:sz w:val="30"/>
          <w:szCs w:val="30"/>
        </w:rPr>
        <w:t>第三十九条</w:t>
      </w:r>
      <w:r>
        <w:rPr>
          <w:rFonts w:ascii="仿宋_GB2312" w:eastAsia="仿宋_GB2312" w:hint="eastAsia"/>
          <w:b/>
          <w:kern w:val="24"/>
          <w:sz w:val="30"/>
          <w:szCs w:val="30"/>
        </w:rPr>
        <w:t xml:space="preserve"> </w:t>
      </w:r>
      <w:r>
        <w:rPr>
          <w:rFonts w:ascii="仿宋_GB2312" w:eastAsia="仿宋_GB2312" w:hint="eastAsia"/>
          <w:kern w:val="24"/>
          <w:sz w:val="30"/>
          <w:szCs w:val="30"/>
        </w:rPr>
        <w:t>除本指引规定的信息披露事项外，</w:t>
      </w:r>
      <w:r>
        <w:rPr>
          <w:rFonts w:ascii="仿宋_GB2312" w:eastAsia="仿宋_GB2312" w:hAnsi="仿宋_GB2312" w:cs="仿宋_GB2312" w:hint="eastAsia"/>
          <w:sz w:val="30"/>
          <w:szCs w:val="30"/>
        </w:rPr>
        <w:t>发生下列可</w:t>
      </w:r>
      <w:r>
        <w:rPr>
          <w:rFonts w:ascii="仿宋_GB2312" w:eastAsia="仿宋_GB2312" w:hAnsi="仿宋_GB2312" w:cs="仿宋_GB2312" w:hint="eastAsia"/>
          <w:sz w:val="30"/>
          <w:szCs w:val="30"/>
        </w:rPr>
        <w:lastRenderedPageBreak/>
        <w:t>能对可转债的价格产生较大影响的其他重大事件时，上市公司应当及时向本所报告并披露，说明事件的起因、目前的状态和可能产生的法律后果：</w:t>
      </w:r>
    </w:p>
    <w:p w14:paraId="75DD491C" w14:textId="77777777" w:rsidR="00BF076B" w:rsidRDefault="00000000">
      <w:pPr>
        <w:spacing w:line="6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（一）公司信用状况发生重大变化，可能影响如期偿还可转债本息；</w:t>
      </w:r>
    </w:p>
    <w:p w14:paraId="454ABAAC" w14:textId="77777777" w:rsidR="00BF076B" w:rsidRDefault="00000000">
      <w:pPr>
        <w:spacing w:line="6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（二）可转债担保人发生重大资产变动、重大诉讼、合并、分立等情况；</w:t>
      </w:r>
    </w:p>
    <w:p w14:paraId="5EE829EE" w14:textId="77777777" w:rsidR="00BF076B" w:rsidRDefault="00000000">
      <w:pPr>
        <w:spacing w:line="6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（三）信用评级机构对可转债的信用或者公司的信用进行评级，并已出具信用评级结果；</w:t>
      </w:r>
    </w:p>
    <w:p w14:paraId="0B9D7A50" w14:textId="77777777" w:rsidR="00BF076B" w:rsidRDefault="00000000">
      <w:pPr>
        <w:spacing w:line="6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（四）公司重大资产抵押、质押、出售、转让、报废；</w:t>
      </w:r>
    </w:p>
    <w:p w14:paraId="336A034A" w14:textId="77777777" w:rsidR="00BF076B" w:rsidRDefault="00000000">
      <w:pPr>
        <w:spacing w:line="600" w:lineRule="exact"/>
        <w:ind w:firstLineChars="200" w:firstLine="600"/>
        <w:rPr>
          <w:rFonts w:ascii="仿宋_GB2312" w:eastAsia="仿宋_GB2312" w:hAnsi="仿宋_GB2312" w:cs="仿宋_GB2312" w:hint="eastAsia"/>
          <w:sz w:val="30"/>
          <w:szCs w:val="30"/>
        </w:rPr>
      </w:pPr>
      <w:bookmarkStart w:id="3" w:name="No338_Z5T81K2X4"/>
      <w:bookmarkEnd w:id="3"/>
      <w:r>
        <w:rPr>
          <w:rFonts w:ascii="仿宋_GB2312" w:eastAsia="仿宋_GB2312" w:hAnsi="仿宋_GB2312" w:cs="仿宋_GB2312" w:hint="eastAsia"/>
          <w:sz w:val="30"/>
          <w:szCs w:val="30"/>
        </w:rPr>
        <w:t>（五）公司发生未能清偿到期债务的情况；</w:t>
      </w:r>
    </w:p>
    <w:p w14:paraId="050CF884" w14:textId="77777777" w:rsidR="00BF076B" w:rsidRDefault="00000000">
      <w:pPr>
        <w:spacing w:line="600" w:lineRule="exact"/>
        <w:ind w:firstLineChars="200" w:firstLine="600"/>
        <w:rPr>
          <w:rFonts w:ascii="仿宋_GB2312" w:eastAsia="仿宋_GB2312" w:hAnsi="仿宋_GB2312" w:cs="仿宋_GB2312" w:hint="eastAsia"/>
          <w:sz w:val="30"/>
          <w:szCs w:val="30"/>
        </w:rPr>
      </w:pPr>
      <w:bookmarkStart w:id="4" w:name="No339_Z5T81K2X5"/>
      <w:bookmarkEnd w:id="4"/>
      <w:r>
        <w:rPr>
          <w:rFonts w:ascii="仿宋_GB2312" w:eastAsia="仿宋_GB2312" w:hAnsi="仿宋_GB2312" w:cs="仿宋_GB2312" w:hint="eastAsia"/>
          <w:sz w:val="30"/>
          <w:szCs w:val="30"/>
        </w:rPr>
        <w:t>（六）公司新增借款或者对外提供担保超过上年末净资产的20%；</w:t>
      </w:r>
    </w:p>
    <w:p w14:paraId="5DA69021" w14:textId="77777777" w:rsidR="00BF076B" w:rsidRDefault="00000000">
      <w:pPr>
        <w:spacing w:line="600" w:lineRule="exact"/>
        <w:ind w:firstLineChars="200" w:firstLine="600"/>
        <w:rPr>
          <w:rFonts w:ascii="仿宋_GB2312" w:eastAsia="仿宋_GB2312" w:hAnsi="仿宋_GB2312" w:cs="仿宋_GB2312" w:hint="eastAsia"/>
          <w:sz w:val="30"/>
          <w:szCs w:val="30"/>
        </w:rPr>
      </w:pPr>
      <w:bookmarkStart w:id="5" w:name="No340_Z5T81K2X6"/>
      <w:bookmarkEnd w:id="5"/>
      <w:r>
        <w:rPr>
          <w:rFonts w:ascii="仿宋_GB2312" w:eastAsia="仿宋_GB2312" w:hAnsi="仿宋_GB2312" w:cs="仿宋_GB2312" w:hint="eastAsia"/>
          <w:sz w:val="30"/>
          <w:szCs w:val="30"/>
        </w:rPr>
        <w:t>（七）公司放弃债权或者财产超过上年末净资产的10%；</w:t>
      </w:r>
    </w:p>
    <w:p w14:paraId="59F43A52" w14:textId="77777777" w:rsidR="00BF076B" w:rsidRDefault="00000000">
      <w:pPr>
        <w:spacing w:line="600" w:lineRule="exact"/>
        <w:ind w:firstLineChars="200" w:firstLine="600"/>
        <w:rPr>
          <w:rFonts w:ascii="仿宋_GB2312" w:eastAsia="仿宋_GB2312" w:hAnsi="仿宋_GB2312" w:cs="仿宋_GB2312" w:hint="eastAsia"/>
          <w:sz w:val="30"/>
          <w:szCs w:val="30"/>
        </w:rPr>
      </w:pPr>
      <w:bookmarkStart w:id="6" w:name="No341_Z5T81K2X7"/>
      <w:bookmarkEnd w:id="6"/>
      <w:r>
        <w:rPr>
          <w:rFonts w:ascii="仿宋_GB2312" w:eastAsia="仿宋_GB2312" w:hAnsi="仿宋_GB2312" w:cs="仿宋_GB2312" w:hint="eastAsia"/>
          <w:sz w:val="30"/>
          <w:szCs w:val="30"/>
        </w:rPr>
        <w:t>（八）公司发生超过上年末净资产10%的重大损失；</w:t>
      </w:r>
    </w:p>
    <w:p w14:paraId="096E510E" w14:textId="77777777" w:rsidR="00BF076B" w:rsidRDefault="00000000">
      <w:pPr>
        <w:spacing w:line="6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（九）中国证监会和本所规定的其他情形。</w:t>
      </w:r>
    </w:p>
    <w:p w14:paraId="682843D3" w14:textId="77777777" w:rsidR="00BF076B" w:rsidRDefault="00000000">
      <w:pPr>
        <w:spacing w:line="600" w:lineRule="exact"/>
        <w:ind w:firstLineChars="200" w:firstLine="602"/>
        <w:rPr>
          <w:rFonts w:ascii="仿宋_GB2312" w:eastAsia="仿宋_GB2312" w:hAnsi="仿宋_GB2312" w:cs="仿宋_GB2312" w:hint="eastAsia"/>
          <w:sz w:val="30"/>
          <w:szCs w:val="30"/>
        </w:rPr>
      </w:pPr>
      <w:r>
        <w:rPr>
          <w:rFonts w:ascii="仿宋_GB2312" w:eastAsia="仿宋_GB2312" w:hAnsi="宋体" w:hint="eastAsia"/>
          <w:b/>
          <w:sz w:val="30"/>
          <w:szCs w:val="30"/>
        </w:rPr>
        <w:t xml:space="preserve">第四十条 </w:t>
      </w:r>
      <w:r>
        <w:rPr>
          <w:rFonts w:ascii="仿宋_GB2312" w:eastAsia="仿宋_GB2312" w:hAnsi="宋体" w:hint="eastAsia"/>
          <w:sz w:val="30"/>
          <w:szCs w:val="30"/>
        </w:rPr>
        <w:t>因重组业绩承诺未实现等原因，上市公司需对向特定对象发行的可转债实施回购注销的，上市公司应当及时办理并披露。</w:t>
      </w:r>
    </w:p>
    <w:p w14:paraId="6BBEE944" w14:textId="77777777" w:rsidR="00BF076B" w:rsidRDefault="00000000">
      <w:pPr>
        <w:spacing w:line="600" w:lineRule="exact"/>
        <w:ind w:firstLineChars="200" w:firstLine="602"/>
        <w:rPr>
          <w:rFonts w:ascii="仿宋_GB2312" w:eastAsia="仿宋_GB2312" w:hAnsi="Calibri"/>
          <w:sz w:val="30"/>
          <w:szCs w:val="30"/>
        </w:rPr>
      </w:pPr>
      <w:r>
        <w:rPr>
          <w:rFonts w:ascii="仿宋_GB2312" w:eastAsia="仿宋_GB2312" w:hAnsi="仿宋_GB2312" w:cs="仿宋_GB2312" w:hint="eastAsia"/>
          <w:b/>
          <w:sz w:val="30"/>
          <w:szCs w:val="30"/>
        </w:rPr>
        <w:t>第四十一条</w:t>
      </w:r>
      <w:r>
        <w:rPr>
          <w:rFonts w:ascii="仿宋_GB2312" w:eastAsia="仿宋_GB2312" w:hint="eastAsia"/>
          <w:b/>
          <w:kern w:val="24"/>
          <w:sz w:val="30"/>
          <w:szCs w:val="30"/>
        </w:rPr>
        <w:t xml:space="preserve"> </w:t>
      </w:r>
      <w:r>
        <w:rPr>
          <w:rFonts w:ascii="仿宋_GB2312" w:eastAsia="仿宋_GB2312" w:hint="eastAsia"/>
          <w:kern w:val="24"/>
          <w:sz w:val="30"/>
          <w:szCs w:val="30"/>
        </w:rPr>
        <w:t>可转债受托管理、持有人会议等事项，</w:t>
      </w:r>
      <w:r>
        <w:rPr>
          <w:rFonts w:ascii="仿宋_GB2312" w:eastAsia="仿宋_GB2312" w:hAnsi="Calibri" w:hint="eastAsia"/>
          <w:sz w:val="30"/>
          <w:szCs w:val="30"/>
        </w:rPr>
        <w:t>按照中国证监会相关规定执行。</w:t>
      </w:r>
    </w:p>
    <w:p w14:paraId="1607B9F6" w14:textId="77777777" w:rsidR="00BF076B" w:rsidRDefault="00000000">
      <w:pPr>
        <w:spacing w:line="600" w:lineRule="exact"/>
        <w:ind w:firstLineChars="200" w:firstLine="602"/>
        <w:rPr>
          <w:rFonts w:ascii="仿宋_GB2312" w:eastAsia="仿宋_GB2312" w:hAnsi="仿宋_GB2312" w:cs="仿宋_GB2312" w:hint="eastAsia"/>
          <w:sz w:val="30"/>
          <w:szCs w:val="30"/>
        </w:rPr>
      </w:pPr>
      <w:r>
        <w:rPr>
          <w:rFonts w:ascii="仿宋_GB2312" w:eastAsia="仿宋_GB2312" w:hAnsi="仿宋_GB2312" w:cs="仿宋_GB2312" w:hint="eastAsia"/>
          <w:b/>
          <w:sz w:val="30"/>
          <w:szCs w:val="30"/>
        </w:rPr>
        <w:t xml:space="preserve">第四十二条 </w:t>
      </w:r>
      <w:r>
        <w:rPr>
          <w:rFonts w:ascii="仿宋_GB2312" w:eastAsia="仿宋_GB2312" w:hAnsi="仿宋_GB2312" w:cs="仿宋_GB2312" w:hint="eastAsia"/>
          <w:sz w:val="30"/>
          <w:szCs w:val="30"/>
        </w:rPr>
        <w:t>保荐人或者独立财务顾问应当在持续督导期内对可转债相关业务是否符合相关法律法规、本所相关规定和募集</w:t>
      </w:r>
      <w:r>
        <w:rPr>
          <w:rFonts w:ascii="仿宋_GB2312" w:eastAsia="仿宋_GB2312" w:hAnsi="仿宋_GB2312" w:cs="仿宋_GB2312" w:hint="eastAsia"/>
          <w:sz w:val="30"/>
          <w:szCs w:val="30"/>
        </w:rPr>
        <w:lastRenderedPageBreak/>
        <w:t>说明书、重组报告书的约定，是否误导投资者或者损害投资者合法权益等发表明确意见。上市公司选择赎回或者不赎回可转债的，保荐人或者独立财务顾问应当及时发表明确意见。</w:t>
      </w:r>
    </w:p>
    <w:p w14:paraId="4175C757" w14:textId="77777777" w:rsidR="00BF076B" w:rsidRDefault="00000000">
      <w:pPr>
        <w:spacing w:line="600" w:lineRule="exact"/>
        <w:jc w:val="center"/>
        <w:rPr>
          <w:rFonts w:ascii="黑体" w:eastAsia="黑体"/>
          <w:b/>
          <w:sz w:val="30"/>
          <w:szCs w:val="30"/>
        </w:rPr>
      </w:pPr>
      <w:r>
        <w:rPr>
          <w:rFonts w:ascii="黑体" w:eastAsia="黑体" w:hint="eastAsia"/>
          <w:b/>
          <w:sz w:val="30"/>
          <w:szCs w:val="30"/>
        </w:rPr>
        <w:t>第八章  附则</w:t>
      </w:r>
    </w:p>
    <w:p w14:paraId="5E6D3E8D" w14:textId="583B6082" w:rsidR="00BF076B" w:rsidRDefault="00000000">
      <w:pPr>
        <w:spacing w:line="600" w:lineRule="exact"/>
        <w:ind w:firstLine="602"/>
        <w:rPr>
          <w:rFonts w:ascii="仿宋_GB2312" w:eastAsia="仿宋_GB2312"/>
          <w:sz w:val="30"/>
          <w:szCs w:val="30"/>
        </w:rPr>
      </w:pPr>
      <w:r>
        <w:rPr>
          <w:rFonts w:ascii="仿宋_GB2312" w:eastAsia="仿宋_GB2312" w:hint="eastAsia"/>
          <w:b/>
          <w:kern w:val="24"/>
          <w:sz w:val="30"/>
          <w:szCs w:val="30"/>
        </w:rPr>
        <w:t xml:space="preserve">第四十三条 </w:t>
      </w:r>
      <w:r>
        <w:rPr>
          <w:rFonts w:ascii="仿宋_GB2312" w:eastAsia="仿宋_GB2312" w:hint="eastAsia"/>
          <w:sz w:val="30"/>
          <w:szCs w:val="30"/>
        </w:rPr>
        <w:t>上市公司及其董事、高级管理人员、控股股东、实际控制人</w:t>
      </w:r>
      <w:r>
        <w:rPr>
          <w:rFonts w:ascii="仿宋_GB2312" w:eastAsia="仿宋_GB2312" w:hint="eastAsia"/>
          <w:kern w:val="24"/>
          <w:sz w:val="30"/>
          <w:szCs w:val="30"/>
        </w:rPr>
        <w:t>，</w:t>
      </w:r>
      <w:r>
        <w:rPr>
          <w:rFonts w:ascii="仿宋_GB2312" w:eastAsia="仿宋_GB2312" w:hint="eastAsia"/>
          <w:sz w:val="30"/>
          <w:szCs w:val="30"/>
        </w:rPr>
        <w:t>投资者，以及</w:t>
      </w:r>
      <w:r>
        <w:rPr>
          <w:rFonts w:ascii="仿宋_GB2312" w:eastAsia="仿宋_GB2312" w:hint="eastAsia"/>
          <w:kern w:val="24"/>
          <w:sz w:val="30"/>
          <w:szCs w:val="30"/>
        </w:rPr>
        <w:t>保荐人、承销商、独立财务顾问等中介机构及其相关人员</w:t>
      </w:r>
      <w:r>
        <w:rPr>
          <w:rFonts w:ascii="仿宋_GB2312" w:eastAsia="仿宋_GB2312" w:hint="eastAsia"/>
          <w:sz w:val="30"/>
          <w:szCs w:val="30"/>
        </w:rPr>
        <w:t>等监管对象违反本指引、承诺或者本所其他相关规定的，本所可以对其采取自律监管措施或者予以纪律处分。</w:t>
      </w:r>
    </w:p>
    <w:p w14:paraId="2005A148" w14:textId="77777777" w:rsidR="00BF076B" w:rsidRDefault="00000000">
      <w:pPr>
        <w:spacing w:line="600" w:lineRule="exact"/>
        <w:ind w:firstLineChars="200" w:firstLine="602"/>
        <w:rPr>
          <w:rFonts w:ascii="仿宋_GB2312" w:eastAsia="仿宋_GB2312"/>
          <w:kern w:val="24"/>
          <w:sz w:val="30"/>
          <w:szCs w:val="30"/>
        </w:rPr>
      </w:pPr>
      <w:r>
        <w:rPr>
          <w:rFonts w:ascii="仿宋_GB2312" w:eastAsia="仿宋_GB2312" w:hint="eastAsia"/>
          <w:b/>
          <w:kern w:val="24"/>
          <w:sz w:val="30"/>
          <w:szCs w:val="30"/>
        </w:rPr>
        <w:t xml:space="preserve">第四十四条 </w:t>
      </w:r>
      <w:r>
        <w:rPr>
          <w:rFonts w:ascii="仿宋_GB2312" w:eastAsia="仿宋_GB2312" w:hint="eastAsia"/>
          <w:kern w:val="24"/>
          <w:sz w:val="30"/>
          <w:szCs w:val="30"/>
        </w:rPr>
        <w:t>本指引由本所负责解释。</w:t>
      </w:r>
    </w:p>
    <w:p w14:paraId="13091CE1" w14:textId="77777777" w:rsidR="00BF076B" w:rsidRDefault="00000000">
      <w:pPr>
        <w:spacing w:line="600" w:lineRule="exact"/>
        <w:ind w:firstLineChars="200" w:firstLine="602"/>
        <w:rPr>
          <w:rFonts w:ascii="仿宋_GB2312" w:eastAsia="仿宋_GB2312"/>
          <w:kern w:val="24"/>
          <w:sz w:val="30"/>
          <w:szCs w:val="30"/>
        </w:rPr>
      </w:pPr>
      <w:r>
        <w:rPr>
          <w:rFonts w:ascii="仿宋_GB2312" w:eastAsia="仿宋_GB2312" w:hint="eastAsia"/>
          <w:b/>
          <w:kern w:val="24"/>
          <w:sz w:val="30"/>
          <w:szCs w:val="30"/>
        </w:rPr>
        <w:t xml:space="preserve">第四十五条 </w:t>
      </w:r>
      <w:r>
        <w:rPr>
          <w:rFonts w:ascii="仿宋_GB2312" w:eastAsia="仿宋_GB2312" w:hint="eastAsia"/>
          <w:kern w:val="24"/>
          <w:sz w:val="30"/>
          <w:szCs w:val="30"/>
        </w:rPr>
        <w:t>本指引自发布之日起施行。本所于2022年7月29日发布的《上海证券交易所上市公司自律监管指引第12号——可转换公司债券》（上证发〔2022〕119号）同时废止。</w:t>
      </w:r>
    </w:p>
    <w:p w14:paraId="5FA58F6B" w14:textId="77777777" w:rsidR="00BF076B" w:rsidRDefault="00BF076B">
      <w:pPr>
        <w:rPr>
          <w:szCs w:val="30"/>
        </w:rPr>
      </w:pPr>
    </w:p>
    <w:p w14:paraId="6D7BF81A" w14:textId="77777777" w:rsidR="00BF076B" w:rsidRDefault="00BF076B">
      <w:pPr>
        <w:spacing w:line="560" w:lineRule="exact"/>
        <w:jc w:val="left"/>
        <w:rPr>
          <w:rFonts w:ascii="仿宋_GB2312" w:eastAsia="仿宋_GB2312" w:hAnsi="微软雅黑" w:hint="eastAsia"/>
          <w:b/>
          <w:color w:val="000000"/>
          <w:sz w:val="30"/>
          <w:szCs w:val="30"/>
        </w:rPr>
      </w:pPr>
    </w:p>
    <w:sectPr w:rsidR="00BF076B">
      <w:footerReference w:type="even" r:id="rId7"/>
      <w:footerReference w:type="default" r:id="rId8"/>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3AE7D" w14:textId="77777777" w:rsidR="00A363B8" w:rsidRDefault="00A363B8">
      <w:r>
        <w:separator/>
      </w:r>
    </w:p>
  </w:endnote>
  <w:endnote w:type="continuationSeparator" w:id="0">
    <w:p w14:paraId="24FBEAA8" w14:textId="77777777" w:rsidR="00A363B8" w:rsidRDefault="00A36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panose1 w:val="02000000000000000000"/>
    <w:charset w:val="86"/>
    <w:family w:val="auto"/>
    <w:pitch w:val="variable"/>
    <w:sig w:usb0="A00002BF" w:usb1="184F6CFA" w:usb2="00000012" w:usb3="00000000" w:csb0="00040001"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lassGarmnd B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汉仪中等线简">
    <w:altName w:val="微软雅黑"/>
    <w:charset w:val="86"/>
    <w:family w:val="modern"/>
    <w:pitch w:val="default"/>
    <w:sig w:usb0="00000000" w:usb1="00000000" w:usb2="00000012" w:usb3="00000000" w:csb0="00040000"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Helvetica">
    <w:panose1 w:val="020B0504020202020204"/>
    <w:charset w:val="00"/>
    <w:family w:val="swiss"/>
    <w:pitch w:val="default"/>
    <w:sig w:usb0="00000000" w:usb1="00000000" w:usb2="00000009" w:usb3="00000000" w:csb0="000001FF" w:csb1="00000000"/>
  </w:font>
  <w:font w:name="Frutiger 45 Light">
    <w:altName w:val="Arial"/>
    <w:charset w:val="01"/>
    <w:family w:val="auto"/>
    <w:pitch w:val="default"/>
    <w:sig w:usb0="00000000" w:usb1="00000000" w:usb2="00000000" w:usb3="00000000" w:csb0="00000193"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DDDA" w14:textId="77777777" w:rsidR="00BF076B" w:rsidRDefault="00BF076B">
    <w:pPr>
      <w:pStyle w:val="ab"/>
      <w:framePr w:wrap="around" w:vAnchor="text" w:hAnchor="margin" w:xAlign="center" w:y="1"/>
      <w:rPr>
        <w:rStyle w:val="af7"/>
      </w:rPr>
    </w:pPr>
  </w:p>
  <w:p w14:paraId="4497A07A" w14:textId="77777777" w:rsidR="00BF076B" w:rsidRDefault="00000000">
    <w:pPr>
      <w:pStyle w:val="ab"/>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Pr>
        <w:sz w:val="28"/>
      </w:rPr>
      <w:t>2</w:t>
    </w:r>
    <w:r>
      <w:rPr>
        <w:sz w:val="28"/>
      </w:rPr>
      <w:fldChar w:fldCharType="end"/>
    </w:r>
    <w:r>
      <w:rPr>
        <w:rFonts w:ascii="仿宋_GB2312" w:eastAsia="仿宋_GB2312" w:hint="eastAsia"/>
        <w:bCs/>
        <w:sz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D796B" w14:textId="77777777" w:rsidR="00BF076B" w:rsidRDefault="00BF076B">
    <w:pPr>
      <w:pStyle w:val="ab"/>
      <w:framePr w:wrap="around" w:vAnchor="text" w:hAnchor="margin" w:xAlign="center" w:y="1"/>
      <w:jc w:val="center"/>
      <w:rPr>
        <w:rStyle w:val="af7"/>
      </w:rPr>
    </w:pPr>
  </w:p>
  <w:p w14:paraId="2E47CE7F" w14:textId="77777777" w:rsidR="00BF076B" w:rsidRDefault="00000000">
    <w:pPr>
      <w:pStyle w:val="ab"/>
      <w:jc w:val="right"/>
    </w:pPr>
    <w:r>
      <w:rPr>
        <w:rFonts w:ascii="仿宋_GB2312" w:eastAsia="仿宋_GB2312" w:hint="eastAsia"/>
        <w:bCs/>
        <w:sz w:val="28"/>
      </w:rPr>
      <w:t>－</w:t>
    </w:r>
    <w:r>
      <w:rPr>
        <w:rFonts w:ascii="仿宋_GB2312" w:eastAsia="仿宋_GB2312" w:hint="eastAsia"/>
        <w:sz w:val="28"/>
      </w:rPr>
      <w:fldChar w:fldCharType="begin"/>
    </w:r>
    <w:r>
      <w:rPr>
        <w:rFonts w:ascii="仿宋_GB2312" w:eastAsia="仿宋_GB2312" w:hint="eastAsia"/>
        <w:sz w:val="28"/>
      </w:rPr>
      <w:instrText xml:space="preserve"> PAGE </w:instrText>
    </w:r>
    <w:r>
      <w:rPr>
        <w:rFonts w:ascii="仿宋_GB2312" w:eastAsia="仿宋_GB2312" w:hint="eastAsia"/>
        <w:sz w:val="28"/>
      </w:rPr>
      <w:fldChar w:fldCharType="separate"/>
    </w:r>
    <w:r>
      <w:rPr>
        <w:rFonts w:ascii="仿宋_GB2312" w:eastAsia="仿宋_GB2312"/>
        <w:sz w:val="28"/>
      </w:rPr>
      <w:t>1</w:t>
    </w:r>
    <w:r>
      <w:rPr>
        <w:rFonts w:ascii="仿宋_GB2312" w:eastAsia="仿宋_GB2312" w:hint="eastAsia"/>
        <w:sz w:val="28"/>
      </w:rPr>
      <w:fldChar w:fldCharType="end"/>
    </w:r>
    <w:r>
      <w:rPr>
        <w:rFonts w:ascii="仿宋_GB2312" w:eastAsia="仿宋_GB2312" w:hint="eastAsia"/>
        <w:bCs/>
        <w:sz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209E5" w14:textId="77777777" w:rsidR="00A363B8" w:rsidRDefault="00A363B8">
      <w:r>
        <w:separator/>
      </w:r>
    </w:p>
  </w:footnote>
  <w:footnote w:type="continuationSeparator" w:id="0">
    <w:p w14:paraId="1FCC088E" w14:textId="77777777" w:rsidR="00A363B8" w:rsidRDefault="00A36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pStyle w:val="Style1"/>
      <w:lvlText w:val="%1."/>
      <w:lvlJc w:val="left"/>
      <w:pPr>
        <w:tabs>
          <w:tab w:val="left" w:pos="567"/>
        </w:tabs>
        <w:ind w:left="567" w:hanging="567"/>
      </w:pPr>
      <w:rPr>
        <w:rFonts w:ascii="Times New Roman" w:hAnsi="Times New Roman" w:cs="Times New Roman"/>
        <w:color w:val="000000"/>
        <w:sz w:val="24"/>
        <w:szCs w:val="24"/>
      </w:rPr>
    </w:lvl>
    <w:lvl w:ilvl="1">
      <w:start w:val="1"/>
      <w:numFmt w:val="decimal"/>
      <w:lvlText w:val="%1.%2."/>
      <w:lvlJc w:val="left"/>
      <w:pPr>
        <w:tabs>
          <w:tab w:val="left" w:pos="851"/>
        </w:tabs>
        <w:ind w:left="851" w:hanging="851"/>
      </w:pPr>
      <w:rPr>
        <w:rFonts w:ascii="Times New Roman" w:hAnsi="Times New Roman" w:cs="Times New Roman"/>
        <w:color w:val="000000"/>
        <w:sz w:val="24"/>
        <w:szCs w:val="24"/>
      </w:rPr>
    </w:lvl>
    <w:lvl w:ilvl="2">
      <w:start w:val="1"/>
      <w:numFmt w:val="decimal"/>
      <w:lvlText w:val="%1.%2.%3."/>
      <w:lvlJc w:val="left"/>
      <w:pPr>
        <w:tabs>
          <w:tab w:val="left" w:pos="1134"/>
        </w:tabs>
        <w:ind w:left="1134" w:hanging="1134"/>
      </w:pPr>
      <w:rPr>
        <w:rFonts w:ascii="Times New Roman" w:hAnsi="Times New Roman" w:cs="Times New Roman"/>
        <w:color w:val="000000"/>
        <w:sz w:val="24"/>
        <w:szCs w:val="24"/>
      </w:rPr>
    </w:lvl>
    <w:lvl w:ilvl="3">
      <w:start w:val="1"/>
      <w:numFmt w:val="decimal"/>
      <w:lvlText w:val="%1.%2.%3.%4."/>
      <w:lvlJc w:val="left"/>
      <w:pPr>
        <w:tabs>
          <w:tab w:val="left" w:pos="1418"/>
        </w:tabs>
        <w:ind w:left="1418" w:hanging="1418"/>
      </w:pPr>
      <w:rPr>
        <w:rFonts w:ascii="Times New Roman" w:hAnsi="Times New Roman" w:cs="Times New Roman"/>
        <w:color w:val="000000"/>
        <w:sz w:val="24"/>
        <w:szCs w:val="24"/>
      </w:rPr>
    </w:lvl>
    <w:lvl w:ilvl="4">
      <w:start w:val="1"/>
      <w:numFmt w:val="decimal"/>
      <w:lvlText w:val="%1.%2.%3.%4.%5."/>
      <w:lvlJc w:val="left"/>
      <w:pPr>
        <w:tabs>
          <w:tab w:val="left" w:pos="1701"/>
        </w:tabs>
        <w:ind w:left="1701" w:hanging="1701"/>
      </w:pPr>
      <w:rPr>
        <w:rFonts w:ascii="Times New Roman" w:hAnsi="Times New Roman" w:cs="Times New Roman"/>
        <w:color w:val="000000"/>
        <w:sz w:val="24"/>
        <w:szCs w:val="24"/>
      </w:rPr>
    </w:lvl>
    <w:lvl w:ilvl="5">
      <w:start w:val="1"/>
      <w:numFmt w:val="decimal"/>
      <w:lvlText w:val="%1.%2.%3.%4.%5.%6."/>
      <w:lvlJc w:val="left"/>
      <w:pPr>
        <w:tabs>
          <w:tab w:val="left" w:pos="1985"/>
        </w:tabs>
        <w:ind w:left="1985" w:hanging="1985"/>
      </w:pPr>
      <w:rPr>
        <w:rFonts w:ascii="Times New Roman" w:hAnsi="Times New Roman" w:cs="Times New Roman"/>
        <w:color w:val="000000"/>
        <w:sz w:val="24"/>
        <w:szCs w:val="24"/>
      </w:rPr>
    </w:lvl>
    <w:lvl w:ilvl="6">
      <w:start w:val="1"/>
      <w:numFmt w:val="decimal"/>
      <w:lvlText w:val="%1.%2.%3.%4.%5.%6.%7."/>
      <w:lvlJc w:val="left"/>
      <w:pPr>
        <w:tabs>
          <w:tab w:val="left" w:pos="2268"/>
        </w:tabs>
        <w:ind w:left="2268" w:hanging="2268"/>
      </w:pPr>
      <w:rPr>
        <w:rFonts w:ascii="Times New Roman" w:hAnsi="Times New Roman" w:cs="Times New Roman"/>
        <w:color w:val="000000"/>
        <w:sz w:val="24"/>
        <w:szCs w:val="24"/>
      </w:rPr>
    </w:lvl>
    <w:lvl w:ilvl="7">
      <w:start w:val="1"/>
      <w:numFmt w:val="decimal"/>
      <w:lvlText w:val="%1.%2.%3.%4.%5.%6.%7.%8."/>
      <w:lvlJc w:val="left"/>
      <w:pPr>
        <w:tabs>
          <w:tab w:val="left" w:pos="2552"/>
        </w:tabs>
        <w:ind w:left="2552" w:hanging="2552"/>
      </w:pPr>
      <w:rPr>
        <w:rFonts w:ascii="Times New Roman" w:hAnsi="Times New Roman" w:cs="Times New Roman"/>
        <w:color w:val="000000"/>
        <w:sz w:val="24"/>
        <w:szCs w:val="24"/>
      </w:rPr>
    </w:lvl>
    <w:lvl w:ilvl="8">
      <w:start w:val="1"/>
      <w:numFmt w:val="decimal"/>
      <w:lvlText w:val="%1.%2.%3.%4.%5.%6.%7.%8.%9."/>
      <w:lvlJc w:val="left"/>
      <w:pPr>
        <w:tabs>
          <w:tab w:val="left" w:pos="2835"/>
        </w:tabs>
        <w:ind w:left="2835" w:hanging="2835"/>
      </w:pPr>
      <w:rPr>
        <w:rFonts w:ascii="Univers" w:hAnsi="Univers" w:cs="Times New Roman" w:hint="default"/>
        <w:sz w:val="24"/>
      </w:rPr>
    </w:lvl>
  </w:abstractNum>
  <w:abstractNum w:abstractNumId="1" w15:restartNumberingAfterBreak="0">
    <w:nsid w:val="5EA656DE"/>
    <w:multiLevelType w:val="multilevel"/>
    <w:tmpl w:val="5EA656DE"/>
    <w:lvl w:ilvl="0">
      <w:start w:val="1"/>
      <w:numFmt w:val="japaneseCounting"/>
      <w:pStyle w:val="1"/>
      <w:lvlText w:val="第%1条"/>
      <w:lvlJc w:val="left"/>
      <w:pPr>
        <w:ind w:left="3045" w:hanging="420"/>
      </w:pPr>
      <w:rPr>
        <w:rFonts w:ascii="仿宋_GB2312" w:eastAsia="仿宋_GB2312" w:cs="Times New Roman" w:hint="eastAsia"/>
        <w:b/>
        <w:sz w:val="30"/>
        <w:szCs w:val="30"/>
      </w:rPr>
    </w:lvl>
    <w:lvl w:ilvl="1">
      <w:start w:val="1"/>
      <w:numFmt w:val="chineseCountingThousand"/>
      <w:lvlText w:val="第%2条"/>
      <w:lvlJc w:val="left"/>
      <w:pPr>
        <w:tabs>
          <w:tab w:val="left" w:pos="3856"/>
        </w:tabs>
        <w:ind w:left="1928" w:firstLine="567"/>
      </w:pPr>
      <w:rPr>
        <w:rFonts w:ascii="仿宋_GB2312" w:eastAsia="仿宋_GB2312" w:cs="Times New Roman" w:hint="eastAsia"/>
        <w:b w:val="0"/>
        <w:i w:val="0"/>
        <w:strike w:val="0"/>
        <w:dstrike w:val="0"/>
        <w:spacing w:val="0"/>
        <w:w w:val="100"/>
        <w:kern w:val="0"/>
        <w:position w:val="0"/>
        <w:sz w:val="32"/>
        <w:szCs w:val="32"/>
        <w:u w:val="none"/>
      </w:rPr>
    </w:lvl>
    <w:lvl w:ilvl="2">
      <w:start w:val="1"/>
      <w:numFmt w:val="decimal"/>
      <w:lvlText w:val="%3."/>
      <w:lvlJc w:val="left"/>
      <w:pPr>
        <w:tabs>
          <w:tab w:val="left" w:pos="3595"/>
        </w:tabs>
        <w:ind w:left="3595" w:hanging="360"/>
      </w:pPr>
      <w:rPr>
        <w:rFonts w:cs="Times New Roman"/>
      </w:rPr>
    </w:lvl>
    <w:lvl w:ilvl="3">
      <w:start w:val="1"/>
      <w:numFmt w:val="decimal"/>
      <w:lvlText w:val="%4."/>
      <w:lvlJc w:val="left"/>
      <w:pPr>
        <w:tabs>
          <w:tab w:val="left" w:pos="4315"/>
        </w:tabs>
        <w:ind w:left="4315" w:hanging="360"/>
      </w:pPr>
      <w:rPr>
        <w:rFonts w:cs="Times New Roman"/>
      </w:rPr>
    </w:lvl>
    <w:lvl w:ilvl="4">
      <w:start w:val="1"/>
      <w:numFmt w:val="decimal"/>
      <w:lvlText w:val="%5."/>
      <w:lvlJc w:val="left"/>
      <w:pPr>
        <w:tabs>
          <w:tab w:val="left" w:pos="5035"/>
        </w:tabs>
        <w:ind w:left="5035" w:hanging="360"/>
      </w:pPr>
      <w:rPr>
        <w:rFonts w:cs="Times New Roman"/>
      </w:rPr>
    </w:lvl>
    <w:lvl w:ilvl="5">
      <w:start w:val="1"/>
      <w:numFmt w:val="decimal"/>
      <w:lvlText w:val="%6."/>
      <w:lvlJc w:val="left"/>
      <w:pPr>
        <w:tabs>
          <w:tab w:val="left" w:pos="5755"/>
        </w:tabs>
        <w:ind w:left="5755" w:hanging="360"/>
      </w:pPr>
      <w:rPr>
        <w:rFonts w:cs="Times New Roman"/>
      </w:rPr>
    </w:lvl>
    <w:lvl w:ilvl="6">
      <w:start w:val="1"/>
      <w:numFmt w:val="decimal"/>
      <w:lvlText w:val="%7."/>
      <w:lvlJc w:val="left"/>
      <w:pPr>
        <w:tabs>
          <w:tab w:val="left" w:pos="6475"/>
        </w:tabs>
        <w:ind w:left="6475" w:hanging="360"/>
      </w:pPr>
      <w:rPr>
        <w:rFonts w:cs="Times New Roman"/>
      </w:rPr>
    </w:lvl>
    <w:lvl w:ilvl="7">
      <w:start w:val="1"/>
      <w:numFmt w:val="decimal"/>
      <w:lvlText w:val="%8."/>
      <w:lvlJc w:val="left"/>
      <w:pPr>
        <w:tabs>
          <w:tab w:val="left" w:pos="7195"/>
        </w:tabs>
        <w:ind w:left="7195" w:hanging="360"/>
      </w:pPr>
      <w:rPr>
        <w:rFonts w:cs="Times New Roman"/>
      </w:rPr>
    </w:lvl>
    <w:lvl w:ilvl="8">
      <w:start w:val="1"/>
      <w:numFmt w:val="decimal"/>
      <w:lvlText w:val="%9."/>
      <w:lvlJc w:val="left"/>
      <w:pPr>
        <w:tabs>
          <w:tab w:val="left" w:pos="7915"/>
        </w:tabs>
        <w:ind w:left="7915" w:hanging="360"/>
      </w:pPr>
      <w:rPr>
        <w:rFonts w:cs="Times New Roman"/>
      </w:rPr>
    </w:lvl>
  </w:abstractNum>
  <w:num w:numId="1" w16cid:durableId="1927809369">
    <w:abstractNumId w:val="1"/>
  </w:num>
  <w:num w:numId="2" w16cid:durableId="229273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32EF"/>
    <w:rsid w:val="00001B4B"/>
    <w:rsid w:val="00001C7D"/>
    <w:rsid w:val="00004247"/>
    <w:rsid w:val="00007153"/>
    <w:rsid w:val="000123C7"/>
    <w:rsid w:val="00015CF8"/>
    <w:rsid w:val="00023C6B"/>
    <w:rsid w:val="00023D06"/>
    <w:rsid w:val="00024D17"/>
    <w:rsid w:val="00025A12"/>
    <w:rsid w:val="00025D14"/>
    <w:rsid w:val="00030A3E"/>
    <w:rsid w:val="0003177D"/>
    <w:rsid w:val="00032A04"/>
    <w:rsid w:val="00034D02"/>
    <w:rsid w:val="000373C8"/>
    <w:rsid w:val="00040EBC"/>
    <w:rsid w:val="00041A60"/>
    <w:rsid w:val="00042926"/>
    <w:rsid w:val="000432C6"/>
    <w:rsid w:val="00044E84"/>
    <w:rsid w:val="00045264"/>
    <w:rsid w:val="00045B5A"/>
    <w:rsid w:val="00052CA3"/>
    <w:rsid w:val="00055B23"/>
    <w:rsid w:val="00055D8A"/>
    <w:rsid w:val="00056418"/>
    <w:rsid w:val="000575D2"/>
    <w:rsid w:val="00057D6A"/>
    <w:rsid w:val="0006008F"/>
    <w:rsid w:val="00060722"/>
    <w:rsid w:val="00065144"/>
    <w:rsid w:val="00065822"/>
    <w:rsid w:val="00066E70"/>
    <w:rsid w:val="00067FF1"/>
    <w:rsid w:val="000715CD"/>
    <w:rsid w:val="00072088"/>
    <w:rsid w:val="000746C2"/>
    <w:rsid w:val="000747FA"/>
    <w:rsid w:val="00075702"/>
    <w:rsid w:val="0007649E"/>
    <w:rsid w:val="00076F96"/>
    <w:rsid w:val="000803F2"/>
    <w:rsid w:val="00081D93"/>
    <w:rsid w:val="000825BD"/>
    <w:rsid w:val="000829BB"/>
    <w:rsid w:val="00084847"/>
    <w:rsid w:val="00084D10"/>
    <w:rsid w:val="0008558C"/>
    <w:rsid w:val="0008603B"/>
    <w:rsid w:val="00092467"/>
    <w:rsid w:val="000926AA"/>
    <w:rsid w:val="000932C8"/>
    <w:rsid w:val="00094F31"/>
    <w:rsid w:val="000A2AE9"/>
    <w:rsid w:val="000A36F5"/>
    <w:rsid w:val="000A3859"/>
    <w:rsid w:val="000A4874"/>
    <w:rsid w:val="000A4E05"/>
    <w:rsid w:val="000A5BC9"/>
    <w:rsid w:val="000A5CA0"/>
    <w:rsid w:val="000A78EC"/>
    <w:rsid w:val="000B0E02"/>
    <w:rsid w:val="000B135F"/>
    <w:rsid w:val="000B19DE"/>
    <w:rsid w:val="000B1C87"/>
    <w:rsid w:val="000B1CA3"/>
    <w:rsid w:val="000B2003"/>
    <w:rsid w:val="000B233F"/>
    <w:rsid w:val="000B5A57"/>
    <w:rsid w:val="000B5A96"/>
    <w:rsid w:val="000C42EF"/>
    <w:rsid w:val="000D3E58"/>
    <w:rsid w:val="000D5E80"/>
    <w:rsid w:val="000D6713"/>
    <w:rsid w:val="000D6920"/>
    <w:rsid w:val="000E0C54"/>
    <w:rsid w:val="000E0F35"/>
    <w:rsid w:val="000E1D7A"/>
    <w:rsid w:val="000E28C6"/>
    <w:rsid w:val="000E3BF1"/>
    <w:rsid w:val="000E6DB0"/>
    <w:rsid w:val="000E75BE"/>
    <w:rsid w:val="000E7A26"/>
    <w:rsid w:val="000E7A4C"/>
    <w:rsid w:val="000F1729"/>
    <w:rsid w:val="000F234A"/>
    <w:rsid w:val="000F3A20"/>
    <w:rsid w:val="000F3DDE"/>
    <w:rsid w:val="000F52A2"/>
    <w:rsid w:val="000F7690"/>
    <w:rsid w:val="00103077"/>
    <w:rsid w:val="00104481"/>
    <w:rsid w:val="0010553A"/>
    <w:rsid w:val="00106537"/>
    <w:rsid w:val="00106E5E"/>
    <w:rsid w:val="00112324"/>
    <w:rsid w:val="0011790D"/>
    <w:rsid w:val="00120EA1"/>
    <w:rsid w:val="00121D8C"/>
    <w:rsid w:val="00126898"/>
    <w:rsid w:val="00127BB8"/>
    <w:rsid w:val="001303BE"/>
    <w:rsid w:val="001312B9"/>
    <w:rsid w:val="001313FC"/>
    <w:rsid w:val="001320F9"/>
    <w:rsid w:val="00132475"/>
    <w:rsid w:val="0013265E"/>
    <w:rsid w:val="001328BC"/>
    <w:rsid w:val="00132F87"/>
    <w:rsid w:val="00135048"/>
    <w:rsid w:val="00135676"/>
    <w:rsid w:val="001361D6"/>
    <w:rsid w:val="00136D79"/>
    <w:rsid w:val="00136E1D"/>
    <w:rsid w:val="00141A5B"/>
    <w:rsid w:val="00142121"/>
    <w:rsid w:val="001424AA"/>
    <w:rsid w:val="00143741"/>
    <w:rsid w:val="00144741"/>
    <w:rsid w:val="00145463"/>
    <w:rsid w:val="00145E5C"/>
    <w:rsid w:val="00146E00"/>
    <w:rsid w:val="00152423"/>
    <w:rsid w:val="00156E9B"/>
    <w:rsid w:val="001607D9"/>
    <w:rsid w:val="00160C0B"/>
    <w:rsid w:val="0016249D"/>
    <w:rsid w:val="001628DD"/>
    <w:rsid w:val="00162B2D"/>
    <w:rsid w:val="001636A4"/>
    <w:rsid w:val="00163F0D"/>
    <w:rsid w:val="001641B5"/>
    <w:rsid w:val="00165363"/>
    <w:rsid w:val="001675AF"/>
    <w:rsid w:val="0017731B"/>
    <w:rsid w:val="00177844"/>
    <w:rsid w:val="00185194"/>
    <w:rsid w:val="00186386"/>
    <w:rsid w:val="00191A1F"/>
    <w:rsid w:val="0019316F"/>
    <w:rsid w:val="001950D6"/>
    <w:rsid w:val="00195F7F"/>
    <w:rsid w:val="00197495"/>
    <w:rsid w:val="00197504"/>
    <w:rsid w:val="001A27B8"/>
    <w:rsid w:val="001A306E"/>
    <w:rsid w:val="001A4038"/>
    <w:rsid w:val="001A5E3D"/>
    <w:rsid w:val="001B0CC8"/>
    <w:rsid w:val="001B0E13"/>
    <w:rsid w:val="001B2E0F"/>
    <w:rsid w:val="001B412F"/>
    <w:rsid w:val="001B76C0"/>
    <w:rsid w:val="001C0319"/>
    <w:rsid w:val="001C078A"/>
    <w:rsid w:val="001C1D39"/>
    <w:rsid w:val="001C248C"/>
    <w:rsid w:val="001C265D"/>
    <w:rsid w:val="001C3676"/>
    <w:rsid w:val="001C5A32"/>
    <w:rsid w:val="001C5E9A"/>
    <w:rsid w:val="001C7595"/>
    <w:rsid w:val="001D29C8"/>
    <w:rsid w:val="001D452F"/>
    <w:rsid w:val="001D5CF2"/>
    <w:rsid w:val="001D6097"/>
    <w:rsid w:val="001D6B24"/>
    <w:rsid w:val="001D71C5"/>
    <w:rsid w:val="001E1D78"/>
    <w:rsid w:val="001E1EB6"/>
    <w:rsid w:val="001E27F0"/>
    <w:rsid w:val="001E2BC7"/>
    <w:rsid w:val="001E2F7B"/>
    <w:rsid w:val="001E52DC"/>
    <w:rsid w:val="001E53A2"/>
    <w:rsid w:val="001E55F0"/>
    <w:rsid w:val="001E594A"/>
    <w:rsid w:val="001E7729"/>
    <w:rsid w:val="001F31C1"/>
    <w:rsid w:val="001F3DCC"/>
    <w:rsid w:val="001F658F"/>
    <w:rsid w:val="001F6A6E"/>
    <w:rsid w:val="001F74B4"/>
    <w:rsid w:val="00201124"/>
    <w:rsid w:val="00204177"/>
    <w:rsid w:val="002071BC"/>
    <w:rsid w:val="0021054A"/>
    <w:rsid w:val="002106B0"/>
    <w:rsid w:val="00210AB6"/>
    <w:rsid w:val="00211106"/>
    <w:rsid w:val="0021196D"/>
    <w:rsid w:val="00212492"/>
    <w:rsid w:val="002141CC"/>
    <w:rsid w:val="0021537B"/>
    <w:rsid w:val="00217D52"/>
    <w:rsid w:val="00220EFA"/>
    <w:rsid w:val="0022256E"/>
    <w:rsid w:val="0022274E"/>
    <w:rsid w:val="00222DC0"/>
    <w:rsid w:val="002243B6"/>
    <w:rsid w:val="00227A2C"/>
    <w:rsid w:val="00230603"/>
    <w:rsid w:val="00230694"/>
    <w:rsid w:val="00230E4E"/>
    <w:rsid w:val="00232702"/>
    <w:rsid w:val="00232F16"/>
    <w:rsid w:val="00233149"/>
    <w:rsid w:val="002344BE"/>
    <w:rsid w:val="002346C5"/>
    <w:rsid w:val="00234A4F"/>
    <w:rsid w:val="00234E30"/>
    <w:rsid w:val="00235263"/>
    <w:rsid w:val="00240656"/>
    <w:rsid w:val="00241C94"/>
    <w:rsid w:val="002436E6"/>
    <w:rsid w:val="00243E11"/>
    <w:rsid w:val="002441E9"/>
    <w:rsid w:val="00244718"/>
    <w:rsid w:val="00245FED"/>
    <w:rsid w:val="00247A8F"/>
    <w:rsid w:val="002549B0"/>
    <w:rsid w:val="00256A60"/>
    <w:rsid w:val="00260879"/>
    <w:rsid w:val="00260FCD"/>
    <w:rsid w:val="002616D1"/>
    <w:rsid w:val="002618E8"/>
    <w:rsid w:val="00261C52"/>
    <w:rsid w:val="0026217A"/>
    <w:rsid w:val="002635C2"/>
    <w:rsid w:val="00263787"/>
    <w:rsid w:val="002649A0"/>
    <w:rsid w:val="00266DD8"/>
    <w:rsid w:val="002679E4"/>
    <w:rsid w:val="00267B6F"/>
    <w:rsid w:val="00267D17"/>
    <w:rsid w:val="0027033D"/>
    <w:rsid w:val="00270D15"/>
    <w:rsid w:val="00271CB6"/>
    <w:rsid w:val="00271DEA"/>
    <w:rsid w:val="00272B98"/>
    <w:rsid w:val="00275429"/>
    <w:rsid w:val="0027565F"/>
    <w:rsid w:val="00275CBD"/>
    <w:rsid w:val="00275FED"/>
    <w:rsid w:val="00277FFE"/>
    <w:rsid w:val="00280575"/>
    <w:rsid w:val="00281615"/>
    <w:rsid w:val="002839B7"/>
    <w:rsid w:val="0028470E"/>
    <w:rsid w:val="002850BA"/>
    <w:rsid w:val="00291DB3"/>
    <w:rsid w:val="002939FC"/>
    <w:rsid w:val="002948E6"/>
    <w:rsid w:val="00294A2C"/>
    <w:rsid w:val="00296697"/>
    <w:rsid w:val="002A028B"/>
    <w:rsid w:val="002A0319"/>
    <w:rsid w:val="002A0A0B"/>
    <w:rsid w:val="002A0CDC"/>
    <w:rsid w:val="002A0FC5"/>
    <w:rsid w:val="002A239C"/>
    <w:rsid w:val="002A3524"/>
    <w:rsid w:val="002A38C3"/>
    <w:rsid w:val="002A5B12"/>
    <w:rsid w:val="002A7D56"/>
    <w:rsid w:val="002B0D2D"/>
    <w:rsid w:val="002B1931"/>
    <w:rsid w:val="002B34E9"/>
    <w:rsid w:val="002B3909"/>
    <w:rsid w:val="002B4389"/>
    <w:rsid w:val="002B7FB9"/>
    <w:rsid w:val="002C44E0"/>
    <w:rsid w:val="002C5145"/>
    <w:rsid w:val="002C7AC9"/>
    <w:rsid w:val="002C7EF9"/>
    <w:rsid w:val="002D03C3"/>
    <w:rsid w:val="002D115E"/>
    <w:rsid w:val="002D247D"/>
    <w:rsid w:val="002D5D60"/>
    <w:rsid w:val="002D7AA5"/>
    <w:rsid w:val="002E07CD"/>
    <w:rsid w:val="002E2810"/>
    <w:rsid w:val="002E2C77"/>
    <w:rsid w:val="002E3435"/>
    <w:rsid w:val="002E3469"/>
    <w:rsid w:val="002E42D0"/>
    <w:rsid w:val="002E4C05"/>
    <w:rsid w:val="002E4D4C"/>
    <w:rsid w:val="002E7143"/>
    <w:rsid w:val="002E7913"/>
    <w:rsid w:val="002E7C38"/>
    <w:rsid w:val="002F0D79"/>
    <w:rsid w:val="002F19CD"/>
    <w:rsid w:val="002F3D59"/>
    <w:rsid w:val="002F6B5E"/>
    <w:rsid w:val="00301B8F"/>
    <w:rsid w:val="0030332C"/>
    <w:rsid w:val="00304446"/>
    <w:rsid w:val="00304524"/>
    <w:rsid w:val="00304AB8"/>
    <w:rsid w:val="00306F9F"/>
    <w:rsid w:val="003103D2"/>
    <w:rsid w:val="00310AA0"/>
    <w:rsid w:val="003128D1"/>
    <w:rsid w:val="0031389B"/>
    <w:rsid w:val="00314881"/>
    <w:rsid w:val="00315A37"/>
    <w:rsid w:val="003203A2"/>
    <w:rsid w:val="00320E81"/>
    <w:rsid w:val="00323793"/>
    <w:rsid w:val="0032399D"/>
    <w:rsid w:val="00326C6B"/>
    <w:rsid w:val="00327E4E"/>
    <w:rsid w:val="003317AD"/>
    <w:rsid w:val="00332379"/>
    <w:rsid w:val="00333B5A"/>
    <w:rsid w:val="003369A0"/>
    <w:rsid w:val="0034251F"/>
    <w:rsid w:val="00343987"/>
    <w:rsid w:val="003459FC"/>
    <w:rsid w:val="00350A49"/>
    <w:rsid w:val="0035170E"/>
    <w:rsid w:val="0035204B"/>
    <w:rsid w:val="00352DDF"/>
    <w:rsid w:val="00353B18"/>
    <w:rsid w:val="00353F36"/>
    <w:rsid w:val="003544A4"/>
    <w:rsid w:val="00355B57"/>
    <w:rsid w:val="003560DB"/>
    <w:rsid w:val="003561F6"/>
    <w:rsid w:val="00363433"/>
    <w:rsid w:val="00363B34"/>
    <w:rsid w:val="003642F6"/>
    <w:rsid w:val="00365389"/>
    <w:rsid w:val="003671CC"/>
    <w:rsid w:val="003674EB"/>
    <w:rsid w:val="00370147"/>
    <w:rsid w:val="00370A37"/>
    <w:rsid w:val="00370F08"/>
    <w:rsid w:val="00371056"/>
    <w:rsid w:val="003712BD"/>
    <w:rsid w:val="003714B3"/>
    <w:rsid w:val="003721BA"/>
    <w:rsid w:val="0037348E"/>
    <w:rsid w:val="00373B90"/>
    <w:rsid w:val="00375CB8"/>
    <w:rsid w:val="003825B7"/>
    <w:rsid w:val="003844D8"/>
    <w:rsid w:val="0038457C"/>
    <w:rsid w:val="00386372"/>
    <w:rsid w:val="00386A61"/>
    <w:rsid w:val="0038722F"/>
    <w:rsid w:val="00387B66"/>
    <w:rsid w:val="0039017A"/>
    <w:rsid w:val="003935C7"/>
    <w:rsid w:val="00393AC8"/>
    <w:rsid w:val="00397420"/>
    <w:rsid w:val="003979FD"/>
    <w:rsid w:val="003A2017"/>
    <w:rsid w:val="003A4275"/>
    <w:rsid w:val="003A46E9"/>
    <w:rsid w:val="003A4957"/>
    <w:rsid w:val="003A5630"/>
    <w:rsid w:val="003A5A71"/>
    <w:rsid w:val="003A646D"/>
    <w:rsid w:val="003B1962"/>
    <w:rsid w:val="003B1B87"/>
    <w:rsid w:val="003B1ED9"/>
    <w:rsid w:val="003B2F8E"/>
    <w:rsid w:val="003B45A3"/>
    <w:rsid w:val="003B6094"/>
    <w:rsid w:val="003B65E2"/>
    <w:rsid w:val="003B7D3A"/>
    <w:rsid w:val="003C22FE"/>
    <w:rsid w:val="003C23AD"/>
    <w:rsid w:val="003C293C"/>
    <w:rsid w:val="003C37A4"/>
    <w:rsid w:val="003C37A5"/>
    <w:rsid w:val="003C5E90"/>
    <w:rsid w:val="003C7171"/>
    <w:rsid w:val="003D24C9"/>
    <w:rsid w:val="003D3027"/>
    <w:rsid w:val="003D4890"/>
    <w:rsid w:val="003D5445"/>
    <w:rsid w:val="003D73C7"/>
    <w:rsid w:val="003D7920"/>
    <w:rsid w:val="003E06D1"/>
    <w:rsid w:val="003E100F"/>
    <w:rsid w:val="003E1D04"/>
    <w:rsid w:val="003E75F6"/>
    <w:rsid w:val="003E785F"/>
    <w:rsid w:val="003F318F"/>
    <w:rsid w:val="003F6CCE"/>
    <w:rsid w:val="003F78E1"/>
    <w:rsid w:val="0040193F"/>
    <w:rsid w:val="00401D7B"/>
    <w:rsid w:val="00401ED0"/>
    <w:rsid w:val="004050CB"/>
    <w:rsid w:val="0040559C"/>
    <w:rsid w:val="00412C9B"/>
    <w:rsid w:val="0041372A"/>
    <w:rsid w:val="00413BDA"/>
    <w:rsid w:val="00414DA6"/>
    <w:rsid w:val="004156A9"/>
    <w:rsid w:val="00415ABF"/>
    <w:rsid w:val="004161E0"/>
    <w:rsid w:val="0041714A"/>
    <w:rsid w:val="004221B0"/>
    <w:rsid w:val="004223D9"/>
    <w:rsid w:val="004235D3"/>
    <w:rsid w:val="0042579A"/>
    <w:rsid w:val="00425B16"/>
    <w:rsid w:val="0042799E"/>
    <w:rsid w:val="004318A5"/>
    <w:rsid w:val="00433633"/>
    <w:rsid w:val="00433D0E"/>
    <w:rsid w:val="004342BF"/>
    <w:rsid w:val="004347DB"/>
    <w:rsid w:val="0043610F"/>
    <w:rsid w:val="00436F3C"/>
    <w:rsid w:val="00440411"/>
    <w:rsid w:val="0044519B"/>
    <w:rsid w:val="004473CB"/>
    <w:rsid w:val="004503F5"/>
    <w:rsid w:val="00450748"/>
    <w:rsid w:val="004512D0"/>
    <w:rsid w:val="00451DE9"/>
    <w:rsid w:val="0045439F"/>
    <w:rsid w:val="00454698"/>
    <w:rsid w:val="00455485"/>
    <w:rsid w:val="00456542"/>
    <w:rsid w:val="00456CC6"/>
    <w:rsid w:val="00460CC9"/>
    <w:rsid w:val="00461CCC"/>
    <w:rsid w:val="00462577"/>
    <w:rsid w:val="00462F6A"/>
    <w:rsid w:val="00464517"/>
    <w:rsid w:val="004648F6"/>
    <w:rsid w:val="00464A0E"/>
    <w:rsid w:val="0046578C"/>
    <w:rsid w:val="00467671"/>
    <w:rsid w:val="00470C37"/>
    <w:rsid w:val="004729E7"/>
    <w:rsid w:val="004738B1"/>
    <w:rsid w:val="0047596A"/>
    <w:rsid w:val="00476F51"/>
    <w:rsid w:val="00480A92"/>
    <w:rsid w:val="00482808"/>
    <w:rsid w:val="0048367A"/>
    <w:rsid w:val="00483F26"/>
    <w:rsid w:val="00486163"/>
    <w:rsid w:val="004907A6"/>
    <w:rsid w:val="00490DD3"/>
    <w:rsid w:val="004964F8"/>
    <w:rsid w:val="00497FE2"/>
    <w:rsid w:val="004A178E"/>
    <w:rsid w:val="004A24E8"/>
    <w:rsid w:val="004A3057"/>
    <w:rsid w:val="004A4E70"/>
    <w:rsid w:val="004A7413"/>
    <w:rsid w:val="004B02FE"/>
    <w:rsid w:val="004B093C"/>
    <w:rsid w:val="004B2CC4"/>
    <w:rsid w:val="004B7CA4"/>
    <w:rsid w:val="004C0FBE"/>
    <w:rsid w:val="004C19B8"/>
    <w:rsid w:val="004C2EB9"/>
    <w:rsid w:val="004C3061"/>
    <w:rsid w:val="004C30AE"/>
    <w:rsid w:val="004C36A0"/>
    <w:rsid w:val="004C3E81"/>
    <w:rsid w:val="004C5C9E"/>
    <w:rsid w:val="004C6332"/>
    <w:rsid w:val="004C75A5"/>
    <w:rsid w:val="004C7695"/>
    <w:rsid w:val="004C7A14"/>
    <w:rsid w:val="004D006C"/>
    <w:rsid w:val="004D192C"/>
    <w:rsid w:val="004D2769"/>
    <w:rsid w:val="004D3CA9"/>
    <w:rsid w:val="004D3D37"/>
    <w:rsid w:val="004D3EE9"/>
    <w:rsid w:val="004D47EE"/>
    <w:rsid w:val="004D56FB"/>
    <w:rsid w:val="004D5968"/>
    <w:rsid w:val="004E3143"/>
    <w:rsid w:val="004E46A0"/>
    <w:rsid w:val="004E60FA"/>
    <w:rsid w:val="004E70D1"/>
    <w:rsid w:val="004E7CE1"/>
    <w:rsid w:val="004F0560"/>
    <w:rsid w:val="004F0E96"/>
    <w:rsid w:val="004F282C"/>
    <w:rsid w:val="004F34F0"/>
    <w:rsid w:val="004F727D"/>
    <w:rsid w:val="005012B2"/>
    <w:rsid w:val="00501E8E"/>
    <w:rsid w:val="00502434"/>
    <w:rsid w:val="00502B77"/>
    <w:rsid w:val="0050608F"/>
    <w:rsid w:val="00506CFA"/>
    <w:rsid w:val="00511DA3"/>
    <w:rsid w:val="00514115"/>
    <w:rsid w:val="00514AD2"/>
    <w:rsid w:val="00515589"/>
    <w:rsid w:val="0051598C"/>
    <w:rsid w:val="005166C5"/>
    <w:rsid w:val="00524254"/>
    <w:rsid w:val="00524516"/>
    <w:rsid w:val="0052596B"/>
    <w:rsid w:val="005267E3"/>
    <w:rsid w:val="005269DB"/>
    <w:rsid w:val="00526EC7"/>
    <w:rsid w:val="00530BB1"/>
    <w:rsid w:val="0053123E"/>
    <w:rsid w:val="0053175B"/>
    <w:rsid w:val="00531853"/>
    <w:rsid w:val="00532C03"/>
    <w:rsid w:val="0053321A"/>
    <w:rsid w:val="0053655F"/>
    <w:rsid w:val="00537B28"/>
    <w:rsid w:val="00540E15"/>
    <w:rsid w:val="00541330"/>
    <w:rsid w:val="00542AD1"/>
    <w:rsid w:val="00545E78"/>
    <w:rsid w:val="00546621"/>
    <w:rsid w:val="0055053A"/>
    <w:rsid w:val="00550946"/>
    <w:rsid w:val="00551C59"/>
    <w:rsid w:val="00556AC5"/>
    <w:rsid w:val="00556F5A"/>
    <w:rsid w:val="00557DDC"/>
    <w:rsid w:val="00557E04"/>
    <w:rsid w:val="00560769"/>
    <w:rsid w:val="00562A79"/>
    <w:rsid w:val="00564833"/>
    <w:rsid w:val="00564B8D"/>
    <w:rsid w:val="00565B5B"/>
    <w:rsid w:val="00565D30"/>
    <w:rsid w:val="0056710A"/>
    <w:rsid w:val="00567DFD"/>
    <w:rsid w:val="00570D07"/>
    <w:rsid w:val="00570FA8"/>
    <w:rsid w:val="0057155E"/>
    <w:rsid w:val="00573516"/>
    <w:rsid w:val="00574738"/>
    <w:rsid w:val="00575A29"/>
    <w:rsid w:val="005761D3"/>
    <w:rsid w:val="0057782A"/>
    <w:rsid w:val="00581F1C"/>
    <w:rsid w:val="005841B7"/>
    <w:rsid w:val="0058429F"/>
    <w:rsid w:val="00584DE5"/>
    <w:rsid w:val="005852F4"/>
    <w:rsid w:val="00586A5C"/>
    <w:rsid w:val="005871A7"/>
    <w:rsid w:val="005875C0"/>
    <w:rsid w:val="00591567"/>
    <w:rsid w:val="0059289B"/>
    <w:rsid w:val="005934D0"/>
    <w:rsid w:val="00594794"/>
    <w:rsid w:val="00597C58"/>
    <w:rsid w:val="005A0248"/>
    <w:rsid w:val="005A4F70"/>
    <w:rsid w:val="005A729C"/>
    <w:rsid w:val="005A7CD8"/>
    <w:rsid w:val="005B0A0A"/>
    <w:rsid w:val="005B1EF7"/>
    <w:rsid w:val="005B3346"/>
    <w:rsid w:val="005B4A0C"/>
    <w:rsid w:val="005B73E7"/>
    <w:rsid w:val="005B740A"/>
    <w:rsid w:val="005C0AA5"/>
    <w:rsid w:val="005C1D93"/>
    <w:rsid w:val="005C2403"/>
    <w:rsid w:val="005C453D"/>
    <w:rsid w:val="005C533A"/>
    <w:rsid w:val="005C7940"/>
    <w:rsid w:val="005D1E77"/>
    <w:rsid w:val="005D34F3"/>
    <w:rsid w:val="005D655A"/>
    <w:rsid w:val="005E4BD1"/>
    <w:rsid w:val="005E6B96"/>
    <w:rsid w:val="005E6D26"/>
    <w:rsid w:val="005F0B5C"/>
    <w:rsid w:val="005F1000"/>
    <w:rsid w:val="005F5CEB"/>
    <w:rsid w:val="006012ED"/>
    <w:rsid w:val="006032E7"/>
    <w:rsid w:val="00604249"/>
    <w:rsid w:val="006046F4"/>
    <w:rsid w:val="00604D58"/>
    <w:rsid w:val="00607409"/>
    <w:rsid w:val="00607B22"/>
    <w:rsid w:val="00612558"/>
    <w:rsid w:val="00613446"/>
    <w:rsid w:val="006160EB"/>
    <w:rsid w:val="006224DE"/>
    <w:rsid w:val="006226D3"/>
    <w:rsid w:val="00622999"/>
    <w:rsid w:val="00624E99"/>
    <w:rsid w:val="006252D0"/>
    <w:rsid w:val="00625B9F"/>
    <w:rsid w:val="0062772F"/>
    <w:rsid w:val="0062773F"/>
    <w:rsid w:val="00631857"/>
    <w:rsid w:val="006322C3"/>
    <w:rsid w:val="006322C8"/>
    <w:rsid w:val="00634068"/>
    <w:rsid w:val="006347CB"/>
    <w:rsid w:val="0063617D"/>
    <w:rsid w:val="00636194"/>
    <w:rsid w:val="00636241"/>
    <w:rsid w:val="0063648A"/>
    <w:rsid w:val="0063751D"/>
    <w:rsid w:val="00637B93"/>
    <w:rsid w:val="00640955"/>
    <w:rsid w:val="00640B25"/>
    <w:rsid w:val="006411B0"/>
    <w:rsid w:val="00642833"/>
    <w:rsid w:val="00642F6C"/>
    <w:rsid w:val="006430C3"/>
    <w:rsid w:val="006456C3"/>
    <w:rsid w:val="00647D43"/>
    <w:rsid w:val="00650F2C"/>
    <w:rsid w:val="00651302"/>
    <w:rsid w:val="00651BDA"/>
    <w:rsid w:val="006523DE"/>
    <w:rsid w:val="00652A6C"/>
    <w:rsid w:val="0065306F"/>
    <w:rsid w:val="00653332"/>
    <w:rsid w:val="00653F39"/>
    <w:rsid w:val="00656373"/>
    <w:rsid w:val="00656D53"/>
    <w:rsid w:val="00657D26"/>
    <w:rsid w:val="00657D50"/>
    <w:rsid w:val="00660EA6"/>
    <w:rsid w:val="00660ED0"/>
    <w:rsid w:val="00661A30"/>
    <w:rsid w:val="006626EC"/>
    <w:rsid w:val="006634DC"/>
    <w:rsid w:val="00663BF9"/>
    <w:rsid w:val="006643A1"/>
    <w:rsid w:val="00664A78"/>
    <w:rsid w:val="0066604E"/>
    <w:rsid w:val="006672AA"/>
    <w:rsid w:val="006733B8"/>
    <w:rsid w:val="00675DA4"/>
    <w:rsid w:val="0067618A"/>
    <w:rsid w:val="006769C6"/>
    <w:rsid w:val="006774D8"/>
    <w:rsid w:val="00677C37"/>
    <w:rsid w:val="00687AD3"/>
    <w:rsid w:val="00687B1F"/>
    <w:rsid w:val="006942A0"/>
    <w:rsid w:val="006950E9"/>
    <w:rsid w:val="00695BE1"/>
    <w:rsid w:val="006A0837"/>
    <w:rsid w:val="006A1C89"/>
    <w:rsid w:val="006A2EFC"/>
    <w:rsid w:val="006A5E0F"/>
    <w:rsid w:val="006B12E3"/>
    <w:rsid w:val="006B1CB8"/>
    <w:rsid w:val="006B212A"/>
    <w:rsid w:val="006B309B"/>
    <w:rsid w:val="006B3B78"/>
    <w:rsid w:val="006B3EFA"/>
    <w:rsid w:val="006B411E"/>
    <w:rsid w:val="006B42DD"/>
    <w:rsid w:val="006B6BB0"/>
    <w:rsid w:val="006B71BA"/>
    <w:rsid w:val="006B7AD2"/>
    <w:rsid w:val="006C271C"/>
    <w:rsid w:val="006C4D4D"/>
    <w:rsid w:val="006C4F79"/>
    <w:rsid w:val="006C7059"/>
    <w:rsid w:val="006D070F"/>
    <w:rsid w:val="006D431D"/>
    <w:rsid w:val="006D46CE"/>
    <w:rsid w:val="006D5D36"/>
    <w:rsid w:val="006D77DA"/>
    <w:rsid w:val="006E1373"/>
    <w:rsid w:val="006E1852"/>
    <w:rsid w:val="006E2493"/>
    <w:rsid w:val="006E3C7D"/>
    <w:rsid w:val="006E3D07"/>
    <w:rsid w:val="006E43AF"/>
    <w:rsid w:val="006E53B6"/>
    <w:rsid w:val="006E5931"/>
    <w:rsid w:val="006F0FD0"/>
    <w:rsid w:val="006F1AC8"/>
    <w:rsid w:val="006F2772"/>
    <w:rsid w:val="006F3EC4"/>
    <w:rsid w:val="006F4002"/>
    <w:rsid w:val="006F4BC0"/>
    <w:rsid w:val="006F5309"/>
    <w:rsid w:val="006F76EC"/>
    <w:rsid w:val="00700E2A"/>
    <w:rsid w:val="00700EDE"/>
    <w:rsid w:val="00701434"/>
    <w:rsid w:val="00702262"/>
    <w:rsid w:val="00702B5A"/>
    <w:rsid w:val="00702F9F"/>
    <w:rsid w:val="00706175"/>
    <w:rsid w:val="0071240E"/>
    <w:rsid w:val="0071283D"/>
    <w:rsid w:val="00712F62"/>
    <w:rsid w:val="00713A56"/>
    <w:rsid w:val="00714813"/>
    <w:rsid w:val="0071491B"/>
    <w:rsid w:val="00714FAE"/>
    <w:rsid w:val="007166E7"/>
    <w:rsid w:val="00717276"/>
    <w:rsid w:val="007177B6"/>
    <w:rsid w:val="007202D5"/>
    <w:rsid w:val="0072046E"/>
    <w:rsid w:val="007222DB"/>
    <w:rsid w:val="0072316A"/>
    <w:rsid w:val="007264F3"/>
    <w:rsid w:val="0073155B"/>
    <w:rsid w:val="007315AB"/>
    <w:rsid w:val="00733A2F"/>
    <w:rsid w:val="00737001"/>
    <w:rsid w:val="00737881"/>
    <w:rsid w:val="00737B33"/>
    <w:rsid w:val="0074005F"/>
    <w:rsid w:val="0074121D"/>
    <w:rsid w:val="0074277C"/>
    <w:rsid w:val="00743198"/>
    <w:rsid w:val="00743305"/>
    <w:rsid w:val="007437FC"/>
    <w:rsid w:val="00743A32"/>
    <w:rsid w:val="00746780"/>
    <w:rsid w:val="0074724F"/>
    <w:rsid w:val="00747D97"/>
    <w:rsid w:val="007527F4"/>
    <w:rsid w:val="00753327"/>
    <w:rsid w:val="007533EB"/>
    <w:rsid w:val="00755115"/>
    <w:rsid w:val="00760416"/>
    <w:rsid w:val="007677C1"/>
    <w:rsid w:val="00772ABE"/>
    <w:rsid w:val="00772D4D"/>
    <w:rsid w:val="00772E38"/>
    <w:rsid w:val="00773E8A"/>
    <w:rsid w:val="0077613F"/>
    <w:rsid w:val="0077623D"/>
    <w:rsid w:val="007763AD"/>
    <w:rsid w:val="007808CE"/>
    <w:rsid w:val="007825D2"/>
    <w:rsid w:val="007830C3"/>
    <w:rsid w:val="00784B4B"/>
    <w:rsid w:val="00784FDA"/>
    <w:rsid w:val="00790888"/>
    <w:rsid w:val="00790B83"/>
    <w:rsid w:val="00791F51"/>
    <w:rsid w:val="007A097C"/>
    <w:rsid w:val="007A0D40"/>
    <w:rsid w:val="007A1866"/>
    <w:rsid w:val="007A2438"/>
    <w:rsid w:val="007A3206"/>
    <w:rsid w:val="007A343B"/>
    <w:rsid w:val="007A3627"/>
    <w:rsid w:val="007A6813"/>
    <w:rsid w:val="007A7BBC"/>
    <w:rsid w:val="007B0FD7"/>
    <w:rsid w:val="007B1705"/>
    <w:rsid w:val="007B1D1F"/>
    <w:rsid w:val="007B20D3"/>
    <w:rsid w:val="007B52A6"/>
    <w:rsid w:val="007B647F"/>
    <w:rsid w:val="007B6D9E"/>
    <w:rsid w:val="007C0722"/>
    <w:rsid w:val="007C0CA3"/>
    <w:rsid w:val="007C26B5"/>
    <w:rsid w:val="007C277F"/>
    <w:rsid w:val="007C2840"/>
    <w:rsid w:val="007C377E"/>
    <w:rsid w:val="007C435B"/>
    <w:rsid w:val="007C5711"/>
    <w:rsid w:val="007C59A1"/>
    <w:rsid w:val="007C728C"/>
    <w:rsid w:val="007C7A44"/>
    <w:rsid w:val="007D0941"/>
    <w:rsid w:val="007D16C1"/>
    <w:rsid w:val="007D3C28"/>
    <w:rsid w:val="007D3DD0"/>
    <w:rsid w:val="007D54E4"/>
    <w:rsid w:val="007D5C87"/>
    <w:rsid w:val="007D70E3"/>
    <w:rsid w:val="007E3363"/>
    <w:rsid w:val="007E39BE"/>
    <w:rsid w:val="007F247C"/>
    <w:rsid w:val="007F6781"/>
    <w:rsid w:val="007F6C5F"/>
    <w:rsid w:val="00801517"/>
    <w:rsid w:val="00802449"/>
    <w:rsid w:val="00803306"/>
    <w:rsid w:val="0080331D"/>
    <w:rsid w:val="00803482"/>
    <w:rsid w:val="00803C9B"/>
    <w:rsid w:val="008050D7"/>
    <w:rsid w:val="00810099"/>
    <w:rsid w:val="00812B58"/>
    <w:rsid w:val="008131EF"/>
    <w:rsid w:val="00813912"/>
    <w:rsid w:val="00814444"/>
    <w:rsid w:val="00814A30"/>
    <w:rsid w:val="00817688"/>
    <w:rsid w:val="00817CA1"/>
    <w:rsid w:val="008217E1"/>
    <w:rsid w:val="00821C89"/>
    <w:rsid w:val="00821D4C"/>
    <w:rsid w:val="00822ABF"/>
    <w:rsid w:val="00824394"/>
    <w:rsid w:val="0082486A"/>
    <w:rsid w:val="00824A87"/>
    <w:rsid w:val="00825046"/>
    <w:rsid w:val="00826807"/>
    <w:rsid w:val="00826992"/>
    <w:rsid w:val="008272B9"/>
    <w:rsid w:val="00832781"/>
    <w:rsid w:val="008328A3"/>
    <w:rsid w:val="00835872"/>
    <w:rsid w:val="008359A9"/>
    <w:rsid w:val="00836B7B"/>
    <w:rsid w:val="00837048"/>
    <w:rsid w:val="00837188"/>
    <w:rsid w:val="00842134"/>
    <w:rsid w:val="00844BD0"/>
    <w:rsid w:val="00844F9D"/>
    <w:rsid w:val="00846726"/>
    <w:rsid w:val="00847709"/>
    <w:rsid w:val="00850281"/>
    <w:rsid w:val="00850425"/>
    <w:rsid w:val="00850919"/>
    <w:rsid w:val="00850BE1"/>
    <w:rsid w:val="0085158C"/>
    <w:rsid w:val="00854C50"/>
    <w:rsid w:val="0085616E"/>
    <w:rsid w:val="008600BD"/>
    <w:rsid w:val="008637C1"/>
    <w:rsid w:val="00863F8B"/>
    <w:rsid w:val="00864D13"/>
    <w:rsid w:val="00865189"/>
    <w:rsid w:val="00865EA5"/>
    <w:rsid w:val="00865EE8"/>
    <w:rsid w:val="00870D86"/>
    <w:rsid w:val="00871824"/>
    <w:rsid w:val="00872F14"/>
    <w:rsid w:val="00874B93"/>
    <w:rsid w:val="00875DE0"/>
    <w:rsid w:val="00876B78"/>
    <w:rsid w:val="008804F2"/>
    <w:rsid w:val="00882E61"/>
    <w:rsid w:val="00883A4B"/>
    <w:rsid w:val="00883BB2"/>
    <w:rsid w:val="00887655"/>
    <w:rsid w:val="008876D1"/>
    <w:rsid w:val="0088799E"/>
    <w:rsid w:val="008904DF"/>
    <w:rsid w:val="0089079B"/>
    <w:rsid w:val="00890AAC"/>
    <w:rsid w:val="008934F6"/>
    <w:rsid w:val="00893C1B"/>
    <w:rsid w:val="00896230"/>
    <w:rsid w:val="00896FD1"/>
    <w:rsid w:val="008A007C"/>
    <w:rsid w:val="008A1745"/>
    <w:rsid w:val="008A1D5B"/>
    <w:rsid w:val="008A5BEB"/>
    <w:rsid w:val="008A5E4F"/>
    <w:rsid w:val="008B2795"/>
    <w:rsid w:val="008B2F51"/>
    <w:rsid w:val="008B3083"/>
    <w:rsid w:val="008B3745"/>
    <w:rsid w:val="008B577C"/>
    <w:rsid w:val="008C09C1"/>
    <w:rsid w:val="008C0A41"/>
    <w:rsid w:val="008C2274"/>
    <w:rsid w:val="008C3EF1"/>
    <w:rsid w:val="008C76F6"/>
    <w:rsid w:val="008D0B9E"/>
    <w:rsid w:val="008D3ECB"/>
    <w:rsid w:val="008D40AB"/>
    <w:rsid w:val="008D4424"/>
    <w:rsid w:val="008D48F1"/>
    <w:rsid w:val="008D7607"/>
    <w:rsid w:val="008D7852"/>
    <w:rsid w:val="008E06FA"/>
    <w:rsid w:val="008E0EB8"/>
    <w:rsid w:val="008E2831"/>
    <w:rsid w:val="008E2B10"/>
    <w:rsid w:val="008E2B5E"/>
    <w:rsid w:val="008E38FD"/>
    <w:rsid w:val="008E4675"/>
    <w:rsid w:val="008E4F6D"/>
    <w:rsid w:val="008E6141"/>
    <w:rsid w:val="008E64AA"/>
    <w:rsid w:val="008E67E1"/>
    <w:rsid w:val="008E70EF"/>
    <w:rsid w:val="008E779F"/>
    <w:rsid w:val="008F115A"/>
    <w:rsid w:val="008F1D0D"/>
    <w:rsid w:val="008F279F"/>
    <w:rsid w:val="008F5BDC"/>
    <w:rsid w:val="008F6424"/>
    <w:rsid w:val="00900BA6"/>
    <w:rsid w:val="00900D17"/>
    <w:rsid w:val="009014DC"/>
    <w:rsid w:val="009023DE"/>
    <w:rsid w:val="00903A38"/>
    <w:rsid w:val="00904278"/>
    <w:rsid w:val="0090442A"/>
    <w:rsid w:val="00910AFE"/>
    <w:rsid w:val="00910C49"/>
    <w:rsid w:val="00911C77"/>
    <w:rsid w:val="0091360C"/>
    <w:rsid w:val="00914DA3"/>
    <w:rsid w:val="009156B2"/>
    <w:rsid w:val="00916D01"/>
    <w:rsid w:val="0091791D"/>
    <w:rsid w:val="00920E8C"/>
    <w:rsid w:val="009225B6"/>
    <w:rsid w:val="009227A4"/>
    <w:rsid w:val="009267B5"/>
    <w:rsid w:val="0092681A"/>
    <w:rsid w:val="009274DB"/>
    <w:rsid w:val="00930A5A"/>
    <w:rsid w:val="00931828"/>
    <w:rsid w:val="009329BE"/>
    <w:rsid w:val="00932D6A"/>
    <w:rsid w:val="0093659D"/>
    <w:rsid w:val="00937FA6"/>
    <w:rsid w:val="00941EA3"/>
    <w:rsid w:val="00942841"/>
    <w:rsid w:val="0094344B"/>
    <w:rsid w:val="00944CA6"/>
    <w:rsid w:val="009469CA"/>
    <w:rsid w:val="00946AF3"/>
    <w:rsid w:val="00946E57"/>
    <w:rsid w:val="00947BF3"/>
    <w:rsid w:val="00950B78"/>
    <w:rsid w:val="00956996"/>
    <w:rsid w:val="00956D22"/>
    <w:rsid w:val="009571BD"/>
    <w:rsid w:val="00957968"/>
    <w:rsid w:val="00961E9B"/>
    <w:rsid w:val="00962833"/>
    <w:rsid w:val="00962E5E"/>
    <w:rsid w:val="009637B8"/>
    <w:rsid w:val="009661BD"/>
    <w:rsid w:val="00967F26"/>
    <w:rsid w:val="00972165"/>
    <w:rsid w:val="0097258E"/>
    <w:rsid w:val="0097636E"/>
    <w:rsid w:val="00981F0B"/>
    <w:rsid w:val="009837BA"/>
    <w:rsid w:val="00984982"/>
    <w:rsid w:val="009856EB"/>
    <w:rsid w:val="0098660E"/>
    <w:rsid w:val="0098747C"/>
    <w:rsid w:val="00987544"/>
    <w:rsid w:val="009876E3"/>
    <w:rsid w:val="00987F07"/>
    <w:rsid w:val="00990027"/>
    <w:rsid w:val="00992635"/>
    <w:rsid w:val="00992E9E"/>
    <w:rsid w:val="00995B90"/>
    <w:rsid w:val="00996D3E"/>
    <w:rsid w:val="009A1519"/>
    <w:rsid w:val="009A1E71"/>
    <w:rsid w:val="009A45F5"/>
    <w:rsid w:val="009A52E1"/>
    <w:rsid w:val="009A54EE"/>
    <w:rsid w:val="009B03B4"/>
    <w:rsid w:val="009B04E7"/>
    <w:rsid w:val="009B2C2E"/>
    <w:rsid w:val="009B3A90"/>
    <w:rsid w:val="009B3D6E"/>
    <w:rsid w:val="009B697A"/>
    <w:rsid w:val="009B7FE0"/>
    <w:rsid w:val="009C2694"/>
    <w:rsid w:val="009C61AC"/>
    <w:rsid w:val="009D0CF1"/>
    <w:rsid w:val="009D1433"/>
    <w:rsid w:val="009D1623"/>
    <w:rsid w:val="009D52E2"/>
    <w:rsid w:val="009D5BDA"/>
    <w:rsid w:val="009D5CD7"/>
    <w:rsid w:val="009D6E0C"/>
    <w:rsid w:val="009D7092"/>
    <w:rsid w:val="009E1613"/>
    <w:rsid w:val="009E3CA9"/>
    <w:rsid w:val="009E4AFF"/>
    <w:rsid w:val="009E4F2A"/>
    <w:rsid w:val="009E66D3"/>
    <w:rsid w:val="009E76CC"/>
    <w:rsid w:val="009F0D46"/>
    <w:rsid w:val="009F0DE7"/>
    <w:rsid w:val="009F1898"/>
    <w:rsid w:val="009F3071"/>
    <w:rsid w:val="009F4E89"/>
    <w:rsid w:val="009F7574"/>
    <w:rsid w:val="00A011C4"/>
    <w:rsid w:val="00A013DA"/>
    <w:rsid w:val="00A03F72"/>
    <w:rsid w:val="00A049BE"/>
    <w:rsid w:val="00A04C5C"/>
    <w:rsid w:val="00A102AD"/>
    <w:rsid w:val="00A10983"/>
    <w:rsid w:val="00A11E61"/>
    <w:rsid w:val="00A12A4E"/>
    <w:rsid w:val="00A13044"/>
    <w:rsid w:val="00A138FF"/>
    <w:rsid w:val="00A151ED"/>
    <w:rsid w:val="00A165BD"/>
    <w:rsid w:val="00A213F5"/>
    <w:rsid w:val="00A2393F"/>
    <w:rsid w:val="00A247ED"/>
    <w:rsid w:val="00A271E5"/>
    <w:rsid w:val="00A273D3"/>
    <w:rsid w:val="00A27D95"/>
    <w:rsid w:val="00A34790"/>
    <w:rsid w:val="00A35972"/>
    <w:rsid w:val="00A363B8"/>
    <w:rsid w:val="00A40995"/>
    <w:rsid w:val="00A40D16"/>
    <w:rsid w:val="00A4133D"/>
    <w:rsid w:val="00A417F8"/>
    <w:rsid w:val="00A429BF"/>
    <w:rsid w:val="00A43AA5"/>
    <w:rsid w:val="00A43E50"/>
    <w:rsid w:val="00A4426B"/>
    <w:rsid w:val="00A444F2"/>
    <w:rsid w:val="00A4584B"/>
    <w:rsid w:val="00A47F0F"/>
    <w:rsid w:val="00A505ED"/>
    <w:rsid w:val="00A50FA8"/>
    <w:rsid w:val="00A54074"/>
    <w:rsid w:val="00A556EC"/>
    <w:rsid w:val="00A576FA"/>
    <w:rsid w:val="00A643AB"/>
    <w:rsid w:val="00A67700"/>
    <w:rsid w:val="00A715FB"/>
    <w:rsid w:val="00A74481"/>
    <w:rsid w:val="00A76668"/>
    <w:rsid w:val="00A81A50"/>
    <w:rsid w:val="00A839F1"/>
    <w:rsid w:val="00A83B31"/>
    <w:rsid w:val="00A843AB"/>
    <w:rsid w:val="00A852EF"/>
    <w:rsid w:val="00A8789D"/>
    <w:rsid w:val="00A87BB6"/>
    <w:rsid w:val="00A90F75"/>
    <w:rsid w:val="00A91F70"/>
    <w:rsid w:val="00A924DE"/>
    <w:rsid w:val="00A93CE5"/>
    <w:rsid w:val="00A9403B"/>
    <w:rsid w:val="00A9416E"/>
    <w:rsid w:val="00A94B78"/>
    <w:rsid w:val="00A95030"/>
    <w:rsid w:val="00A95046"/>
    <w:rsid w:val="00A9543E"/>
    <w:rsid w:val="00A9709A"/>
    <w:rsid w:val="00A97815"/>
    <w:rsid w:val="00A978E6"/>
    <w:rsid w:val="00A97ED5"/>
    <w:rsid w:val="00AA05D3"/>
    <w:rsid w:val="00AA086B"/>
    <w:rsid w:val="00AA1A8B"/>
    <w:rsid w:val="00AA238C"/>
    <w:rsid w:val="00AA2777"/>
    <w:rsid w:val="00AA3D7C"/>
    <w:rsid w:val="00AB1C92"/>
    <w:rsid w:val="00AB21CF"/>
    <w:rsid w:val="00AB2B60"/>
    <w:rsid w:val="00AB2F83"/>
    <w:rsid w:val="00AB331D"/>
    <w:rsid w:val="00AB3AB3"/>
    <w:rsid w:val="00AB6F38"/>
    <w:rsid w:val="00AB749B"/>
    <w:rsid w:val="00AB7CE1"/>
    <w:rsid w:val="00AC12AE"/>
    <w:rsid w:val="00AC1905"/>
    <w:rsid w:val="00AC3767"/>
    <w:rsid w:val="00AC38E7"/>
    <w:rsid w:val="00AC495F"/>
    <w:rsid w:val="00AC58A3"/>
    <w:rsid w:val="00AC7176"/>
    <w:rsid w:val="00AD27F5"/>
    <w:rsid w:val="00AD3D98"/>
    <w:rsid w:val="00AD407F"/>
    <w:rsid w:val="00AD66B6"/>
    <w:rsid w:val="00AE1AD1"/>
    <w:rsid w:val="00AE1C6A"/>
    <w:rsid w:val="00AE2F63"/>
    <w:rsid w:val="00AE37A4"/>
    <w:rsid w:val="00AE74EE"/>
    <w:rsid w:val="00AF099F"/>
    <w:rsid w:val="00AF1C67"/>
    <w:rsid w:val="00AF3753"/>
    <w:rsid w:val="00AF5338"/>
    <w:rsid w:val="00AF7467"/>
    <w:rsid w:val="00B00C58"/>
    <w:rsid w:val="00B01BDE"/>
    <w:rsid w:val="00B03655"/>
    <w:rsid w:val="00B0573B"/>
    <w:rsid w:val="00B07573"/>
    <w:rsid w:val="00B07B8B"/>
    <w:rsid w:val="00B11C14"/>
    <w:rsid w:val="00B127DC"/>
    <w:rsid w:val="00B12A49"/>
    <w:rsid w:val="00B12AF6"/>
    <w:rsid w:val="00B1419A"/>
    <w:rsid w:val="00B15DEC"/>
    <w:rsid w:val="00B17073"/>
    <w:rsid w:val="00B17E6D"/>
    <w:rsid w:val="00B205BE"/>
    <w:rsid w:val="00B24DED"/>
    <w:rsid w:val="00B274D6"/>
    <w:rsid w:val="00B27721"/>
    <w:rsid w:val="00B27751"/>
    <w:rsid w:val="00B3095A"/>
    <w:rsid w:val="00B310D5"/>
    <w:rsid w:val="00B318A4"/>
    <w:rsid w:val="00B33921"/>
    <w:rsid w:val="00B3428E"/>
    <w:rsid w:val="00B352BC"/>
    <w:rsid w:val="00B417B5"/>
    <w:rsid w:val="00B41CF9"/>
    <w:rsid w:val="00B42677"/>
    <w:rsid w:val="00B46694"/>
    <w:rsid w:val="00B505C3"/>
    <w:rsid w:val="00B5283F"/>
    <w:rsid w:val="00B54779"/>
    <w:rsid w:val="00B57B90"/>
    <w:rsid w:val="00B62790"/>
    <w:rsid w:val="00B62F7C"/>
    <w:rsid w:val="00B6567C"/>
    <w:rsid w:val="00B661EC"/>
    <w:rsid w:val="00B6696B"/>
    <w:rsid w:val="00B671AF"/>
    <w:rsid w:val="00B67E73"/>
    <w:rsid w:val="00B70303"/>
    <w:rsid w:val="00B72D35"/>
    <w:rsid w:val="00B73134"/>
    <w:rsid w:val="00B73B2D"/>
    <w:rsid w:val="00B73B59"/>
    <w:rsid w:val="00B74CFF"/>
    <w:rsid w:val="00B777DC"/>
    <w:rsid w:val="00B81C86"/>
    <w:rsid w:val="00B8482E"/>
    <w:rsid w:val="00B84D0F"/>
    <w:rsid w:val="00B85CB9"/>
    <w:rsid w:val="00B86ACD"/>
    <w:rsid w:val="00B86C6A"/>
    <w:rsid w:val="00B9008D"/>
    <w:rsid w:val="00B91F88"/>
    <w:rsid w:val="00B95AC1"/>
    <w:rsid w:val="00B972D5"/>
    <w:rsid w:val="00BA08DC"/>
    <w:rsid w:val="00BA0A6D"/>
    <w:rsid w:val="00BA276F"/>
    <w:rsid w:val="00BA2988"/>
    <w:rsid w:val="00BA71DE"/>
    <w:rsid w:val="00BA798F"/>
    <w:rsid w:val="00BB0484"/>
    <w:rsid w:val="00BB195F"/>
    <w:rsid w:val="00BB196F"/>
    <w:rsid w:val="00BB2744"/>
    <w:rsid w:val="00BB491B"/>
    <w:rsid w:val="00BB4EBB"/>
    <w:rsid w:val="00BB711D"/>
    <w:rsid w:val="00BB7B84"/>
    <w:rsid w:val="00BC4132"/>
    <w:rsid w:val="00BC5AE5"/>
    <w:rsid w:val="00BC66F7"/>
    <w:rsid w:val="00BC6816"/>
    <w:rsid w:val="00BC6902"/>
    <w:rsid w:val="00BC6FE3"/>
    <w:rsid w:val="00BD0B83"/>
    <w:rsid w:val="00BD27FF"/>
    <w:rsid w:val="00BD329E"/>
    <w:rsid w:val="00BE1E28"/>
    <w:rsid w:val="00BE2432"/>
    <w:rsid w:val="00BE315A"/>
    <w:rsid w:val="00BE3C9B"/>
    <w:rsid w:val="00BE458C"/>
    <w:rsid w:val="00BE5DEB"/>
    <w:rsid w:val="00BF01C8"/>
    <w:rsid w:val="00BF02E0"/>
    <w:rsid w:val="00BF03E4"/>
    <w:rsid w:val="00BF076B"/>
    <w:rsid w:val="00BF08A2"/>
    <w:rsid w:val="00BF1067"/>
    <w:rsid w:val="00BF4692"/>
    <w:rsid w:val="00BF48E2"/>
    <w:rsid w:val="00BF54AF"/>
    <w:rsid w:val="00BF69B9"/>
    <w:rsid w:val="00BF7CEC"/>
    <w:rsid w:val="00C010F2"/>
    <w:rsid w:val="00C0135E"/>
    <w:rsid w:val="00C044E4"/>
    <w:rsid w:val="00C04696"/>
    <w:rsid w:val="00C074F2"/>
    <w:rsid w:val="00C07E89"/>
    <w:rsid w:val="00C10D02"/>
    <w:rsid w:val="00C12B06"/>
    <w:rsid w:val="00C130C6"/>
    <w:rsid w:val="00C13461"/>
    <w:rsid w:val="00C13FFE"/>
    <w:rsid w:val="00C141BA"/>
    <w:rsid w:val="00C167D3"/>
    <w:rsid w:val="00C177C8"/>
    <w:rsid w:val="00C22077"/>
    <w:rsid w:val="00C23E6D"/>
    <w:rsid w:val="00C23FA9"/>
    <w:rsid w:val="00C24220"/>
    <w:rsid w:val="00C258E0"/>
    <w:rsid w:val="00C3069F"/>
    <w:rsid w:val="00C314A7"/>
    <w:rsid w:val="00C32C09"/>
    <w:rsid w:val="00C340DF"/>
    <w:rsid w:val="00C34157"/>
    <w:rsid w:val="00C34AC1"/>
    <w:rsid w:val="00C36242"/>
    <w:rsid w:val="00C36676"/>
    <w:rsid w:val="00C36F56"/>
    <w:rsid w:val="00C379BA"/>
    <w:rsid w:val="00C37FDA"/>
    <w:rsid w:val="00C4130D"/>
    <w:rsid w:val="00C42C11"/>
    <w:rsid w:val="00C42E98"/>
    <w:rsid w:val="00C43757"/>
    <w:rsid w:val="00C448E0"/>
    <w:rsid w:val="00C46276"/>
    <w:rsid w:val="00C52770"/>
    <w:rsid w:val="00C554A3"/>
    <w:rsid w:val="00C55F9C"/>
    <w:rsid w:val="00C57EE8"/>
    <w:rsid w:val="00C63362"/>
    <w:rsid w:val="00C656A0"/>
    <w:rsid w:val="00C659B1"/>
    <w:rsid w:val="00C66584"/>
    <w:rsid w:val="00C66C32"/>
    <w:rsid w:val="00C70250"/>
    <w:rsid w:val="00C70E82"/>
    <w:rsid w:val="00C722C3"/>
    <w:rsid w:val="00C72691"/>
    <w:rsid w:val="00C72CEB"/>
    <w:rsid w:val="00C73209"/>
    <w:rsid w:val="00C74F21"/>
    <w:rsid w:val="00C761FD"/>
    <w:rsid w:val="00C762F4"/>
    <w:rsid w:val="00C826C7"/>
    <w:rsid w:val="00C82C63"/>
    <w:rsid w:val="00C833B0"/>
    <w:rsid w:val="00C84700"/>
    <w:rsid w:val="00C85236"/>
    <w:rsid w:val="00C8595A"/>
    <w:rsid w:val="00C860FF"/>
    <w:rsid w:val="00C86B02"/>
    <w:rsid w:val="00C86E5D"/>
    <w:rsid w:val="00C86FEF"/>
    <w:rsid w:val="00C87D3B"/>
    <w:rsid w:val="00C9066A"/>
    <w:rsid w:val="00C90C37"/>
    <w:rsid w:val="00C95850"/>
    <w:rsid w:val="00C959C2"/>
    <w:rsid w:val="00C962A7"/>
    <w:rsid w:val="00CA08D1"/>
    <w:rsid w:val="00CA1284"/>
    <w:rsid w:val="00CA1ABB"/>
    <w:rsid w:val="00CA3886"/>
    <w:rsid w:val="00CA394C"/>
    <w:rsid w:val="00CA5E67"/>
    <w:rsid w:val="00CB132D"/>
    <w:rsid w:val="00CB5201"/>
    <w:rsid w:val="00CB5610"/>
    <w:rsid w:val="00CB5AE1"/>
    <w:rsid w:val="00CB64F4"/>
    <w:rsid w:val="00CB711D"/>
    <w:rsid w:val="00CB73E4"/>
    <w:rsid w:val="00CC093D"/>
    <w:rsid w:val="00CC243A"/>
    <w:rsid w:val="00CC2E77"/>
    <w:rsid w:val="00CC2E7A"/>
    <w:rsid w:val="00CC4111"/>
    <w:rsid w:val="00CC485A"/>
    <w:rsid w:val="00CC51CE"/>
    <w:rsid w:val="00CC7109"/>
    <w:rsid w:val="00CC75AE"/>
    <w:rsid w:val="00CD0E0B"/>
    <w:rsid w:val="00CD127E"/>
    <w:rsid w:val="00CD261A"/>
    <w:rsid w:val="00CD3395"/>
    <w:rsid w:val="00CD5B05"/>
    <w:rsid w:val="00CD5F94"/>
    <w:rsid w:val="00CE00E9"/>
    <w:rsid w:val="00CE13F7"/>
    <w:rsid w:val="00CE1C93"/>
    <w:rsid w:val="00CE3BE8"/>
    <w:rsid w:val="00CE5BF7"/>
    <w:rsid w:val="00CE6134"/>
    <w:rsid w:val="00CE63D8"/>
    <w:rsid w:val="00CF0AC7"/>
    <w:rsid w:val="00CF1715"/>
    <w:rsid w:val="00CF3DEF"/>
    <w:rsid w:val="00CF409C"/>
    <w:rsid w:val="00CF5088"/>
    <w:rsid w:val="00CF52CB"/>
    <w:rsid w:val="00CF7C56"/>
    <w:rsid w:val="00CF7F11"/>
    <w:rsid w:val="00D016F4"/>
    <w:rsid w:val="00D01BBE"/>
    <w:rsid w:val="00D040DC"/>
    <w:rsid w:val="00D0552B"/>
    <w:rsid w:val="00D05D21"/>
    <w:rsid w:val="00D0686C"/>
    <w:rsid w:val="00D06FE9"/>
    <w:rsid w:val="00D07D94"/>
    <w:rsid w:val="00D07DD8"/>
    <w:rsid w:val="00D07E97"/>
    <w:rsid w:val="00D109A6"/>
    <w:rsid w:val="00D12BCF"/>
    <w:rsid w:val="00D13A35"/>
    <w:rsid w:val="00D13BFC"/>
    <w:rsid w:val="00D15A21"/>
    <w:rsid w:val="00D16F07"/>
    <w:rsid w:val="00D20661"/>
    <w:rsid w:val="00D2253E"/>
    <w:rsid w:val="00D23733"/>
    <w:rsid w:val="00D23E03"/>
    <w:rsid w:val="00D24329"/>
    <w:rsid w:val="00D253D9"/>
    <w:rsid w:val="00D26514"/>
    <w:rsid w:val="00D30F64"/>
    <w:rsid w:val="00D4152E"/>
    <w:rsid w:val="00D41B5C"/>
    <w:rsid w:val="00D41D37"/>
    <w:rsid w:val="00D42EEE"/>
    <w:rsid w:val="00D436F1"/>
    <w:rsid w:val="00D44F1A"/>
    <w:rsid w:val="00D4527B"/>
    <w:rsid w:val="00D45DBE"/>
    <w:rsid w:val="00D4657B"/>
    <w:rsid w:val="00D46CDD"/>
    <w:rsid w:val="00D47D2F"/>
    <w:rsid w:val="00D51D8C"/>
    <w:rsid w:val="00D542BF"/>
    <w:rsid w:val="00D56CC2"/>
    <w:rsid w:val="00D5706F"/>
    <w:rsid w:val="00D61499"/>
    <w:rsid w:val="00D614DC"/>
    <w:rsid w:val="00D61909"/>
    <w:rsid w:val="00D61C74"/>
    <w:rsid w:val="00D627C9"/>
    <w:rsid w:val="00D64812"/>
    <w:rsid w:val="00D64971"/>
    <w:rsid w:val="00D671AC"/>
    <w:rsid w:val="00D700D5"/>
    <w:rsid w:val="00D712AB"/>
    <w:rsid w:val="00D719BD"/>
    <w:rsid w:val="00D72578"/>
    <w:rsid w:val="00D728E3"/>
    <w:rsid w:val="00D731DD"/>
    <w:rsid w:val="00D73B83"/>
    <w:rsid w:val="00D7460C"/>
    <w:rsid w:val="00D768DD"/>
    <w:rsid w:val="00D76E4A"/>
    <w:rsid w:val="00D76F42"/>
    <w:rsid w:val="00D774F7"/>
    <w:rsid w:val="00D80A1B"/>
    <w:rsid w:val="00D814C1"/>
    <w:rsid w:val="00D8173B"/>
    <w:rsid w:val="00D81A51"/>
    <w:rsid w:val="00D8304C"/>
    <w:rsid w:val="00D83DE2"/>
    <w:rsid w:val="00D86073"/>
    <w:rsid w:val="00D867B7"/>
    <w:rsid w:val="00D878CA"/>
    <w:rsid w:val="00D91B5C"/>
    <w:rsid w:val="00D91C9F"/>
    <w:rsid w:val="00D92119"/>
    <w:rsid w:val="00D92B4B"/>
    <w:rsid w:val="00D93EB7"/>
    <w:rsid w:val="00D94438"/>
    <w:rsid w:val="00D9630E"/>
    <w:rsid w:val="00D96B8E"/>
    <w:rsid w:val="00D96D60"/>
    <w:rsid w:val="00D97317"/>
    <w:rsid w:val="00D9743F"/>
    <w:rsid w:val="00D97FA0"/>
    <w:rsid w:val="00DA1322"/>
    <w:rsid w:val="00DA4190"/>
    <w:rsid w:val="00DA4932"/>
    <w:rsid w:val="00DA4BD9"/>
    <w:rsid w:val="00DA6F52"/>
    <w:rsid w:val="00DA72ED"/>
    <w:rsid w:val="00DA76D6"/>
    <w:rsid w:val="00DB0693"/>
    <w:rsid w:val="00DB42D5"/>
    <w:rsid w:val="00DB4DC0"/>
    <w:rsid w:val="00DB5F8F"/>
    <w:rsid w:val="00DC0BD8"/>
    <w:rsid w:val="00DC1826"/>
    <w:rsid w:val="00DC22B1"/>
    <w:rsid w:val="00DC254B"/>
    <w:rsid w:val="00DC2730"/>
    <w:rsid w:val="00DC2AA2"/>
    <w:rsid w:val="00DC3B96"/>
    <w:rsid w:val="00DC439B"/>
    <w:rsid w:val="00DD0013"/>
    <w:rsid w:val="00DD1F3D"/>
    <w:rsid w:val="00DD2DF5"/>
    <w:rsid w:val="00DD561A"/>
    <w:rsid w:val="00DE03CE"/>
    <w:rsid w:val="00DE0BF3"/>
    <w:rsid w:val="00DE0CEC"/>
    <w:rsid w:val="00DE1505"/>
    <w:rsid w:val="00DE301F"/>
    <w:rsid w:val="00DE3379"/>
    <w:rsid w:val="00DE37DF"/>
    <w:rsid w:val="00DE38BC"/>
    <w:rsid w:val="00DE421D"/>
    <w:rsid w:val="00DE4905"/>
    <w:rsid w:val="00DE7FCC"/>
    <w:rsid w:val="00DF1725"/>
    <w:rsid w:val="00DF200B"/>
    <w:rsid w:val="00DF21E2"/>
    <w:rsid w:val="00DF527D"/>
    <w:rsid w:val="00DF5837"/>
    <w:rsid w:val="00DF594C"/>
    <w:rsid w:val="00DF59AD"/>
    <w:rsid w:val="00DF6A73"/>
    <w:rsid w:val="00DF6F3F"/>
    <w:rsid w:val="00DF7696"/>
    <w:rsid w:val="00DF7698"/>
    <w:rsid w:val="00E02B93"/>
    <w:rsid w:val="00E037E4"/>
    <w:rsid w:val="00E05AE9"/>
    <w:rsid w:val="00E06E44"/>
    <w:rsid w:val="00E10910"/>
    <w:rsid w:val="00E1170D"/>
    <w:rsid w:val="00E11A6F"/>
    <w:rsid w:val="00E11B42"/>
    <w:rsid w:val="00E124E5"/>
    <w:rsid w:val="00E13F02"/>
    <w:rsid w:val="00E2030B"/>
    <w:rsid w:val="00E23056"/>
    <w:rsid w:val="00E2329A"/>
    <w:rsid w:val="00E23711"/>
    <w:rsid w:val="00E24818"/>
    <w:rsid w:val="00E25992"/>
    <w:rsid w:val="00E2662D"/>
    <w:rsid w:val="00E26798"/>
    <w:rsid w:val="00E26808"/>
    <w:rsid w:val="00E26A5C"/>
    <w:rsid w:val="00E26BC1"/>
    <w:rsid w:val="00E27E25"/>
    <w:rsid w:val="00E27F6A"/>
    <w:rsid w:val="00E3026C"/>
    <w:rsid w:val="00E3065D"/>
    <w:rsid w:val="00E31491"/>
    <w:rsid w:val="00E326D2"/>
    <w:rsid w:val="00E32C07"/>
    <w:rsid w:val="00E33D69"/>
    <w:rsid w:val="00E346E5"/>
    <w:rsid w:val="00E35AAE"/>
    <w:rsid w:val="00E367FD"/>
    <w:rsid w:val="00E370D8"/>
    <w:rsid w:val="00E40213"/>
    <w:rsid w:val="00E4056B"/>
    <w:rsid w:val="00E40C07"/>
    <w:rsid w:val="00E40C67"/>
    <w:rsid w:val="00E43C6C"/>
    <w:rsid w:val="00E44550"/>
    <w:rsid w:val="00E449BA"/>
    <w:rsid w:val="00E45F4F"/>
    <w:rsid w:val="00E46994"/>
    <w:rsid w:val="00E46E15"/>
    <w:rsid w:val="00E5043D"/>
    <w:rsid w:val="00E5078A"/>
    <w:rsid w:val="00E50CE8"/>
    <w:rsid w:val="00E5173A"/>
    <w:rsid w:val="00E51EB6"/>
    <w:rsid w:val="00E52E6F"/>
    <w:rsid w:val="00E57C14"/>
    <w:rsid w:val="00E610DA"/>
    <w:rsid w:val="00E6461E"/>
    <w:rsid w:val="00E64CD4"/>
    <w:rsid w:val="00E70F60"/>
    <w:rsid w:val="00E71441"/>
    <w:rsid w:val="00E71875"/>
    <w:rsid w:val="00E71BF0"/>
    <w:rsid w:val="00E72B8B"/>
    <w:rsid w:val="00E749AB"/>
    <w:rsid w:val="00E77C2F"/>
    <w:rsid w:val="00E80F43"/>
    <w:rsid w:val="00E818EC"/>
    <w:rsid w:val="00E81A7A"/>
    <w:rsid w:val="00E82B0D"/>
    <w:rsid w:val="00E82BF1"/>
    <w:rsid w:val="00E833C4"/>
    <w:rsid w:val="00E837DF"/>
    <w:rsid w:val="00E854F4"/>
    <w:rsid w:val="00E86D70"/>
    <w:rsid w:val="00E87403"/>
    <w:rsid w:val="00E87DED"/>
    <w:rsid w:val="00E90204"/>
    <w:rsid w:val="00E90AB8"/>
    <w:rsid w:val="00E92748"/>
    <w:rsid w:val="00E93766"/>
    <w:rsid w:val="00E95344"/>
    <w:rsid w:val="00E957F9"/>
    <w:rsid w:val="00E95AB8"/>
    <w:rsid w:val="00E963E8"/>
    <w:rsid w:val="00E96BC2"/>
    <w:rsid w:val="00E970D1"/>
    <w:rsid w:val="00EA089B"/>
    <w:rsid w:val="00EA0DC0"/>
    <w:rsid w:val="00EA1936"/>
    <w:rsid w:val="00EA19EE"/>
    <w:rsid w:val="00EA1F9C"/>
    <w:rsid w:val="00EA35F3"/>
    <w:rsid w:val="00EA766F"/>
    <w:rsid w:val="00EA7994"/>
    <w:rsid w:val="00EA7C50"/>
    <w:rsid w:val="00EA7EB0"/>
    <w:rsid w:val="00EB0D3C"/>
    <w:rsid w:val="00EB0EDF"/>
    <w:rsid w:val="00EB1950"/>
    <w:rsid w:val="00EB231F"/>
    <w:rsid w:val="00EB4255"/>
    <w:rsid w:val="00EB4F58"/>
    <w:rsid w:val="00EB59F8"/>
    <w:rsid w:val="00EB71B2"/>
    <w:rsid w:val="00EC06BA"/>
    <w:rsid w:val="00EC21DD"/>
    <w:rsid w:val="00EC3A09"/>
    <w:rsid w:val="00EC6D7D"/>
    <w:rsid w:val="00EC6FF1"/>
    <w:rsid w:val="00EC74A0"/>
    <w:rsid w:val="00EC750C"/>
    <w:rsid w:val="00EC778B"/>
    <w:rsid w:val="00ED1009"/>
    <w:rsid w:val="00ED240E"/>
    <w:rsid w:val="00ED3827"/>
    <w:rsid w:val="00ED42EC"/>
    <w:rsid w:val="00ED6233"/>
    <w:rsid w:val="00ED6DB1"/>
    <w:rsid w:val="00ED703B"/>
    <w:rsid w:val="00EE292B"/>
    <w:rsid w:val="00EE54EF"/>
    <w:rsid w:val="00EE6733"/>
    <w:rsid w:val="00EF0BF6"/>
    <w:rsid w:val="00EF0F9B"/>
    <w:rsid w:val="00EF1F4E"/>
    <w:rsid w:val="00EF5671"/>
    <w:rsid w:val="00EF61D8"/>
    <w:rsid w:val="00EF64EB"/>
    <w:rsid w:val="00EF6944"/>
    <w:rsid w:val="00F0077C"/>
    <w:rsid w:val="00F026C1"/>
    <w:rsid w:val="00F02E46"/>
    <w:rsid w:val="00F0311C"/>
    <w:rsid w:val="00F03516"/>
    <w:rsid w:val="00F12172"/>
    <w:rsid w:val="00F1244D"/>
    <w:rsid w:val="00F16739"/>
    <w:rsid w:val="00F16AC4"/>
    <w:rsid w:val="00F20BD1"/>
    <w:rsid w:val="00F226C9"/>
    <w:rsid w:val="00F232F6"/>
    <w:rsid w:val="00F247F7"/>
    <w:rsid w:val="00F251D0"/>
    <w:rsid w:val="00F268FA"/>
    <w:rsid w:val="00F30D3E"/>
    <w:rsid w:val="00F33585"/>
    <w:rsid w:val="00F35D72"/>
    <w:rsid w:val="00F40887"/>
    <w:rsid w:val="00F41C82"/>
    <w:rsid w:val="00F4274C"/>
    <w:rsid w:val="00F428B1"/>
    <w:rsid w:val="00F43401"/>
    <w:rsid w:val="00F43E37"/>
    <w:rsid w:val="00F44962"/>
    <w:rsid w:val="00F47271"/>
    <w:rsid w:val="00F47FC3"/>
    <w:rsid w:val="00F51D5A"/>
    <w:rsid w:val="00F53D54"/>
    <w:rsid w:val="00F56915"/>
    <w:rsid w:val="00F61DD5"/>
    <w:rsid w:val="00F70340"/>
    <w:rsid w:val="00F72B44"/>
    <w:rsid w:val="00F73B34"/>
    <w:rsid w:val="00F73EAA"/>
    <w:rsid w:val="00F74DCA"/>
    <w:rsid w:val="00F76CC5"/>
    <w:rsid w:val="00F7734B"/>
    <w:rsid w:val="00F823A1"/>
    <w:rsid w:val="00F8244E"/>
    <w:rsid w:val="00F84711"/>
    <w:rsid w:val="00F851BC"/>
    <w:rsid w:val="00F872D0"/>
    <w:rsid w:val="00F902DB"/>
    <w:rsid w:val="00F90C37"/>
    <w:rsid w:val="00F94115"/>
    <w:rsid w:val="00F96976"/>
    <w:rsid w:val="00FA1581"/>
    <w:rsid w:val="00FA2532"/>
    <w:rsid w:val="00FA2BF8"/>
    <w:rsid w:val="00FA6B83"/>
    <w:rsid w:val="00FB37DA"/>
    <w:rsid w:val="00FB46E4"/>
    <w:rsid w:val="00FB4AB8"/>
    <w:rsid w:val="00FB723D"/>
    <w:rsid w:val="00FC36BC"/>
    <w:rsid w:val="00FC60FB"/>
    <w:rsid w:val="00FC7A1C"/>
    <w:rsid w:val="00FD08F7"/>
    <w:rsid w:val="00FD1AFA"/>
    <w:rsid w:val="00FD285C"/>
    <w:rsid w:val="00FD305F"/>
    <w:rsid w:val="00FD32EF"/>
    <w:rsid w:val="00FD4291"/>
    <w:rsid w:val="00FD4BE8"/>
    <w:rsid w:val="00FD4F73"/>
    <w:rsid w:val="00FD5A59"/>
    <w:rsid w:val="00FE10FC"/>
    <w:rsid w:val="00FE1872"/>
    <w:rsid w:val="00FE1AD3"/>
    <w:rsid w:val="00FE1C97"/>
    <w:rsid w:val="00FE2137"/>
    <w:rsid w:val="00FE7B4A"/>
    <w:rsid w:val="00FE7B50"/>
    <w:rsid w:val="00FF15AB"/>
    <w:rsid w:val="00FF1D6C"/>
    <w:rsid w:val="00FF20FC"/>
    <w:rsid w:val="00FF2685"/>
    <w:rsid w:val="00FF3412"/>
    <w:rsid w:val="00FF5017"/>
    <w:rsid w:val="00FF56C0"/>
    <w:rsid w:val="00FF57A6"/>
    <w:rsid w:val="00FF60C8"/>
    <w:rsid w:val="00FF6615"/>
    <w:rsid w:val="070C4B03"/>
    <w:rsid w:val="3C327A33"/>
    <w:rsid w:val="71C62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B0A607"/>
  <w15:docId w15:val="{A6C4F8B7-539A-4293-A9F9-FD65FC08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uiPriority="99" w:qFormat="1"/>
    <w:lsdException w:name="caption" w:semiHidden="1" w:unhideWhenUsed="1" w:qFormat="1"/>
    <w:lsdException w:name="footnote reference" w:uiPriority="99" w:unhideWhenUsed="1" w:qFormat="1"/>
    <w:lsdException w:name="annotation reference" w:uiPriority="99" w:qFormat="1"/>
    <w:lsdException w:name="page number" w:qFormat="1"/>
    <w:lsdException w:name="endnote reference" w:qFormat="1"/>
    <w:lsdException w:name="endnote tex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lock Text" w:uiPriority="99" w:unhideWhenUsed="1" w:qFormat="1"/>
    <w:lsdException w:name="Hyperlink" w:uiPriority="99" w:qFormat="1"/>
    <w:lsdException w:name="FollowedHyperlink" w:uiPriority="99"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0">
    <w:name w:val="heading 1"/>
    <w:basedOn w:val="a"/>
    <w:next w:val="a"/>
    <w:link w:val="11"/>
    <w:qFormat/>
    <w:pPr>
      <w:keepNext/>
      <w:keepLines/>
      <w:spacing w:before="340" w:after="330" w:line="578" w:lineRule="auto"/>
      <w:outlineLvl w:val="0"/>
    </w:pPr>
    <w:rPr>
      <w:b/>
      <w:bCs/>
      <w:kern w:val="44"/>
      <w:sz w:val="44"/>
      <w:szCs w:val="44"/>
    </w:rPr>
  </w:style>
  <w:style w:type="paragraph" w:styleId="2">
    <w:name w:val="heading 2"/>
    <w:basedOn w:val="a"/>
    <w:next w:val="a"/>
    <w:link w:val="21"/>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1"/>
    <w:qFormat/>
    <w:pPr>
      <w:keepNext/>
      <w:keepLines/>
      <w:spacing w:before="260" w:after="260" w:line="416" w:lineRule="auto"/>
      <w:outlineLvl w:val="2"/>
    </w:pPr>
    <w:rPr>
      <w:b/>
      <w:bCs/>
      <w:kern w:val="0"/>
      <w:sz w:val="32"/>
      <w:szCs w:val="32"/>
    </w:rPr>
  </w:style>
  <w:style w:type="paragraph" w:styleId="4">
    <w:name w:val="heading 4"/>
    <w:basedOn w:val="a"/>
    <w:next w:val="a"/>
    <w:link w:val="41"/>
    <w:semiHidden/>
    <w:unhideWhenUsed/>
    <w:qFormat/>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paragraph" w:styleId="6">
    <w:name w:val="heading 6"/>
    <w:basedOn w:val="a"/>
    <w:next w:val="a"/>
    <w:link w:val="61"/>
    <w:semiHidden/>
    <w:unhideWhenUsed/>
    <w:qFormat/>
    <w:pPr>
      <w:keepNext/>
      <w:keepLines/>
      <w:spacing w:before="240" w:after="64" w:line="319" w:lineRule="auto"/>
      <w:outlineLvl w:val="5"/>
    </w:pPr>
    <w:rPr>
      <w:rFonts w:ascii="Arial" w:eastAsia="黑体" w:hAnsi="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12"/>
    <w:qFormat/>
    <w:pPr>
      <w:jc w:val="left"/>
    </w:pPr>
    <w:rPr>
      <w:kern w:val="0"/>
      <w:sz w:val="24"/>
      <w:szCs w:val="24"/>
    </w:rPr>
  </w:style>
  <w:style w:type="paragraph" w:styleId="30">
    <w:name w:val="Body Text 3"/>
    <w:basedOn w:val="a"/>
    <w:link w:val="310"/>
    <w:qFormat/>
    <w:pPr>
      <w:spacing w:line="840" w:lineRule="exact"/>
      <w:jc w:val="center"/>
    </w:pPr>
    <w:rPr>
      <w:rFonts w:ascii="方正大标宋简体" w:eastAsia="方正大标宋简体" w:hAnsi="宋体"/>
      <w:bCs/>
      <w:sz w:val="42"/>
      <w:szCs w:val="42"/>
    </w:rPr>
  </w:style>
  <w:style w:type="paragraph" w:styleId="a4">
    <w:name w:val="Body Text"/>
    <w:basedOn w:val="a"/>
    <w:link w:val="13"/>
    <w:qFormat/>
    <w:pPr>
      <w:spacing w:after="120"/>
    </w:pPr>
    <w:rPr>
      <w:rFonts w:eastAsia="Times New Roman"/>
      <w:szCs w:val="24"/>
    </w:rPr>
  </w:style>
  <w:style w:type="paragraph" w:styleId="a5">
    <w:name w:val="Body Text Indent"/>
    <w:basedOn w:val="a"/>
    <w:link w:val="14"/>
    <w:qFormat/>
    <w:pPr>
      <w:tabs>
        <w:tab w:val="left" w:pos="7020"/>
      </w:tabs>
      <w:spacing w:line="600" w:lineRule="exact"/>
      <w:ind w:firstLineChars="200" w:firstLine="600"/>
    </w:pPr>
    <w:rPr>
      <w:rFonts w:ascii="仿宋_GB2312" w:eastAsia="仿宋_GB2312"/>
      <w:sz w:val="30"/>
      <w:szCs w:val="24"/>
    </w:rPr>
  </w:style>
  <w:style w:type="paragraph" w:styleId="a6">
    <w:name w:val="Block Text"/>
    <w:basedOn w:val="a"/>
    <w:uiPriority w:val="99"/>
    <w:unhideWhenUsed/>
    <w:qFormat/>
    <w:pPr>
      <w:widowControl/>
      <w:spacing w:after="240"/>
      <w:jc w:val="left"/>
    </w:pPr>
    <w:rPr>
      <w:kern w:val="0"/>
      <w:sz w:val="24"/>
      <w:lang w:eastAsia="en-US"/>
    </w:rPr>
  </w:style>
  <w:style w:type="paragraph" w:styleId="a7">
    <w:name w:val="Plain Text"/>
    <w:basedOn w:val="a"/>
    <w:link w:val="15"/>
    <w:qFormat/>
    <w:rPr>
      <w:rFonts w:ascii="宋体" w:hAnsi="Courier New" w:cs="Courier New"/>
      <w:szCs w:val="21"/>
    </w:rPr>
  </w:style>
  <w:style w:type="paragraph" w:styleId="a8">
    <w:name w:val="Date"/>
    <w:basedOn w:val="a"/>
    <w:next w:val="a"/>
    <w:link w:val="16"/>
    <w:qFormat/>
    <w:rPr>
      <w:rFonts w:ascii="楷体_GB2312" w:eastAsia="楷体_GB2312"/>
      <w:sz w:val="32"/>
    </w:rPr>
  </w:style>
  <w:style w:type="paragraph" w:styleId="20">
    <w:name w:val="Body Text Indent 2"/>
    <w:basedOn w:val="a"/>
    <w:link w:val="210"/>
    <w:qFormat/>
    <w:pPr>
      <w:spacing w:line="600" w:lineRule="exact"/>
      <w:ind w:firstLineChars="200" w:firstLine="600"/>
    </w:pPr>
    <w:rPr>
      <w:rFonts w:ascii="仿宋_GB2312" w:eastAsia="仿宋_GB2312" w:hAnsi="宋体"/>
      <w:sz w:val="30"/>
      <w:szCs w:val="30"/>
    </w:rPr>
  </w:style>
  <w:style w:type="paragraph" w:styleId="a9">
    <w:name w:val="endnote text"/>
    <w:basedOn w:val="a"/>
    <w:link w:val="17"/>
    <w:qFormat/>
    <w:pPr>
      <w:snapToGrid w:val="0"/>
      <w:jc w:val="left"/>
    </w:pPr>
    <w:rPr>
      <w:kern w:val="0"/>
      <w:sz w:val="24"/>
      <w:szCs w:val="24"/>
    </w:rPr>
  </w:style>
  <w:style w:type="paragraph" w:styleId="aa">
    <w:name w:val="Balloon Text"/>
    <w:basedOn w:val="a"/>
    <w:link w:val="18"/>
    <w:qFormat/>
    <w:rPr>
      <w:sz w:val="18"/>
      <w:szCs w:val="18"/>
    </w:rPr>
  </w:style>
  <w:style w:type="paragraph" w:styleId="ab">
    <w:name w:val="footer"/>
    <w:basedOn w:val="a"/>
    <w:link w:val="19"/>
    <w:uiPriority w:val="99"/>
    <w:qFormat/>
    <w:pPr>
      <w:tabs>
        <w:tab w:val="center" w:pos="4153"/>
        <w:tab w:val="right" w:pos="8306"/>
      </w:tabs>
      <w:snapToGrid w:val="0"/>
      <w:jc w:val="left"/>
    </w:pPr>
    <w:rPr>
      <w:sz w:val="18"/>
      <w:szCs w:val="18"/>
    </w:rPr>
  </w:style>
  <w:style w:type="paragraph" w:styleId="ac">
    <w:name w:val="header"/>
    <w:basedOn w:val="a"/>
    <w:link w:val="1a"/>
    <w:qFormat/>
    <w:pPr>
      <w:pBdr>
        <w:bottom w:val="single" w:sz="6" w:space="1" w:color="auto"/>
      </w:pBdr>
      <w:tabs>
        <w:tab w:val="center" w:pos="4153"/>
        <w:tab w:val="right" w:pos="8306"/>
      </w:tabs>
      <w:snapToGrid w:val="0"/>
      <w:jc w:val="center"/>
    </w:pPr>
    <w:rPr>
      <w:sz w:val="18"/>
      <w:szCs w:val="18"/>
    </w:rPr>
  </w:style>
  <w:style w:type="paragraph" w:styleId="ad">
    <w:name w:val="Subtitle"/>
    <w:basedOn w:val="a"/>
    <w:next w:val="a"/>
    <w:link w:val="ae"/>
    <w:qFormat/>
    <w:pPr>
      <w:spacing w:before="240" w:after="60" w:line="312" w:lineRule="auto"/>
      <w:jc w:val="center"/>
      <w:outlineLvl w:val="1"/>
    </w:pPr>
    <w:rPr>
      <w:rFonts w:ascii="Cambria" w:hAnsi="Cambria"/>
      <w:b/>
      <w:bCs/>
      <w:kern w:val="28"/>
      <w:sz w:val="32"/>
      <w:szCs w:val="32"/>
    </w:rPr>
  </w:style>
  <w:style w:type="paragraph" w:styleId="af">
    <w:name w:val="footnote text"/>
    <w:basedOn w:val="a"/>
    <w:link w:val="22"/>
    <w:qFormat/>
    <w:pPr>
      <w:snapToGrid w:val="0"/>
      <w:jc w:val="left"/>
    </w:pPr>
    <w:rPr>
      <w:rFonts w:eastAsia="Times New Roman"/>
      <w:sz w:val="18"/>
      <w:szCs w:val="18"/>
    </w:rPr>
  </w:style>
  <w:style w:type="paragraph" w:styleId="32">
    <w:name w:val="Body Text Indent 3"/>
    <w:basedOn w:val="a"/>
    <w:link w:val="311"/>
    <w:pPr>
      <w:autoSpaceDE w:val="0"/>
      <w:autoSpaceDN w:val="0"/>
      <w:adjustRightInd w:val="0"/>
      <w:spacing w:line="760" w:lineRule="exact"/>
      <w:ind w:firstLine="560"/>
      <w:jc w:val="left"/>
    </w:pPr>
    <w:rPr>
      <w:rFonts w:ascii="仿宋_GB2312" w:eastAsia="仿宋_GB2312"/>
      <w:kern w:val="0"/>
      <w:sz w:val="30"/>
      <w:szCs w:val="28"/>
      <w:lang w:val="zh-CN"/>
    </w:rPr>
  </w:style>
  <w:style w:type="paragraph" w:styleId="23">
    <w:name w:val="Body Text 2"/>
    <w:basedOn w:val="a"/>
    <w:link w:val="211"/>
    <w:pPr>
      <w:spacing w:line="840" w:lineRule="exact"/>
      <w:jc w:val="center"/>
    </w:pPr>
    <w:rPr>
      <w:rFonts w:ascii="宋体" w:hAnsi="Courier New"/>
      <w:kern w:val="0"/>
      <w:szCs w:val="21"/>
    </w:rPr>
  </w:style>
  <w:style w:type="paragraph" w:styleId="af0">
    <w:name w:val="Normal (Web)"/>
    <w:basedOn w:val="a"/>
    <w:link w:val="af1"/>
    <w:uiPriority w:val="99"/>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d"/>
    <w:link w:val="1b"/>
    <w:qFormat/>
    <w:pPr>
      <w:widowControl/>
      <w:suppressAutoHyphens/>
      <w:overflowPunct w:val="0"/>
      <w:autoSpaceDE w:val="0"/>
      <w:jc w:val="center"/>
    </w:pPr>
    <w:rPr>
      <w:rFonts w:ascii="ClassGarmnd BT" w:hAnsi="ClassGarmnd BT" w:cs="ClassGarmnd BT"/>
      <w:b/>
      <w:kern w:val="1"/>
      <w:sz w:val="32"/>
      <w:lang w:val="en-AU" w:eastAsia="ar-SA"/>
    </w:rPr>
  </w:style>
  <w:style w:type="paragraph" w:styleId="af3">
    <w:name w:val="annotation subject"/>
    <w:basedOn w:val="a3"/>
    <w:next w:val="a3"/>
    <w:link w:val="1c"/>
    <w:rPr>
      <w:b/>
      <w:bCs/>
      <w:kern w:val="2"/>
      <w:sz w:val="21"/>
    </w:rPr>
  </w:style>
  <w:style w:type="table" w:styleId="af4">
    <w:name w:val="Table Grid"/>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bCs/>
    </w:rPr>
  </w:style>
  <w:style w:type="character" w:styleId="af6">
    <w:name w:val="endnote reference"/>
    <w:qFormat/>
    <w:rPr>
      <w:rFonts w:cs="Times New Roman"/>
      <w:vertAlign w:val="superscript"/>
    </w:rPr>
  </w:style>
  <w:style w:type="character" w:styleId="af7">
    <w:name w:val="page number"/>
    <w:basedOn w:val="a0"/>
    <w:qFormat/>
  </w:style>
  <w:style w:type="character" w:styleId="af8">
    <w:name w:val="FollowedHyperlink"/>
    <w:basedOn w:val="a0"/>
    <w:uiPriority w:val="99"/>
    <w:qFormat/>
    <w:rPr>
      <w:color w:val="800080"/>
      <w:u w:val="single"/>
    </w:rPr>
  </w:style>
  <w:style w:type="character" w:styleId="af9">
    <w:name w:val="Hyperlink"/>
    <w:uiPriority w:val="99"/>
    <w:qFormat/>
    <w:rPr>
      <w:rFonts w:cs="Times New Roman"/>
      <w:color w:val="0000FF"/>
      <w:u w:val="single"/>
    </w:rPr>
  </w:style>
  <w:style w:type="character" w:styleId="afa">
    <w:name w:val="annotation reference"/>
    <w:uiPriority w:val="99"/>
    <w:qFormat/>
    <w:rPr>
      <w:rFonts w:cs="Times New Roman"/>
      <w:sz w:val="21"/>
      <w:szCs w:val="21"/>
    </w:rPr>
  </w:style>
  <w:style w:type="character" w:styleId="afb">
    <w:name w:val="footnote reference"/>
    <w:basedOn w:val="a0"/>
    <w:uiPriority w:val="99"/>
    <w:unhideWhenUsed/>
    <w:qFormat/>
    <w:rPr>
      <w:vertAlign w:val="superscript"/>
    </w:rPr>
  </w:style>
  <w:style w:type="character" w:customStyle="1" w:styleId="11">
    <w:name w:val="标题 1 字符1"/>
    <w:link w:val="10"/>
    <w:qFormat/>
    <w:locked/>
    <w:rPr>
      <w:rFonts w:eastAsia="宋体"/>
      <w:b/>
      <w:bCs/>
      <w:kern w:val="44"/>
      <w:sz w:val="44"/>
      <w:szCs w:val="44"/>
      <w:lang w:bidi="ar-SA"/>
    </w:rPr>
  </w:style>
  <w:style w:type="character" w:customStyle="1" w:styleId="21">
    <w:name w:val="标题 2 字符1"/>
    <w:link w:val="2"/>
    <w:qFormat/>
    <w:locked/>
    <w:rPr>
      <w:rFonts w:ascii="Arial" w:eastAsia="黑体" w:hAnsi="Arial"/>
      <w:b/>
      <w:bCs/>
      <w:sz w:val="32"/>
      <w:szCs w:val="32"/>
      <w:lang w:bidi="ar-SA"/>
    </w:rPr>
  </w:style>
  <w:style w:type="character" w:customStyle="1" w:styleId="31">
    <w:name w:val="标题 3 字符1"/>
    <w:link w:val="3"/>
    <w:semiHidden/>
    <w:qFormat/>
    <w:locked/>
    <w:rPr>
      <w:rFonts w:eastAsia="宋体"/>
      <w:b/>
      <w:bCs/>
      <w:sz w:val="32"/>
      <w:szCs w:val="32"/>
      <w:lang w:bidi="ar-SA"/>
    </w:rPr>
  </w:style>
  <w:style w:type="character" w:customStyle="1" w:styleId="41">
    <w:name w:val="标题 4 字符1"/>
    <w:basedOn w:val="a0"/>
    <w:link w:val="4"/>
    <w:semiHidden/>
    <w:qFormat/>
    <w:rPr>
      <w:rFonts w:ascii="Cambria" w:eastAsia="宋体" w:hAnsi="Cambria" w:cs="Times New Roman"/>
      <w:b/>
      <w:bCs/>
      <w:kern w:val="2"/>
      <w:sz w:val="28"/>
      <w:szCs w:val="28"/>
    </w:rPr>
  </w:style>
  <w:style w:type="character" w:customStyle="1" w:styleId="50">
    <w:name w:val="标题 5 字符"/>
    <w:basedOn w:val="a0"/>
    <w:link w:val="5"/>
    <w:semiHidden/>
    <w:qFormat/>
    <w:rPr>
      <w:b/>
      <w:bCs/>
      <w:kern w:val="2"/>
      <w:sz w:val="28"/>
      <w:szCs w:val="28"/>
    </w:rPr>
  </w:style>
  <w:style w:type="character" w:customStyle="1" w:styleId="61">
    <w:name w:val="标题 6 字符1"/>
    <w:basedOn w:val="a0"/>
    <w:link w:val="6"/>
    <w:semiHidden/>
    <w:qFormat/>
    <w:rPr>
      <w:rFonts w:ascii="Arial" w:eastAsia="黑体" w:hAnsi="Arial"/>
      <w:b/>
      <w:bCs/>
      <w:kern w:val="2"/>
      <w:sz w:val="24"/>
      <w:szCs w:val="24"/>
    </w:rPr>
  </w:style>
  <w:style w:type="character" w:customStyle="1" w:styleId="19">
    <w:name w:val="页脚 字符1"/>
    <w:link w:val="ab"/>
    <w:uiPriority w:val="99"/>
    <w:qFormat/>
    <w:locked/>
    <w:rPr>
      <w:rFonts w:eastAsia="宋体"/>
      <w:kern w:val="2"/>
      <w:sz w:val="18"/>
      <w:szCs w:val="18"/>
      <w:lang w:val="en-US" w:eastAsia="zh-CN" w:bidi="ar-SA"/>
    </w:rPr>
  </w:style>
  <w:style w:type="character" w:customStyle="1" w:styleId="14">
    <w:name w:val="正文文本缩进 字符1"/>
    <w:basedOn w:val="a0"/>
    <w:link w:val="a5"/>
    <w:qFormat/>
    <w:rPr>
      <w:rFonts w:ascii="仿宋_GB2312" w:eastAsia="仿宋_GB2312"/>
      <w:kern w:val="2"/>
      <w:sz w:val="30"/>
      <w:szCs w:val="24"/>
      <w:lang w:val="en-US" w:eastAsia="zh-CN" w:bidi="ar-SA"/>
    </w:rPr>
  </w:style>
  <w:style w:type="character" w:customStyle="1" w:styleId="1a">
    <w:name w:val="页眉 字符1"/>
    <w:link w:val="ac"/>
    <w:qFormat/>
    <w:locked/>
    <w:rPr>
      <w:rFonts w:eastAsia="宋体"/>
      <w:kern w:val="2"/>
      <w:sz w:val="18"/>
      <w:szCs w:val="18"/>
      <w:lang w:val="en-US" w:eastAsia="zh-CN" w:bidi="ar-SA"/>
    </w:rPr>
  </w:style>
  <w:style w:type="character" w:customStyle="1" w:styleId="18">
    <w:name w:val="批注框文本 字符1"/>
    <w:link w:val="aa"/>
    <w:qFormat/>
    <w:locked/>
    <w:rPr>
      <w:rFonts w:eastAsia="宋体"/>
      <w:kern w:val="2"/>
      <w:sz w:val="18"/>
      <w:szCs w:val="18"/>
      <w:lang w:val="en-US" w:eastAsia="zh-CN" w:bidi="ar-SA"/>
    </w:rPr>
  </w:style>
  <w:style w:type="character" w:customStyle="1" w:styleId="16">
    <w:name w:val="日期 字符1"/>
    <w:basedOn w:val="a0"/>
    <w:link w:val="a8"/>
    <w:qFormat/>
    <w:rPr>
      <w:rFonts w:ascii="楷体_GB2312" w:eastAsia="楷体_GB2312"/>
      <w:kern w:val="2"/>
      <w:sz w:val="32"/>
      <w:lang w:val="en-US" w:eastAsia="zh-CN" w:bidi="ar-SA"/>
    </w:rPr>
  </w:style>
  <w:style w:type="paragraph" w:customStyle="1" w:styleId="dash6b636587">
    <w:name w:val="dash6b63_6587"/>
    <w:basedOn w:val="a"/>
    <w:qFormat/>
    <w:pPr>
      <w:widowControl/>
      <w:spacing w:before="100" w:beforeAutospacing="1" w:after="100" w:afterAutospacing="1"/>
      <w:jc w:val="left"/>
    </w:pPr>
    <w:rPr>
      <w:rFonts w:ascii="宋体" w:hAnsi="宋体" w:cs="宋体"/>
      <w:kern w:val="0"/>
      <w:sz w:val="24"/>
      <w:szCs w:val="24"/>
    </w:rPr>
  </w:style>
  <w:style w:type="character" w:customStyle="1" w:styleId="dash6b636587char">
    <w:name w:val="dash6b63_6587__char"/>
    <w:basedOn w:val="a0"/>
    <w:qFormat/>
  </w:style>
  <w:style w:type="character" w:customStyle="1" w:styleId="dash6b63005f6587005f005fcharchar">
    <w:name w:val="dash6b63_005f6587_005f_005fchar__char"/>
    <w:basedOn w:val="a0"/>
    <w:qFormat/>
  </w:style>
  <w:style w:type="character" w:customStyle="1" w:styleId="15">
    <w:name w:val="纯文本 字符1"/>
    <w:basedOn w:val="a0"/>
    <w:link w:val="a7"/>
    <w:qFormat/>
    <w:rPr>
      <w:rFonts w:ascii="宋体" w:eastAsia="宋体" w:hAnsi="Courier New" w:cs="Courier New"/>
      <w:kern w:val="2"/>
      <w:sz w:val="21"/>
      <w:szCs w:val="21"/>
      <w:lang w:val="en-US" w:eastAsia="zh-CN" w:bidi="ar-SA"/>
    </w:rPr>
  </w:style>
  <w:style w:type="paragraph" w:customStyle="1" w:styleId="p0">
    <w:name w:val="p0"/>
    <w:basedOn w:val="a"/>
    <w:qFormat/>
    <w:pPr>
      <w:widowControl/>
    </w:pPr>
    <w:rPr>
      <w:kern w:val="0"/>
      <w:szCs w:val="21"/>
    </w:rPr>
  </w:style>
  <w:style w:type="character" w:customStyle="1" w:styleId="211">
    <w:name w:val="正文文本 2 字符1"/>
    <w:link w:val="23"/>
    <w:qFormat/>
    <w:locked/>
    <w:rPr>
      <w:rFonts w:ascii="宋体" w:eastAsia="宋体" w:hAnsi="Courier New"/>
      <w:sz w:val="21"/>
      <w:szCs w:val="21"/>
      <w:lang w:bidi="ar-SA"/>
    </w:rPr>
  </w:style>
  <w:style w:type="paragraph" w:styleId="afc">
    <w:name w:val="List Paragraph"/>
    <w:basedOn w:val="a"/>
    <w:link w:val="afd"/>
    <w:uiPriority w:val="34"/>
    <w:qFormat/>
    <w:pPr>
      <w:ind w:firstLineChars="200" w:firstLine="420"/>
    </w:pPr>
    <w:rPr>
      <w:szCs w:val="24"/>
    </w:rPr>
  </w:style>
  <w:style w:type="character" w:customStyle="1" w:styleId="afd">
    <w:name w:val="列表段落 字符"/>
    <w:link w:val="afc"/>
    <w:uiPriority w:val="34"/>
    <w:qFormat/>
    <w:rPr>
      <w:kern w:val="2"/>
      <w:sz w:val="21"/>
      <w:szCs w:val="24"/>
    </w:rPr>
  </w:style>
  <w:style w:type="paragraph" w:customStyle="1" w:styleId="1d">
    <w:name w:val="列出段落1"/>
    <w:basedOn w:val="a"/>
    <w:qFormat/>
    <w:pPr>
      <w:ind w:firstLineChars="200" w:firstLine="420"/>
    </w:pPr>
    <w:rPr>
      <w:rFonts w:ascii="Calibri" w:hAnsi="Calibri"/>
      <w:szCs w:val="22"/>
    </w:rPr>
  </w:style>
  <w:style w:type="character" w:customStyle="1" w:styleId="17">
    <w:name w:val="尾注文本 字符1"/>
    <w:link w:val="a9"/>
    <w:qFormat/>
    <w:locked/>
    <w:rPr>
      <w:rFonts w:eastAsia="宋体"/>
      <w:sz w:val="24"/>
      <w:szCs w:val="24"/>
      <w:lang w:bidi="ar-SA"/>
    </w:rPr>
  </w:style>
  <w:style w:type="character" w:customStyle="1" w:styleId="12">
    <w:name w:val="批注文字 字符1"/>
    <w:link w:val="a3"/>
    <w:qFormat/>
    <w:locked/>
    <w:rPr>
      <w:rFonts w:eastAsia="宋体"/>
      <w:sz w:val="24"/>
      <w:szCs w:val="24"/>
      <w:lang w:bidi="ar-SA"/>
    </w:rPr>
  </w:style>
  <w:style w:type="paragraph" w:customStyle="1" w:styleId="00">
    <w:name w:val="00正文"/>
    <w:basedOn w:val="a"/>
    <w:qFormat/>
    <w:pPr>
      <w:snapToGrid w:val="0"/>
      <w:spacing w:beforeLines="50" w:afterLines="50" w:line="360" w:lineRule="auto"/>
      <w:ind w:firstLineChars="200" w:firstLine="200"/>
    </w:pPr>
    <w:rPr>
      <w:rFonts w:ascii="宋体" w:hAnsi="宋体"/>
      <w:sz w:val="24"/>
      <w:szCs w:val="24"/>
    </w:rPr>
  </w:style>
  <w:style w:type="paragraph" w:customStyle="1" w:styleId="1e">
    <w:name w:val="列表段落1"/>
    <w:basedOn w:val="a"/>
    <w:qFormat/>
    <w:pPr>
      <w:ind w:firstLineChars="200" w:firstLine="420"/>
    </w:pPr>
    <w:rPr>
      <w:rFonts w:ascii="Calibri" w:hAnsi="Calibri"/>
      <w:szCs w:val="22"/>
    </w:rPr>
  </w:style>
  <w:style w:type="paragraph" w:customStyle="1" w:styleId="afe">
    <w:name w:val="内页正文"/>
    <w:link w:val="Char"/>
    <w:qFormat/>
    <w:locked/>
    <w:pPr>
      <w:suppressAutoHyphens/>
      <w:spacing w:after="120"/>
      <w:jc w:val="both"/>
    </w:pPr>
    <w:rPr>
      <w:rFonts w:ascii="Arial" w:eastAsia="汉仪中等线简" w:hAnsi="Arial"/>
      <w:color w:val="000000"/>
      <w:sz w:val="18"/>
      <w:szCs w:val="18"/>
    </w:rPr>
  </w:style>
  <w:style w:type="character" w:customStyle="1" w:styleId="Char">
    <w:name w:val="内页正文 Char"/>
    <w:link w:val="afe"/>
    <w:qFormat/>
    <w:rPr>
      <w:rFonts w:ascii="Arial" w:eastAsia="汉仪中等线简" w:hAnsi="Arial"/>
      <w:color w:val="000000"/>
      <w:sz w:val="18"/>
      <w:szCs w:val="18"/>
      <w:lang w:bidi="ar-SA"/>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1f">
    <w:name w:val="无间隔1"/>
    <w:qFormat/>
    <w:pPr>
      <w:widowControl w:val="0"/>
      <w:jc w:val="both"/>
    </w:pPr>
    <w:rPr>
      <w:rFonts w:ascii="Calibri" w:hAnsi="Calibri"/>
      <w:kern w:val="2"/>
      <w:sz w:val="21"/>
      <w:szCs w:val="22"/>
    </w:rPr>
  </w:style>
  <w:style w:type="character" w:customStyle="1" w:styleId="CharChar15">
    <w:name w:val="Char Char15"/>
    <w:basedOn w:val="a0"/>
    <w:qFormat/>
    <w:rPr>
      <w:rFonts w:eastAsia="宋体"/>
      <w:b/>
      <w:bCs/>
      <w:kern w:val="44"/>
      <w:sz w:val="44"/>
      <w:szCs w:val="44"/>
      <w:lang w:val="en-US" w:eastAsia="zh-CN" w:bidi="ar-SA"/>
    </w:rPr>
  </w:style>
  <w:style w:type="character" w:customStyle="1" w:styleId="CharChar14">
    <w:name w:val="Char Char14"/>
    <w:basedOn w:val="a0"/>
    <w:qFormat/>
    <w:rPr>
      <w:rFonts w:eastAsia="宋体"/>
      <w:b/>
      <w:bCs/>
      <w:kern w:val="2"/>
      <w:sz w:val="32"/>
      <w:szCs w:val="32"/>
      <w:lang w:val="en-US" w:eastAsia="zh-CN" w:bidi="ar-SA"/>
    </w:rPr>
  </w:style>
  <w:style w:type="character" w:customStyle="1" w:styleId="CharChar13">
    <w:name w:val="Char Char13"/>
    <w:basedOn w:val="a0"/>
    <w:qFormat/>
    <w:rPr>
      <w:rFonts w:eastAsia="宋体"/>
      <w:kern w:val="2"/>
      <w:sz w:val="18"/>
      <w:szCs w:val="18"/>
      <w:lang w:val="en-US" w:eastAsia="zh-CN" w:bidi="ar-SA"/>
    </w:rPr>
  </w:style>
  <w:style w:type="character" w:customStyle="1" w:styleId="CharChar12">
    <w:name w:val="Char Char12"/>
    <w:basedOn w:val="a0"/>
    <w:qFormat/>
    <w:rPr>
      <w:rFonts w:eastAsia="宋体"/>
      <w:kern w:val="2"/>
      <w:sz w:val="18"/>
      <w:szCs w:val="18"/>
      <w:lang w:val="en-US" w:eastAsia="zh-CN" w:bidi="ar-SA"/>
    </w:rPr>
  </w:style>
  <w:style w:type="character" w:customStyle="1" w:styleId="Char1">
    <w:name w:val="正文文本缩进 Char1"/>
    <w:basedOn w:val="a0"/>
    <w:qFormat/>
    <w:rPr>
      <w:kern w:val="2"/>
      <w:sz w:val="21"/>
      <w:szCs w:val="24"/>
    </w:rPr>
  </w:style>
  <w:style w:type="character" w:customStyle="1" w:styleId="Char10">
    <w:name w:val="日期 Char1"/>
    <w:basedOn w:val="a0"/>
    <w:qFormat/>
    <w:rPr>
      <w:kern w:val="2"/>
      <w:sz w:val="21"/>
      <w:szCs w:val="24"/>
    </w:rPr>
  </w:style>
  <w:style w:type="character" w:customStyle="1" w:styleId="13">
    <w:name w:val="正文文本 字符1"/>
    <w:basedOn w:val="a0"/>
    <w:link w:val="a4"/>
    <w:qFormat/>
    <w:rPr>
      <w:rFonts w:eastAsia="Times New Roman"/>
      <w:kern w:val="2"/>
      <w:sz w:val="21"/>
      <w:szCs w:val="24"/>
    </w:rPr>
  </w:style>
  <w:style w:type="character" w:customStyle="1" w:styleId="Char11">
    <w:name w:val="正文文本 Char1"/>
    <w:basedOn w:val="a0"/>
    <w:qFormat/>
    <w:rPr>
      <w:kern w:val="2"/>
      <w:sz w:val="21"/>
      <w:szCs w:val="24"/>
    </w:rPr>
  </w:style>
  <w:style w:type="character" w:customStyle="1" w:styleId="Char12">
    <w:name w:val="批注框文本 Char1"/>
    <w:basedOn w:val="a0"/>
    <w:qFormat/>
    <w:rPr>
      <w:kern w:val="2"/>
      <w:sz w:val="18"/>
      <w:szCs w:val="18"/>
    </w:rPr>
  </w:style>
  <w:style w:type="character" w:customStyle="1" w:styleId="210">
    <w:name w:val="正文文本缩进 2 字符1"/>
    <w:basedOn w:val="a0"/>
    <w:link w:val="20"/>
    <w:qFormat/>
    <w:rPr>
      <w:rFonts w:ascii="仿宋_GB2312" w:eastAsia="仿宋_GB2312" w:hAnsi="宋体"/>
      <w:kern w:val="2"/>
      <w:sz w:val="30"/>
      <w:szCs w:val="30"/>
    </w:rPr>
  </w:style>
  <w:style w:type="character" w:customStyle="1" w:styleId="2Char1">
    <w:name w:val="正文文本缩进 2 Char1"/>
    <w:basedOn w:val="a0"/>
    <w:qFormat/>
    <w:rPr>
      <w:kern w:val="2"/>
      <w:sz w:val="21"/>
      <w:szCs w:val="24"/>
    </w:rPr>
  </w:style>
  <w:style w:type="character" w:customStyle="1" w:styleId="2Char10">
    <w:name w:val="正文文本 2 Char1"/>
    <w:basedOn w:val="a0"/>
    <w:qFormat/>
    <w:rPr>
      <w:kern w:val="2"/>
      <w:sz w:val="21"/>
      <w:szCs w:val="24"/>
    </w:rPr>
  </w:style>
  <w:style w:type="character" w:customStyle="1" w:styleId="311">
    <w:name w:val="正文文本缩进 3 字符1"/>
    <w:basedOn w:val="a0"/>
    <w:link w:val="32"/>
    <w:qFormat/>
    <w:rPr>
      <w:rFonts w:ascii="仿宋_GB2312" w:eastAsia="仿宋_GB2312"/>
      <w:sz w:val="30"/>
      <w:szCs w:val="28"/>
      <w:lang w:val="zh-CN"/>
    </w:rPr>
  </w:style>
  <w:style w:type="character" w:customStyle="1" w:styleId="3Char1">
    <w:name w:val="正文文本缩进 3 Char1"/>
    <w:basedOn w:val="a0"/>
    <w:qFormat/>
    <w:rPr>
      <w:kern w:val="2"/>
      <w:sz w:val="16"/>
      <w:szCs w:val="16"/>
    </w:rPr>
  </w:style>
  <w:style w:type="character" w:customStyle="1" w:styleId="310">
    <w:name w:val="正文文本 3 字符1"/>
    <w:basedOn w:val="a0"/>
    <w:link w:val="30"/>
    <w:qFormat/>
    <w:rPr>
      <w:rFonts w:ascii="方正大标宋简体" w:eastAsia="方正大标宋简体" w:hAnsi="宋体"/>
      <w:bCs/>
      <w:kern w:val="2"/>
      <w:sz w:val="42"/>
      <w:szCs w:val="42"/>
    </w:rPr>
  </w:style>
  <w:style w:type="character" w:customStyle="1" w:styleId="3Char10">
    <w:name w:val="正文文本 3 Char1"/>
    <w:basedOn w:val="a0"/>
    <w:rPr>
      <w:kern w:val="2"/>
      <w:sz w:val="16"/>
      <w:szCs w:val="16"/>
    </w:rPr>
  </w:style>
  <w:style w:type="character" w:customStyle="1" w:styleId="Char13">
    <w:name w:val="纯文本 Char1"/>
    <w:basedOn w:val="a0"/>
    <w:qFormat/>
    <w:rPr>
      <w:rFonts w:ascii="宋体" w:hAnsi="Courier New" w:cs="Courier New"/>
      <w:kern w:val="2"/>
      <w:sz w:val="21"/>
      <w:szCs w:val="21"/>
    </w:rPr>
  </w:style>
  <w:style w:type="character" w:customStyle="1" w:styleId="Char0">
    <w:name w:val="条款 Char"/>
    <w:link w:val="aff"/>
    <w:rPr>
      <w:rFonts w:ascii="仿宋_GB2312" w:eastAsia="仿宋_GB2312" w:hAnsi="Calibri"/>
      <w:color w:val="000000"/>
      <w:sz w:val="28"/>
      <w:lang w:bidi="ar-SA"/>
    </w:rPr>
  </w:style>
  <w:style w:type="paragraph" w:customStyle="1" w:styleId="aff">
    <w:name w:val="条款"/>
    <w:basedOn w:val="a"/>
    <w:link w:val="Char0"/>
    <w:qFormat/>
    <w:pPr>
      <w:widowControl/>
      <w:wordWrap w:val="0"/>
      <w:adjustRightInd w:val="0"/>
      <w:spacing w:line="360" w:lineRule="auto"/>
      <w:ind w:right="272" w:firstLineChars="200" w:firstLine="560"/>
    </w:pPr>
    <w:rPr>
      <w:rFonts w:ascii="仿宋_GB2312" w:eastAsia="仿宋_GB2312" w:hAnsi="Calibri"/>
      <w:color w:val="000000"/>
      <w:kern w:val="0"/>
      <w:sz w:val="28"/>
    </w:rPr>
  </w:style>
  <w:style w:type="character" w:customStyle="1" w:styleId="22">
    <w:name w:val="脚注文本 字符2"/>
    <w:basedOn w:val="a0"/>
    <w:link w:val="af"/>
    <w:rPr>
      <w:rFonts w:eastAsia="Times New Roman"/>
      <w:kern w:val="2"/>
      <w:sz w:val="18"/>
      <w:szCs w:val="18"/>
    </w:rPr>
  </w:style>
  <w:style w:type="character" w:customStyle="1" w:styleId="Char14">
    <w:name w:val="脚注文本 Char1"/>
    <w:basedOn w:val="a0"/>
    <w:rPr>
      <w:kern w:val="2"/>
      <w:sz w:val="18"/>
      <w:szCs w:val="18"/>
    </w:rPr>
  </w:style>
  <w:style w:type="character" w:customStyle="1" w:styleId="1c">
    <w:name w:val="批注主题 字符1"/>
    <w:basedOn w:val="12"/>
    <w:link w:val="af3"/>
    <w:rPr>
      <w:rFonts w:eastAsia="宋体"/>
      <w:b/>
      <w:bCs/>
      <w:kern w:val="2"/>
      <w:sz w:val="21"/>
      <w:szCs w:val="24"/>
      <w:lang w:bidi="ar-SA"/>
    </w:rPr>
  </w:style>
  <w:style w:type="paragraph" w:customStyle="1" w:styleId="Char3">
    <w:name w:val="Char3"/>
    <w:basedOn w:val="a"/>
    <w:rPr>
      <w:szCs w:val="21"/>
    </w:rPr>
  </w:style>
  <w:style w:type="paragraph" w:customStyle="1" w:styleId="doc-a2">
    <w:name w:val="doc-a2"/>
    <w:basedOn w:val="a"/>
    <w:qFormat/>
    <w:pPr>
      <w:widowControl/>
      <w:spacing w:before="225" w:after="100" w:afterAutospacing="1" w:line="450" w:lineRule="atLeast"/>
      <w:ind w:firstLine="480"/>
      <w:jc w:val="left"/>
    </w:pPr>
    <w:rPr>
      <w:rFonts w:ascii="微软雅黑" w:eastAsia="微软雅黑" w:hAnsi="微软雅黑" w:cs="宋体"/>
      <w:kern w:val="0"/>
      <w:szCs w:val="21"/>
    </w:rPr>
  </w:style>
  <w:style w:type="paragraph" w:customStyle="1" w:styleId="1">
    <w:name w:val="样式1"/>
    <w:basedOn w:val="a"/>
    <w:link w:val="1Char"/>
    <w:qFormat/>
    <w:pPr>
      <w:numPr>
        <w:numId w:val="1"/>
      </w:numPr>
      <w:tabs>
        <w:tab w:val="left" w:pos="2127"/>
      </w:tabs>
      <w:adjustRightInd w:val="0"/>
      <w:snapToGrid w:val="0"/>
      <w:spacing w:line="540" w:lineRule="exact"/>
      <w:ind w:left="988"/>
    </w:pPr>
    <w:rPr>
      <w:rFonts w:ascii="仿宋_GB2312" w:eastAsia="仿宋_GB2312" w:hAnsi="宋体"/>
      <w:kern w:val="0"/>
      <w:sz w:val="30"/>
      <w:szCs w:val="30"/>
    </w:rPr>
  </w:style>
  <w:style w:type="character" w:customStyle="1" w:styleId="1Char">
    <w:name w:val="样式1 Char"/>
    <w:link w:val="1"/>
    <w:qFormat/>
    <w:locked/>
    <w:rPr>
      <w:rFonts w:ascii="仿宋_GB2312" w:eastAsia="仿宋_GB2312" w:hAnsi="宋体"/>
      <w:sz w:val="30"/>
      <w:szCs w:val="30"/>
    </w:rPr>
  </w:style>
  <w:style w:type="paragraph" w:customStyle="1" w:styleId="SSE">
    <w:name w:val="SSE正文"/>
    <w:basedOn w:val="a"/>
    <w:link w:val="SSEChar"/>
    <w:qFormat/>
    <w:pPr>
      <w:ind w:firstLineChars="200" w:firstLine="200"/>
    </w:pPr>
    <w:rPr>
      <w:rFonts w:eastAsia="仿宋_GB2312"/>
      <w:sz w:val="28"/>
      <w:szCs w:val="28"/>
    </w:rPr>
  </w:style>
  <w:style w:type="character" w:customStyle="1" w:styleId="SSEChar">
    <w:name w:val="SSE正文 Char"/>
    <w:basedOn w:val="a0"/>
    <w:link w:val="SSE"/>
    <w:rPr>
      <w:rFonts w:eastAsia="仿宋_GB2312"/>
      <w:kern w:val="2"/>
      <w:sz w:val="28"/>
      <w:szCs w:val="28"/>
    </w:rPr>
  </w:style>
  <w:style w:type="paragraph" w:customStyle="1" w:styleId="aff0">
    <w:name w:val="默认"/>
    <w:qFormat/>
    <w:rPr>
      <w:rFonts w:ascii="Arial Unicode MS" w:eastAsia="Helvetica" w:hAnsi="Arial Unicode MS" w:cs="Arial Unicode MS" w:hint="eastAsia"/>
      <w:color w:val="000000"/>
      <w:sz w:val="22"/>
      <w:szCs w:val="22"/>
      <w:lang w:val="zh-CN"/>
    </w:rPr>
  </w:style>
  <w:style w:type="paragraph" w:customStyle="1" w:styleId="MessageHeading">
    <w:name w:val="Message Heading"/>
    <w:basedOn w:val="a"/>
    <w:next w:val="a"/>
    <w:pPr>
      <w:widowControl/>
      <w:spacing w:after="120" w:line="320" w:lineRule="atLeast"/>
      <w:jc w:val="left"/>
    </w:pPr>
    <w:rPr>
      <w:rFonts w:ascii="Frutiger 45 Light" w:eastAsia="华文楷体" w:hAnsi="Frutiger 45 Light"/>
      <w:b/>
      <w:color w:val="3783FF"/>
      <w:kern w:val="0"/>
      <w:sz w:val="28"/>
    </w:rPr>
  </w:style>
  <w:style w:type="paragraph" w:customStyle="1" w:styleId="SSE1">
    <w:name w:val="SSE标题1"/>
    <w:basedOn w:val="10"/>
    <w:link w:val="SSE1Char"/>
    <w:qFormat/>
    <w:pPr>
      <w:spacing w:before="0" w:after="120" w:line="240" w:lineRule="auto"/>
      <w:ind w:left="1232" w:hanging="630"/>
    </w:pPr>
    <w:rPr>
      <w:rFonts w:eastAsia="黑体"/>
      <w:sz w:val="30"/>
      <w:szCs w:val="30"/>
    </w:rPr>
  </w:style>
  <w:style w:type="character" w:customStyle="1" w:styleId="SSE1Char">
    <w:name w:val="SSE标题1 Char"/>
    <w:basedOn w:val="a0"/>
    <w:link w:val="SSE1"/>
    <w:qFormat/>
    <w:rPr>
      <w:rFonts w:eastAsia="黑体"/>
      <w:b/>
      <w:bCs/>
      <w:kern w:val="44"/>
      <w:sz w:val="30"/>
      <w:szCs w:val="30"/>
    </w:rPr>
  </w:style>
  <w:style w:type="paragraph" w:customStyle="1" w:styleId="SSE0">
    <w:name w:val="SSE标题0"/>
    <w:basedOn w:val="a"/>
    <w:link w:val="SSE0Char"/>
    <w:qFormat/>
    <w:pPr>
      <w:spacing w:before="100" w:beforeAutospacing="1" w:after="100" w:afterAutospacing="1"/>
      <w:jc w:val="center"/>
    </w:pPr>
    <w:rPr>
      <w:rFonts w:eastAsia="华文中宋"/>
      <w:b/>
      <w:sz w:val="44"/>
      <w:szCs w:val="44"/>
    </w:rPr>
  </w:style>
  <w:style w:type="character" w:customStyle="1" w:styleId="SSE0Char">
    <w:name w:val="SSE标题0 Char"/>
    <w:basedOn w:val="a0"/>
    <w:link w:val="SSE0"/>
    <w:rPr>
      <w:rFonts w:eastAsia="华文中宋"/>
      <w:b/>
      <w:kern w:val="2"/>
      <w:sz w:val="44"/>
      <w:szCs w:val="44"/>
    </w:rPr>
  </w:style>
  <w:style w:type="paragraph" w:customStyle="1" w:styleId="HTML">
    <w:name w:val="Стандартный HTML"/>
    <w:basedOn w:val="a"/>
    <w:pPr>
      <w:widowControl/>
      <w:suppressAutoHyphens/>
      <w:jc w:val="left"/>
    </w:pPr>
    <w:rPr>
      <w:rFonts w:ascii="Courier New" w:hAnsi="Courier New" w:cs="Courier New"/>
      <w:kern w:val="1"/>
      <w:sz w:val="20"/>
      <w:lang w:eastAsia="ar-SA"/>
    </w:rPr>
  </w:style>
  <w:style w:type="character" w:customStyle="1" w:styleId="ae">
    <w:name w:val="副标题 字符"/>
    <w:basedOn w:val="a0"/>
    <w:link w:val="ad"/>
    <w:rPr>
      <w:rFonts w:ascii="Cambria" w:hAnsi="Cambria" w:cs="Times New Roman"/>
      <w:b/>
      <w:bCs/>
      <w:kern w:val="28"/>
      <w:sz w:val="32"/>
      <w:szCs w:val="32"/>
    </w:rPr>
  </w:style>
  <w:style w:type="character" w:customStyle="1" w:styleId="1b">
    <w:name w:val="标题 字符1"/>
    <w:basedOn w:val="a0"/>
    <w:link w:val="af2"/>
    <w:rPr>
      <w:rFonts w:ascii="ClassGarmnd BT" w:eastAsia="宋体" w:hAnsi="ClassGarmnd BT" w:cs="ClassGarmnd BT"/>
      <w:b/>
      <w:kern w:val="1"/>
      <w:sz w:val="32"/>
      <w:lang w:val="en-AU" w:eastAsia="ar-SA"/>
    </w:rPr>
  </w:style>
  <w:style w:type="paragraph" w:customStyle="1" w:styleId="24">
    <w:name w:val="Основной текст 2"/>
    <w:basedOn w:val="a"/>
    <w:qFormat/>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ListParagraph1">
    <w:name w:val="List Paragraph1"/>
    <w:basedOn w:val="a"/>
    <w:qFormat/>
    <w:pPr>
      <w:suppressAutoHyphens/>
      <w:ind w:left="720"/>
    </w:pPr>
    <w:rPr>
      <w:kern w:val="1"/>
      <w:sz w:val="32"/>
      <w:szCs w:val="24"/>
      <w:lang w:eastAsia="ar-SA"/>
    </w:rPr>
  </w:style>
  <w:style w:type="paragraph" w:customStyle="1" w:styleId="Style1">
    <w:name w:val="Style1"/>
    <w:basedOn w:val="a"/>
    <w:qFormat/>
    <w:pPr>
      <w:numPr>
        <w:numId w:val="2"/>
      </w:numPr>
      <w:suppressAutoHyphens/>
    </w:pPr>
    <w:rPr>
      <w:kern w:val="1"/>
      <w:szCs w:val="24"/>
      <w:lang w:eastAsia="ar-SA"/>
    </w:rPr>
  </w:style>
  <w:style w:type="character" w:customStyle="1" w:styleId="Char2">
    <w:name w:val="语句 Char"/>
    <w:link w:val="aff1"/>
    <w:qFormat/>
    <w:locked/>
    <w:rPr>
      <w:rFonts w:ascii="仿宋_GB2312" w:eastAsia="仿宋_GB2312"/>
      <w:b/>
      <w:i/>
      <w:sz w:val="30"/>
      <w:szCs w:val="30"/>
    </w:rPr>
  </w:style>
  <w:style w:type="paragraph" w:customStyle="1" w:styleId="aff1">
    <w:name w:val="语句"/>
    <w:basedOn w:val="a"/>
    <w:link w:val="Char2"/>
    <w:qFormat/>
    <w:pPr>
      <w:widowControl/>
      <w:snapToGrid w:val="0"/>
      <w:spacing w:line="540" w:lineRule="exact"/>
      <w:ind w:firstLineChars="189" w:firstLine="567"/>
    </w:pPr>
    <w:rPr>
      <w:rFonts w:ascii="仿宋_GB2312" w:eastAsia="仿宋_GB2312"/>
      <w:b/>
      <w:i/>
      <w:kern w:val="0"/>
      <w:sz w:val="30"/>
      <w:szCs w:val="30"/>
    </w:rPr>
  </w:style>
  <w:style w:type="character" w:customStyle="1" w:styleId="KKChar">
    <w:name w:val="KK一级 Char"/>
    <w:link w:val="KK"/>
    <w:qFormat/>
    <w:locked/>
    <w:rPr>
      <w:rFonts w:ascii="仿宋_GB2312" w:eastAsia="仿宋_GB2312" w:hAnsi="Calibri"/>
      <w:b/>
      <w:bCs/>
      <w:sz w:val="30"/>
      <w:szCs w:val="30"/>
    </w:rPr>
  </w:style>
  <w:style w:type="paragraph" w:customStyle="1" w:styleId="KK">
    <w:name w:val="KK一级"/>
    <w:basedOn w:val="a"/>
    <w:link w:val="KKChar"/>
    <w:qFormat/>
    <w:pPr>
      <w:spacing w:line="600" w:lineRule="exact"/>
      <w:jc w:val="left"/>
    </w:pPr>
    <w:rPr>
      <w:rFonts w:ascii="仿宋_GB2312" w:eastAsia="仿宋_GB2312" w:hAnsi="Calibri"/>
      <w:b/>
      <w:bCs/>
      <w:kern w:val="0"/>
      <w:sz w:val="30"/>
      <w:szCs w:val="30"/>
    </w:rPr>
  </w:style>
  <w:style w:type="character" w:customStyle="1" w:styleId="KKChar0">
    <w:name w:val="KK二级 Char"/>
    <w:link w:val="KK0"/>
    <w:qFormat/>
    <w:locked/>
    <w:rPr>
      <w:rFonts w:ascii="仿宋_GB2312" w:eastAsia="仿宋_GB2312" w:hAnsi="Calibri"/>
      <w:b/>
      <w:bCs/>
      <w:sz w:val="30"/>
      <w:szCs w:val="30"/>
    </w:rPr>
  </w:style>
  <w:style w:type="paragraph" w:customStyle="1" w:styleId="KK0">
    <w:name w:val="KK二级"/>
    <w:basedOn w:val="a"/>
    <w:link w:val="KKChar0"/>
    <w:qFormat/>
    <w:pPr>
      <w:spacing w:line="600" w:lineRule="exact"/>
      <w:jc w:val="left"/>
    </w:pPr>
    <w:rPr>
      <w:rFonts w:ascii="仿宋_GB2312" w:eastAsia="仿宋_GB2312" w:hAnsi="Calibri"/>
      <w:b/>
      <w:bCs/>
      <w:kern w:val="0"/>
      <w:sz w:val="30"/>
      <w:szCs w:val="30"/>
    </w:rPr>
  </w:style>
  <w:style w:type="character" w:customStyle="1" w:styleId="eeeChar">
    <w:name w:val="eee Char"/>
    <w:link w:val="eee"/>
    <w:qFormat/>
    <w:locked/>
    <w:rPr>
      <w:rFonts w:ascii="宋体" w:hAnsi="宋体"/>
      <w:sz w:val="24"/>
      <w:szCs w:val="24"/>
    </w:rPr>
  </w:style>
  <w:style w:type="paragraph" w:customStyle="1" w:styleId="eee">
    <w:name w:val="eee"/>
    <w:basedOn w:val="a"/>
    <w:link w:val="eeeChar"/>
    <w:qFormat/>
    <w:pPr>
      <w:autoSpaceDE w:val="0"/>
      <w:autoSpaceDN w:val="0"/>
      <w:adjustRightInd w:val="0"/>
      <w:spacing w:line="360" w:lineRule="auto"/>
      <w:ind w:firstLineChars="200" w:firstLine="480"/>
    </w:pPr>
    <w:rPr>
      <w:rFonts w:ascii="宋体" w:hAnsi="宋体"/>
      <w:kern w:val="0"/>
      <w:sz w:val="24"/>
      <w:szCs w:val="24"/>
    </w:rPr>
  </w:style>
  <w:style w:type="character" w:customStyle="1" w:styleId="SSEChar0">
    <w:name w:val="SSE内容提要正文 Char"/>
    <w:link w:val="SSE2"/>
    <w:qFormat/>
    <w:locked/>
    <w:rPr>
      <w:rFonts w:ascii="仿宋_GB2312" w:eastAsia="仿宋_GB2312"/>
      <w:sz w:val="28"/>
    </w:rPr>
  </w:style>
  <w:style w:type="paragraph" w:customStyle="1" w:styleId="SSE2">
    <w:name w:val="SSE内容提要正文"/>
    <w:basedOn w:val="a"/>
    <w:link w:val="SSEChar0"/>
    <w:qFormat/>
    <w:pPr>
      <w:ind w:firstLineChars="200" w:firstLine="560"/>
    </w:pPr>
    <w:rPr>
      <w:rFonts w:ascii="仿宋_GB2312" w:eastAsia="仿宋_GB2312"/>
      <w:kern w:val="0"/>
      <w:sz w:val="28"/>
    </w:rPr>
  </w:style>
  <w:style w:type="character" w:customStyle="1" w:styleId="SSEChar1">
    <w:name w:val="SSE资料来源 Char"/>
    <w:link w:val="SSE3"/>
    <w:qFormat/>
    <w:locked/>
    <w:rPr>
      <w:rFonts w:ascii="仿宋_GB2312" w:eastAsia="仿宋_GB2312"/>
      <w:color w:val="000000"/>
    </w:rPr>
  </w:style>
  <w:style w:type="paragraph" w:customStyle="1" w:styleId="SSE3">
    <w:name w:val="SSE资料来源"/>
    <w:basedOn w:val="a"/>
    <w:link w:val="SSEChar1"/>
    <w:qFormat/>
    <w:pPr>
      <w:spacing w:after="100" w:afterAutospacing="1"/>
      <w:ind w:firstLineChars="200" w:firstLine="200"/>
    </w:pPr>
    <w:rPr>
      <w:rFonts w:ascii="仿宋_GB2312" w:eastAsia="仿宋_GB2312"/>
      <w:color w:val="000000"/>
      <w:kern w:val="0"/>
      <w:sz w:val="20"/>
    </w:rPr>
  </w:style>
  <w:style w:type="character" w:customStyle="1" w:styleId="SSE2Char">
    <w:name w:val="SSE标题2 Char"/>
    <w:link w:val="SSE20"/>
    <w:qFormat/>
    <w:locked/>
    <w:rPr>
      <w:rFonts w:ascii="仿宋_GB2312" w:eastAsia="仿宋_GB2312"/>
      <w:b/>
      <w:bCs/>
      <w:sz w:val="28"/>
      <w:szCs w:val="28"/>
    </w:rPr>
  </w:style>
  <w:style w:type="paragraph" w:customStyle="1" w:styleId="SSE20">
    <w:name w:val="SSE标题2"/>
    <w:basedOn w:val="2"/>
    <w:link w:val="SSE2Char"/>
    <w:qFormat/>
    <w:pPr>
      <w:spacing w:beforeLines="50" w:after="0" w:line="240" w:lineRule="auto"/>
    </w:pPr>
    <w:rPr>
      <w:rFonts w:ascii="仿宋_GB2312" w:eastAsia="仿宋_GB2312" w:hAnsi="Times New Roman"/>
      <w:sz w:val="28"/>
      <w:szCs w:val="28"/>
    </w:rPr>
  </w:style>
  <w:style w:type="character" w:customStyle="1" w:styleId="SSEChar2">
    <w:name w:val="SSE表格文字 Char"/>
    <w:link w:val="SSE4"/>
    <w:qFormat/>
    <w:locked/>
    <w:rPr>
      <w:rFonts w:ascii="仿宋_GB2312" w:eastAsia="仿宋_GB2312"/>
      <w:color w:val="000000"/>
      <w:sz w:val="24"/>
      <w:szCs w:val="24"/>
    </w:rPr>
  </w:style>
  <w:style w:type="paragraph" w:customStyle="1" w:styleId="SSE4">
    <w:name w:val="SSE表格文字"/>
    <w:basedOn w:val="a"/>
    <w:link w:val="SSEChar2"/>
    <w:qFormat/>
    <w:pPr>
      <w:widowControl/>
      <w:jc w:val="center"/>
    </w:pPr>
    <w:rPr>
      <w:rFonts w:ascii="仿宋_GB2312" w:eastAsia="仿宋_GB2312"/>
      <w:color w:val="000000"/>
      <w:kern w:val="0"/>
      <w:sz w:val="24"/>
      <w:szCs w:val="24"/>
    </w:rPr>
  </w:style>
  <w:style w:type="character" w:customStyle="1" w:styleId="SSEChar3">
    <w:name w:val="SSE图表标题 Char"/>
    <w:link w:val="SSE5"/>
    <w:qFormat/>
    <w:locked/>
    <w:rPr>
      <w:rFonts w:ascii="仿宋_GB2312" w:eastAsia="仿宋_GB2312"/>
      <w:b/>
      <w:bCs/>
      <w:color w:val="000000"/>
      <w:sz w:val="24"/>
      <w:szCs w:val="24"/>
    </w:rPr>
  </w:style>
  <w:style w:type="paragraph" w:customStyle="1" w:styleId="SSE5">
    <w:name w:val="SSE图表标题"/>
    <w:basedOn w:val="6"/>
    <w:link w:val="SSEChar3"/>
    <w:qFormat/>
    <w:pPr>
      <w:spacing w:beforeLines="50" w:after="0" w:line="240" w:lineRule="auto"/>
      <w:jc w:val="center"/>
    </w:pPr>
    <w:rPr>
      <w:rFonts w:ascii="仿宋_GB2312" w:eastAsia="仿宋_GB2312" w:hAnsi="Times New Roman"/>
      <w:color w:val="000000"/>
      <w:kern w:val="0"/>
    </w:rPr>
  </w:style>
  <w:style w:type="character" w:customStyle="1" w:styleId="1f0">
    <w:name w:val="标题 1 字符"/>
    <w:uiPriority w:val="9"/>
    <w:qFormat/>
    <w:rPr>
      <w:rFonts w:ascii="Calibri" w:eastAsia="宋体" w:hAnsi="Calibri" w:cs="Times New Roman" w:hint="default"/>
      <w:b/>
      <w:bCs/>
      <w:kern w:val="44"/>
      <w:sz w:val="44"/>
      <w:szCs w:val="44"/>
    </w:rPr>
  </w:style>
  <w:style w:type="character" w:customStyle="1" w:styleId="25">
    <w:name w:val="标题 2 字符"/>
    <w:uiPriority w:val="9"/>
    <w:semiHidden/>
    <w:qFormat/>
    <w:rPr>
      <w:rFonts w:ascii="Cambria" w:eastAsia="宋体" w:hAnsi="Cambria" w:cs="Times New Roman" w:hint="default"/>
      <w:b/>
      <w:bCs/>
      <w:sz w:val="32"/>
      <w:szCs w:val="32"/>
    </w:rPr>
  </w:style>
  <w:style w:type="character" w:customStyle="1" w:styleId="33">
    <w:name w:val="标题 3 字符"/>
    <w:uiPriority w:val="9"/>
    <w:semiHidden/>
    <w:qFormat/>
    <w:rPr>
      <w:rFonts w:ascii="Calibri" w:eastAsia="宋体" w:hAnsi="Calibri" w:cs="Times New Roman" w:hint="default"/>
      <w:b/>
      <w:bCs/>
      <w:sz w:val="32"/>
      <w:szCs w:val="32"/>
    </w:rPr>
  </w:style>
  <w:style w:type="character" w:customStyle="1" w:styleId="40">
    <w:name w:val="标题 4 字符"/>
    <w:uiPriority w:val="9"/>
    <w:semiHidden/>
    <w:qFormat/>
    <w:rPr>
      <w:rFonts w:ascii="Cambria" w:eastAsia="宋体" w:hAnsi="Cambria" w:cs="Times New Roman" w:hint="default"/>
      <w:b/>
      <w:bCs/>
      <w:sz w:val="28"/>
      <w:szCs w:val="28"/>
    </w:rPr>
  </w:style>
  <w:style w:type="character" w:customStyle="1" w:styleId="60">
    <w:name w:val="标题 6 字符"/>
    <w:uiPriority w:val="9"/>
    <w:semiHidden/>
    <w:qFormat/>
    <w:rPr>
      <w:rFonts w:ascii="Cambria" w:eastAsia="宋体" w:hAnsi="Cambria" w:cs="Times New Roman" w:hint="default"/>
      <w:b/>
      <w:bCs/>
      <w:sz w:val="24"/>
      <w:szCs w:val="24"/>
    </w:rPr>
  </w:style>
  <w:style w:type="character" w:customStyle="1" w:styleId="aff2">
    <w:name w:val="页眉 字符"/>
    <w:uiPriority w:val="99"/>
    <w:semiHidden/>
    <w:qFormat/>
    <w:rPr>
      <w:rFonts w:ascii="Calibri" w:eastAsia="宋体" w:hAnsi="Calibri" w:cs="Times New Roman" w:hint="default"/>
      <w:sz w:val="18"/>
      <w:szCs w:val="18"/>
    </w:rPr>
  </w:style>
  <w:style w:type="character" w:customStyle="1" w:styleId="aff3">
    <w:name w:val="页脚 字符"/>
    <w:uiPriority w:val="99"/>
    <w:semiHidden/>
    <w:qFormat/>
    <w:rPr>
      <w:rFonts w:ascii="Calibri" w:eastAsia="宋体" w:hAnsi="Calibri" w:cs="Times New Roman" w:hint="default"/>
      <w:sz w:val="18"/>
      <w:szCs w:val="18"/>
    </w:rPr>
  </w:style>
  <w:style w:type="character" w:customStyle="1" w:styleId="aff4">
    <w:name w:val="正文文本缩进 字符"/>
    <w:uiPriority w:val="99"/>
    <w:semiHidden/>
    <w:qFormat/>
    <w:rPr>
      <w:rFonts w:ascii="Calibri" w:eastAsia="宋体" w:hAnsi="Calibri" w:cs="Times New Roman" w:hint="default"/>
    </w:rPr>
  </w:style>
  <w:style w:type="character" w:customStyle="1" w:styleId="aff5">
    <w:name w:val="批注框文本 字符"/>
    <w:uiPriority w:val="99"/>
    <w:semiHidden/>
    <w:qFormat/>
    <w:rPr>
      <w:rFonts w:ascii="Calibri" w:eastAsia="宋体" w:hAnsi="Calibri" w:cs="Times New Roman" w:hint="default"/>
      <w:sz w:val="18"/>
      <w:szCs w:val="18"/>
    </w:rPr>
  </w:style>
  <w:style w:type="character" w:customStyle="1" w:styleId="aff6">
    <w:name w:val="日期 字符"/>
    <w:uiPriority w:val="99"/>
    <w:semiHidden/>
    <w:qFormat/>
    <w:rPr>
      <w:rFonts w:ascii="Calibri" w:eastAsia="宋体" w:hAnsi="Calibri" w:cs="Times New Roman" w:hint="default"/>
    </w:rPr>
  </w:style>
  <w:style w:type="character" w:customStyle="1" w:styleId="aff7">
    <w:name w:val="纯文本 字符"/>
    <w:uiPriority w:val="99"/>
    <w:semiHidden/>
    <w:qFormat/>
    <w:rPr>
      <w:rFonts w:ascii="宋体" w:eastAsia="宋体" w:hAnsi="Courier New" w:cs="Courier New" w:hint="eastAsia"/>
    </w:rPr>
  </w:style>
  <w:style w:type="character" w:customStyle="1" w:styleId="26">
    <w:name w:val="正文文本 2 字符"/>
    <w:uiPriority w:val="99"/>
    <w:semiHidden/>
    <w:qFormat/>
    <w:rPr>
      <w:rFonts w:ascii="Calibri" w:eastAsia="宋体" w:hAnsi="Calibri" w:cs="Times New Roman" w:hint="default"/>
    </w:rPr>
  </w:style>
  <w:style w:type="character" w:customStyle="1" w:styleId="Char15">
    <w:name w:val="尾注文本 Char1"/>
    <w:basedOn w:val="a0"/>
    <w:qFormat/>
    <w:locked/>
    <w:rPr>
      <w:rFonts w:ascii="Times New Roman" w:eastAsia="宋体" w:hAnsi="Times New Roman" w:cs="Times New Roman"/>
      <w:kern w:val="0"/>
      <w:sz w:val="24"/>
      <w:szCs w:val="24"/>
    </w:rPr>
  </w:style>
  <w:style w:type="character" w:customStyle="1" w:styleId="aff8">
    <w:name w:val="尾注文本 字符"/>
    <w:uiPriority w:val="99"/>
    <w:semiHidden/>
    <w:qFormat/>
    <w:rPr>
      <w:rFonts w:ascii="Calibri" w:eastAsia="宋体" w:hAnsi="Calibri" w:cs="Times New Roman" w:hint="default"/>
    </w:rPr>
  </w:style>
  <w:style w:type="character" w:customStyle="1" w:styleId="Char16">
    <w:name w:val="批注文字 Char1"/>
    <w:basedOn w:val="a0"/>
    <w:qFormat/>
    <w:locked/>
    <w:rPr>
      <w:rFonts w:ascii="Times New Roman" w:eastAsia="宋体" w:hAnsi="Times New Roman" w:cs="Times New Roman"/>
      <w:kern w:val="0"/>
      <w:sz w:val="24"/>
      <w:szCs w:val="24"/>
    </w:rPr>
  </w:style>
  <w:style w:type="character" w:customStyle="1" w:styleId="aff9">
    <w:name w:val="批注文字 字符"/>
    <w:uiPriority w:val="99"/>
    <w:semiHidden/>
    <w:qFormat/>
    <w:rPr>
      <w:rFonts w:ascii="Calibri" w:eastAsia="宋体" w:hAnsi="Calibri" w:cs="Times New Roman" w:hint="default"/>
    </w:rPr>
  </w:style>
  <w:style w:type="character" w:customStyle="1" w:styleId="affa">
    <w:name w:val="正文文本 字符"/>
    <w:uiPriority w:val="99"/>
    <w:semiHidden/>
    <w:rPr>
      <w:rFonts w:ascii="Calibri" w:eastAsia="宋体" w:hAnsi="Calibri" w:cs="Times New Roman" w:hint="default"/>
    </w:rPr>
  </w:style>
  <w:style w:type="character" w:customStyle="1" w:styleId="27">
    <w:name w:val="正文文本缩进 2 字符"/>
    <w:uiPriority w:val="99"/>
    <w:semiHidden/>
    <w:qFormat/>
    <w:rPr>
      <w:rFonts w:ascii="Calibri" w:eastAsia="宋体" w:hAnsi="Calibri" w:cs="Times New Roman" w:hint="default"/>
    </w:rPr>
  </w:style>
  <w:style w:type="character" w:customStyle="1" w:styleId="34">
    <w:name w:val="正文文本缩进 3 字符"/>
    <w:uiPriority w:val="99"/>
    <w:semiHidden/>
    <w:qFormat/>
    <w:rPr>
      <w:rFonts w:ascii="Calibri" w:eastAsia="宋体" w:hAnsi="Calibri" w:cs="Times New Roman" w:hint="default"/>
      <w:sz w:val="16"/>
      <w:szCs w:val="16"/>
    </w:rPr>
  </w:style>
  <w:style w:type="character" w:customStyle="1" w:styleId="35">
    <w:name w:val="正文文本 3 字符"/>
    <w:uiPriority w:val="99"/>
    <w:semiHidden/>
    <w:qFormat/>
    <w:rPr>
      <w:rFonts w:ascii="Calibri" w:eastAsia="宋体" w:hAnsi="Calibri" w:cs="Times New Roman" w:hint="default"/>
      <w:sz w:val="16"/>
      <w:szCs w:val="16"/>
    </w:rPr>
  </w:style>
  <w:style w:type="character" w:customStyle="1" w:styleId="affb">
    <w:name w:val="脚注文本 字符"/>
    <w:uiPriority w:val="99"/>
    <w:semiHidden/>
    <w:qFormat/>
    <w:rPr>
      <w:rFonts w:ascii="Calibri" w:eastAsia="宋体" w:hAnsi="Calibri" w:cs="Times New Roman" w:hint="default"/>
      <w:sz w:val="18"/>
      <w:szCs w:val="18"/>
    </w:rPr>
  </w:style>
  <w:style w:type="character" w:customStyle="1" w:styleId="Char17">
    <w:name w:val="批注主题 Char1"/>
    <w:basedOn w:val="Char16"/>
    <w:qFormat/>
    <w:locked/>
    <w:rPr>
      <w:rFonts w:ascii="Times New Roman" w:eastAsia="宋体" w:hAnsi="Times New Roman" w:cs="Times New Roman"/>
      <w:b/>
      <w:bCs/>
      <w:kern w:val="0"/>
      <w:sz w:val="24"/>
      <w:szCs w:val="24"/>
    </w:rPr>
  </w:style>
  <w:style w:type="character" w:customStyle="1" w:styleId="affc">
    <w:name w:val="批注主题 字符"/>
    <w:uiPriority w:val="99"/>
    <w:semiHidden/>
    <w:qFormat/>
    <w:rPr>
      <w:rFonts w:ascii="Calibri" w:eastAsia="宋体" w:hAnsi="Calibri" w:cs="Times New Roman" w:hint="default"/>
      <w:b/>
      <w:bCs/>
    </w:rPr>
  </w:style>
  <w:style w:type="character" w:customStyle="1" w:styleId="Char18">
    <w:name w:val="标题 Char1"/>
    <w:basedOn w:val="a0"/>
    <w:qFormat/>
    <w:locked/>
    <w:rPr>
      <w:rFonts w:ascii="Arial" w:eastAsia="宋体" w:hAnsi="Arial" w:cs="Times New Roman"/>
      <w:b/>
      <w:bCs/>
      <w:kern w:val="0"/>
      <w:sz w:val="32"/>
      <w:szCs w:val="32"/>
    </w:rPr>
  </w:style>
  <w:style w:type="character" w:customStyle="1" w:styleId="affd">
    <w:name w:val="标题 字符"/>
    <w:uiPriority w:val="10"/>
    <w:qFormat/>
    <w:rPr>
      <w:rFonts w:ascii="Cambria" w:eastAsia="宋体" w:hAnsi="Cambria" w:cs="Times New Roman" w:hint="default"/>
      <w:b/>
      <w:bCs/>
      <w:sz w:val="32"/>
      <w:szCs w:val="32"/>
    </w:rPr>
  </w:style>
  <w:style w:type="paragraph" w:customStyle="1" w:styleId="a40">
    <w:name w:val="a4"/>
    <w:basedOn w:val="a"/>
    <w:qFormat/>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等线" w:eastAsia="等线" w:hAnsi="宋体" w:cs="宋体"/>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Cs w:val="21"/>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e">
    <w:name w:val="正正正"/>
    <w:basedOn w:val="a"/>
    <w:link w:val="afff"/>
    <w:qFormat/>
    <w:pPr>
      <w:spacing w:line="560" w:lineRule="exact"/>
      <w:ind w:firstLineChars="200" w:firstLine="640"/>
    </w:pPr>
    <w:rPr>
      <w:rFonts w:ascii="仿宋_GB2312" w:eastAsia="仿宋_GB2312" w:hAnsi="仿宋_GB2312"/>
      <w:sz w:val="32"/>
      <w:szCs w:val="32"/>
    </w:rPr>
  </w:style>
  <w:style w:type="character" w:customStyle="1" w:styleId="afff">
    <w:name w:val="正正正 字符"/>
    <w:basedOn w:val="a0"/>
    <w:link w:val="affe"/>
    <w:qFormat/>
    <w:rPr>
      <w:rFonts w:ascii="仿宋_GB2312" w:eastAsia="仿宋_GB2312" w:hAnsi="仿宋_GB2312" w:cs="Times New Roman"/>
      <w:kern w:val="2"/>
      <w:sz w:val="32"/>
      <w:szCs w:val="32"/>
    </w:rPr>
  </w:style>
  <w:style w:type="character" w:customStyle="1" w:styleId="1f1">
    <w:name w:val="脚注文本 字符1"/>
    <w:basedOn w:val="a0"/>
    <w:qFormat/>
    <w:locked/>
    <w:rPr>
      <w:rFonts w:ascii="Times New Roman" w:eastAsia="宋体" w:hAnsi="Times New Roman" w:cs="Times New Roman"/>
      <w:kern w:val="0"/>
      <w:sz w:val="18"/>
      <w:szCs w:val="18"/>
    </w:rPr>
  </w:style>
  <w:style w:type="character" w:customStyle="1" w:styleId="fontstyle01">
    <w:name w:val="fontstyle01"/>
    <w:basedOn w:val="a0"/>
    <w:qFormat/>
    <w:rPr>
      <w:rFonts w:ascii="仿宋_GB2312" w:eastAsia="仿宋_GB2312" w:hint="eastAsia"/>
      <w:color w:val="000000"/>
      <w:sz w:val="30"/>
      <w:szCs w:val="30"/>
    </w:rPr>
  </w:style>
  <w:style w:type="character" w:customStyle="1" w:styleId="af1">
    <w:name w:val="普通(网站) 字符"/>
    <w:basedOn w:val="a0"/>
    <w:link w:val="af0"/>
    <w:uiPriority w:val="99"/>
    <w:qFormat/>
    <w:rPr>
      <w:rFonts w:ascii="宋体" w:hAnsi="宋体" w:cs="宋体"/>
      <w:sz w:val="24"/>
      <w:szCs w:val="24"/>
    </w:rPr>
  </w:style>
  <w:style w:type="paragraph" w:customStyle="1" w:styleId="1f2">
    <w:name w:val="修订1"/>
    <w:hidden/>
    <w:uiPriority w:val="99"/>
    <w:unhideWhenUsed/>
    <w:rPr>
      <w:kern w:val="2"/>
      <w:sz w:val="21"/>
    </w:rPr>
  </w:style>
  <w:style w:type="paragraph" w:styleId="afff0">
    <w:name w:val="Revision"/>
    <w:hidden/>
    <w:uiPriority w:val="99"/>
    <w:unhideWhenUsed/>
    <w:rsid w:val="001950D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wdzx97.dot</Template>
  <TotalTime>4</TotalTime>
  <Pages>12</Pages>
  <Words>911</Words>
  <Characters>5197</Characters>
  <DocSecurity>0</DocSecurity>
  <Lines>43</Lines>
  <Paragraphs>12</Paragraphs>
  <ScaleCrop>false</ScaleCrop>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2022-07-29T08:19:00Z</cp:lastPrinted>
  <dcterms:created xsi:type="dcterms:W3CDTF">2022-07-29T10:40:00Z</dcterms:created>
  <dcterms:modified xsi:type="dcterms:W3CDTF">2025-03-07T08:24:00Z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590FDDFDC803444BA552E0EF70D352BF</vt:lpwstr>
  </property>
</Properties>
</file>