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560"/>
        <w:jc w:val="start"/>
        <w:rPr>
          <w:rFonts w:eastAsia="黑体" w:cs="Times New Roman"/>
          <w:sz w:val="32"/>
          <w:szCs w:val="32"/>
          <w:lang w:eastAsia="zh"/>
        </w:rPr>
      </w:pPr>
      <w:r>
        <w:rPr>
          <w:rFonts w:ascii="Times New Roman" w:hAnsi="Times New Roman" w:cs="Times New Roman" w:eastAsia="黑体"/>
          <w:sz w:val="32"/>
          <w:szCs w:val="32"/>
          <w:lang w:eastAsia="zh"/>
        </w:rPr>
        <w:t>附件</w:t>
      </w:r>
      <w:r>
        <w:rPr>
          <w:rFonts w:eastAsia="黑体" w:cs="Times New Roman"/>
          <w:sz w:val="32"/>
          <w:szCs w:val="32"/>
          <w:lang w:eastAsia="zh"/>
        </w:rPr>
        <w:t>2</w:t>
      </w:r>
    </w:p>
    <w:p>
      <w:pPr>
        <w:pStyle w:val="Normal"/>
        <w:spacing w:lineRule="exact" w:line="560"/>
        <w:jc w:val="start"/>
        <w:rPr>
          <w:rFonts w:ascii="Times New Roman" w:hAnsi="Times New Roman" w:eastAsia="黑体" w:cs="Times New Roman"/>
          <w:sz w:val="32"/>
          <w:szCs w:val="32"/>
          <w:lang w:eastAsia="zh-CN"/>
        </w:rPr>
      </w:pPr>
      <w:r>
        <w:rPr>
          <w:rFonts w:eastAsia="黑体" w:cs="Times New Roman"/>
          <w:sz w:val="32"/>
          <w:szCs w:val="32"/>
          <w:lang w:eastAsia="zh-CN"/>
        </w:rPr>
      </w:r>
    </w:p>
    <w:p>
      <w:pPr>
        <w:pStyle w:val="Normal"/>
        <w:keepNext w:val="false"/>
        <w:keepLines w:val="false"/>
        <w:pageBreakBefore w:val="false"/>
        <w:widowControl w:val="false"/>
        <w:kinsoku w:val="true"/>
        <w:overflowPunct w:val="true"/>
        <w:autoSpaceDE w:val="true"/>
        <w:bidi w:val="0"/>
        <w:snapToGrid w:val="true"/>
        <w:spacing w:lineRule="exact" w:line="560"/>
        <w:jc w:val="center"/>
        <w:textAlignment w:val="auto"/>
        <w:rPr>
          <w:rFonts w:ascii="Times New Roman" w:hAnsi="Times New Roman" w:eastAsia="方正大标宋简体" w:cs="Times New Roman"/>
          <w:sz w:val="44"/>
          <w:szCs w:val="44"/>
        </w:rPr>
      </w:pPr>
      <w:r>
        <w:rPr>
          <w:rFonts w:ascii="Times New Roman" w:hAnsi="Times New Roman" w:cs="Times New Roman" w:eastAsia="方正大标宋简体"/>
          <w:sz w:val="44"/>
          <w:szCs w:val="44"/>
        </w:rPr>
        <w:t>《上海证券交易所公开募集基础设施证券投资基金（</w:t>
      </w:r>
      <w:r>
        <w:rPr>
          <w:rFonts w:eastAsia="方正大标宋简体" w:cs="Times New Roman"/>
          <w:sz w:val="44"/>
          <w:szCs w:val="44"/>
        </w:rPr>
        <w:t>REITs</w:t>
      </w:r>
      <w:r>
        <w:rPr>
          <w:rFonts w:ascii="Times New Roman" w:hAnsi="Times New Roman" w:cs="Times New Roman" w:eastAsia="方正大标宋简体"/>
          <w:sz w:val="44"/>
          <w:szCs w:val="44"/>
        </w:rPr>
        <w:t>）规则适用指引第</w:t>
      </w:r>
      <w:r>
        <w:rPr>
          <w:rFonts w:eastAsia="方正大标宋简体" w:cs="Times New Roman"/>
          <w:sz w:val="44"/>
          <w:szCs w:val="44"/>
        </w:rPr>
        <w:t>1</w:t>
      </w:r>
      <w:r>
        <w:rPr>
          <w:rFonts w:ascii="Times New Roman" w:hAnsi="Times New Roman" w:cs="Times New Roman" w:eastAsia="方正大标宋简体"/>
          <w:sz w:val="44"/>
          <w:szCs w:val="44"/>
        </w:rPr>
        <w:t>号</w:t>
      </w:r>
      <w:r>
        <w:rPr>
          <w:rFonts w:ascii="Times New Roman" w:hAnsi="Times New Roman" w:cs="Times New Roman" w:eastAsia="Times New Roman"/>
          <w:sz w:val="44"/>
          <w:szCs w:val="44"/>
        </w:rPr>
        <w:t>——</w:t>
      </w:r>
      <w:r>
        <w:rPr>
          <w:rFonts w:ascii="Times New Roman" w:hAnsi="Times New Roman" w:cs="Times New Roman" w:eastAsia="方正大标宋简体"/>
          <w:sz w:val="44"/>
          <w:szCs w:val="44"/>
        </w:rPr>
        <w:t>审核关注事项（试行）（</w:t>
      </w:r>
      <w:r>
        <w:rPr>
          <w:rFonts w:eastAsia="方正大标宋简体" w:cs="Times New Roman"/>
          <w:sz w:val="44"/>
          <w:szCs w:val="44"/>
        </w:rPr>
        <w:t>2024</w:t>
      </w:r>
      <w:r>
        <w:rPr>
          <w:rFonts w:ascii="Times New Roman" w:hAnsi="Times New Roman" w:cs="Times New Roman" w:eastAsia="方正大标宋简体"/>
          <w:sz w:val="44"/>
          <w:szCs w:val="44"/>
        </w:rPr>
        <w:t>年修订）》</w:t>
      </w:r>
    </w:p>
    <w:p>
      <w:pPr>
        <w:pStyle w:val="Normal"/>
        <w:keepNext w:val="false"/>
        <w:keepLines w:val="false"/>
        <w:pageBreakBefore w:val="false"/>
        <w:widowControl w:val="false"/>
        <w:kinsoku w:val="true"/>
        <w:overflowPunct w:val="true"/>
        <w:autoSpaceDE w:val="true"/>
        <w:bidi w:val="0"/>
        <w:snapToGrid w:val="true"/>
        <w:spacing w:lineRule="exact" w:line="560"/>
        <w:jc w:val="center"/>
        <w:textAlignment w:val="auto"/>
        <w:rPr>
          <w:rFonts w:ascii="Times New Roman" w:hAnsi="Times New Roman" w:eastAsia="方正大标宋简体" w:cs="Times New Roman"/>
          <w:sz w:val="44"/>
          <w:szCs w:val="44"/>
        </w:rPr>
      </w:pPr>
      <w:r>
        <w:rPr>
          <w:rFonts w:ascii="Times New Roman" w:hAnsi="Times New Roman" w:cs="Times New Roman" w:eastAsia="方正大标宋简体"/>
          <w:sz w:val="44"/>
          <w:szCs w:val="44"/>
        </w:rPr>
        <w:t>修订说明</w:t>
      </w:r>
    </w:p>
    <w:p>
      <w:pPr>
        <w:pStyle w:val="Normal"/>
        <w:snapToGrid w:val="false"/>
        <w:spacing w:lineRule="exact" w:line="560" w:before="0" w:after="0"/>
        <w:ind w:firstLine="640" w:end="0"/>
        <w:contextualSpacing/>
        <w:rPr>
          <w:rFonts w:ascii="Times New Roman" w:hAnsi="Times New Roman" w:eastAsia="仿宋_GB2312" w:cs="Times New Roman"/>
          <w:sz w:val="32"/>
          <w:szCs w:val="32"/>
        </w:rPr>
      </w:pPr>
      <w:r>
        <w:rPr>
          <w:rFonts w:eastAsia="仿宋_GB2312" w:cs="Times New Roman"/>
          <w:sz w:val="32"/>
          <w:szCs w:val="32"/>
        </w:rPr>
      </w:r>
    </w:p>
    <w:p>
      <w:pPr>
        <w:pStyle w:val="Normal"/>
        <w:keepNext w:val="false"/>
        <w:keepLines w:val="false"/>
        <w:pageBreakBefore w:val="false"/>
        <w:widowControl w:val="false"/>
        <w:kinsoku w:val="true"/>
        <w:overflowPunct w:val="true"/>
        <w:autoSpaceDE w:val="true"/>
        <w:bidi w:val="0"/>
        <w:snapToGrid w:val="true"/>
        <w:spacing w:lineRule="exact" w:line="560"/>
        <w:ind w:firstLine="640" w:end="0"/>
        <w:textAlignment w:val="auto"/>
        <w:rPr>
          <w:rFonts w:ascii="Times New Roman" w:hAnsi="Times New Roman" w:eastAsia="仿宋_GB2312" w:cs="Times New Roman"/>
          <w:sz w:val="32"/>
          <w:szCs w:val="32"/>
        </w:rPr>
      </w:pPr>
      <w:r>
        <w:rPr>
          <w:rFonts w:ascii="Times New Roman" w:hAnsi="Times New Roman" w:cs="Times New Roman" w:eastAsia="仿宋_GB2312"/>
          <w:sz w:val="32"/>
          <w:szCs w:val="32"/>
        </w:rPr>
        <w:t>为了贯彻落实《国务院关于加强监管防范风险推动资本市场高质量发展的若干意见》（国发〔</w:t>
      </w:r>
      <w:r>
        <w:rPr>
          <w:rFonts w:eastAsia="仿宋_GB2312" w:cs="Times New Roman"/>
          <w:sz w:val="32"/>
          <w:szCs w:val="32"/>
        </w:rPr>
        <w:t>2024</w:t>
      </w:r>
      <w:r>
        <w:rPr>
          <w:rFonts w:ascii="Times New Roman" w:hAnsi="Times New Roman" w:cs="Times New Roman" w:eastAsia="仿宋_GB2312"/>
          <w:sz w:val="32"/>
          <w:szCs w:val="32"/>
        </w:rPr>
        <w:t>〕</w:t>
      </w:r>
      <w:r>
        <w:rPr>
          <w:rFonts w:eastAsia="仿宋_GB2312" w:cs="Times New Roman"/>
          <w:sz w:val="32"/>
          <w:szCs w:val="32"/>
        </w:rPr>
        <w:t>10</w:t>
      </w:r>
      <w:r>
        <w:rPr>
          <w:rFonts w:ascii="Times New Roman" w:hAnsi="Times New Roman" w:cs="Times New Roman" w:eastAsia="仿宋_GB2312"/>
          <w:sz w:val="32"/>
          <w:szCs w:val="32"/>
        </w:rPr>
        <w:t>号）和中国证监会《关于进一步推进基础设施领域不动产投资信托基金（</w:t>
      </w:r>
      <w:r>
        <w:rPr>
          <w:rFonts w:eastAsia="仿宋_GB2312" w:cs="Times New Roman"/>
          <w:sz w:val="32"/>
          <w:szCs w:val="32"/>
        </w:rPr>
        <w:t>REITs</w:t>
      </w:r>
      <w:r>
        <w:rPr>
          <w:rFonts w:ascii="Times New Roman" w:hAnsi="Times New Roman" w:cs="Times New Roman" w:eastAsia="仿宋_GB2312"/>
          <w:sz w:val="32"/>
          <w:szCs w:val="32"/>
        </w:rPr>
        <w:t>）常态化发行相关工作的通知》（以下简称《常态化发行通知》）的要求，</w:t>
      </w:r>
      <w:r>
        <w:rPr>
          <w:rFonts w:ascii="Times New Roman" w:hAnsi="Times New Roman" w:cs="Times New Roman" w:eastAsia="仿宋_GB2312"/>
          <w:b w:val="false"/>
          <w:bCs w:val="false"/>
          <w:kern w:val="2"/>
          <w:sz w:val="32"/>
          <w:szCs w:val="32"/>
          <w:lang w:eastAsia="zh-CN"/>
        </w:rPr>
        <w:t>做深做实</w:t>
      </w:r>
      <w:r>
        <w:rPr>
          <w:rFonts w:ascii="仿宋_GB2312" w:hAnsi="仿宋_GB2312" w:cs="仿宋_GB2312" w:eastAsia="仿宋_GB2312"/>
          <w:b w:val="false"/>
          <w:bCs w:val="false"/>
          <w:kern w:val="2"/>
          <w:sz w:val="32"/>
          <w:szCs w:val="32"/>
        </w:rPr>
        <w:t>“开门办审核、开门办监管、开门办服务</w:t>
      </w:r>
      <w:r>
        <w:rPr>
          <w:rFonts w:ascii="仿宋_GB2312" w:hAnsi="仿宋_GB2312" w:cs="仿宋_GB2312" w:eastAsia="仿宋_GB2312"/>
          <w:b w:val="false"/>
          <w:bCs w:val="false"/>
          <w:kern w:val="2"/>
          <w:sz w:val="32"/>
          <w:szCs w:val="32"/>
          <w:lang w:eastAsia="zh-CN"/>
        </w:rPr>
        <w:t>”</w:t>
      </w:r>
      <w:r>
        <w:rPr>
          <w:rFonts w:ascii="Times New Roman" w:hAnsi="Times New Roman" w:cs="Times New Roman" w:eastAsia="仿宋_GB2312"/>
          <w:b w:val="false"/>
          <w:bCs w:val="false"/>
          <w:kern w:val="2"/>
          <w:sz w:val="32"/>
          <w:szCs w:val="32"/>
        </w:rPr>
        <w:t>工作</w:t>
      </w:r>
      <w:r>
        <w:rPr>
          <w:rFonts w:ascii="Times New Roman" w:hAnsi="Times New Roman" w:cs="Times New Roman" w:eastAsia="仿宋_GB2312"/>
          <w:sz w:val="32"/>
          <w:szCs w:val="32"/>
        </w:rPr>
        <w:t>，上海证券交易所（以下简称</w:t>
      </w:r>
      <w:r>
        <w:rPr>
          <w:rFonts w:ascii="Times New Roman" w:hAnsi="Times New Roman" w:cs="Times New Roman" w:eastAsia="仿宋_GB2312"/>
          <w:sz w:val="32"/>
          <w:szCs w:val="32"/>
          <w:lang w:eastAsia="zh-CN"/>
        </w:rPr>
        <w:t>本所</w:t>
      </w:r>
      <w:r>
        <w:rPr>
          <w:rFonts w:ascii="Times New Roman" w:hAnsi="Times New Roman" w:cs="Times New Roman" w:eastAsia="仿宋_GB2312"/>
          <w:sz w:val="32"/>
          <w:szCs w:val="32"/>
        </w:rPr>
        <w:t>）对《上海证券交易所公开募集基础设施证券投资基金（</w:t>
      </w:r>
      <w:r>
        <w:rPr>
          <w:rFonts w:eastAsia="仿宋_GB2312" w:cs="Times New Roman"/>
          <w:sz w:val="32"/>
          <w:szCs w:val="32"/>
        </w:rPr>
        <w:t>REITs</w:t>
      </w:r>
      <w:r>
        <w:rPr>
          <w:rFonts w:ascii="Times New Roman" w:hAnsi="Times New Roman" w:cs="Times New Roman" w:eastAsia="仿宋_GB2312"/>
          <w:sz w:val="32"/>
          <w:szCs w:val="32"/>
        </w:rPr>
        <w:t>）规则适用指引第</w:t>
      </w:r>
      <w:r>
        <w:rPr>
          <w:rFonts w:eastAsia="仿宋_GB2312" w:cs="Times New Roman"/>
          <w:sz w:val="32"/>
          <w:szCs w:val="32"/>
        </w:rPr>
        <w:t>1</w:t>
      </w:r>
      <w:r>
        <w:rPr>
          <w:rFonts w:ascii="Times New Roman" w:hAnsi="Times New Roman" w:cs="Times New Roman" w:eastAsia="仿宋_GB2312"/>
          <w:sz w:val="32"/>
          <w:szCs w:val="32"/>
        </w:rPr>
        <w:t>号</w:t>
      </w:r>
      <w:r>
        <w:rPr>
          <w:rFonts w:ascii="Times New Roman" w:hAnsi="Times New Roman" w:cs="Times New Roman" w:eastAsia="Times New Roman"/>
          <w:sz w:val="32"/>
          <w:szCs w:val="32"/>
        </w:rPr>
        <w:t>——</w:t>
      </w:r>
      <w:r>
        <w:rPr>
          <w:rFonts w:ascii="Times New Roman" w:hAnsi="Times New Roman" w:cs="Times New Roman" w:eastAsia="仿宋_GB2312"/>
          <w:sz w:val="32"/>
          <w:szCs w:val="32"/>
        </w:rPr>
        <w:t>审核关注事项（试行）（</w:t>
      </w:r>
      <w:r>
        <w:rPr>
          <w:rFonts w:eastAsia="仿宋_GB2312" w:cs="Times New Roman"/>
          <w:sz w:val="32"/>
          <w:szCs w:val="32"/>
        </w:rPr>
        <w:t>2023</w:t>
      </w:r>
      <w:r>
        <w:rPr>
          <w:rFonts w:ascii="Times New Roman" w:hAnsi="Times New Roman" w:cs="Times New Roman" w:eastAsia="仿宋_GB2312"/>
          <w:sz w:val="32"/>
          <w:szCs w:val="32"/>
        </w:rPr>
        <w:t>年修订）》（以下简称</w:t>
      </w:r>
      <w:r>
        <w:rPr>
          <w:rFonts w:ascii="Times New Roman" w:hAnsi="Times New Roman" w:cs="Times New Roman" w:eastAsia="仿宋_GB2312"/>
          <w:color w:val="000000"/>
          <w:sz w:val="32"/>
          <w:szCs w:val="32"/>
          <w:shd w:fill="FFFFFF" w:val="clear"/>
        </w:rPr>
        <w:t>《审核关注事项指引》</w:t>
      </w:r>
      <w:r>
        <w:rPr>
          <w:rFonts w:ascii="Times New Roman" w:hAnsi="Times New Roman" w:cs="Times New Roman" w:eastAsia="仿宋_GB2312"/>
          <w:sz w:val="32"/>
          <w:szCs w:val="32"/>
        </w:rPr>
        <w:t>）进行了修订，进一步推动公开募集基础设施证券投资基金（以下简称</w:t>
      </w:r>
      <w:bookmarkStart w:id="0" w:name="_Hlk183607604"/>
      <w:r>
        <w:rPr>
          <w:rFonts w:ascii="Times New Roman" w:hAnsi="Times New Roman" w:cs="Times New Roman" w:eastAsia="仿宋_GB2312"/>
          <w:sz w:val="32"/>
          <w:szCs w:val="32"/>
        </w:rPr>
        <w:t>基础设施</w:t>
      </w:r>
      <w:r>
        <w:rPr>
          <w:rFonts w:eastAsia="仿宋_GB2312" w:cs="Times New Roman"/>
          <w:sz w:val="32"/>
          <w:szCs w:val="32"/>
        </w:rPr>
        <w:t>REITs</w:t>
      </w:r>
      <w:bookmarkEnd w:id="0"/>
      <w:r>
        <w:rPr>
          <w:rFonts w:ascii="Times New Roman" w:hAnsi="Times New Roman" w:cs="Times New Roman" w:eastAsia="仿宋_GB2312"/>
          <w:sz w:val="32"/>
          <w:szCs w:val="32"/>
        </w:rPr>
        <w:t>）常态化发行，提升基础设施</w:t>
      </w:r>
      <w:r>
        <w:rPr>
          <w:rFonts w:eastAsia="仿宋_GB2312" w:cs="Times New Roman"/>
          <w:sz w:val="32"/>
          <w:szCs w:val="32"/>
        </w:rPr>
        <w:t>REITs</w:t>
      </w:r>
      <w:r>
        <w:rPr>
          <w:rFonts w:ascii="Times New Roman" w:hAnsi="Times New Roman" w:cs="Times New Roman" w:eastAsia="仿宋_GB2312"/>
          <w:sz w:val="32"/>
          <w:szCs w:val="32"/>
        </w:rPr>
        <w:t>核查及信息披露质量，保护投资者合法权益，促进市场高质量发展。</w:t>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exact" w:line="560"/>
        <w:ind w:firstLine="640" w:end="0"/>
        <w:textAlignment w:val="auto"/>
        <w:outlineLvl w:val="0"/>
        <w:rPr>
          <w:rFonts w:ascii="Times New Roman" w:hAnsi="Times New Roman" w:eastAsia="黑体" w:cs="Times New Roman"/>
          <w:bCs/>
          <w:sz w:val="32"/>
          <w:szCs w:val="32"/>
        </w:rPr>
      </w:pPr>
      <w:r>
        <w:rPr>
          <w:rFonts w:ascii="Times New Roman" w:hAnsi="Times New Roman" w:cs="Times New Roman" w:eastAsia="黑体"/>
          <w:bCs/>
          <w:sz w:val="32"/>
          <w:szCs w:val="32"/>
        </w:rPr>
        <w:t>一、修订背景</w:t>
      </w:r>
    </w:p>
    <w:p>
      <w:pPr>
        <w:pStyle w:val="Normal"/>
        <w:keepNext w:val="false"/>
        <w:keepLines w:val="false"/>
        <w:pageBreakBefore w:val="false"/>
        <w:widowControl w:val="false"/>
        <w:kinsoku w:val="true"/>
        <w:overflowPunct w:val="true"/>
        <w:autoSpaceDE w:val="true"/>
        <w:bidi w:val="0"/>
        <w:snapToGrid w:val="true"/>
        <w:spacing w:lineRule="exact" w:line="560"/>
        <w:ind w:firstLine="640" w:end="0"/>
        <w:textAlignment w:val="auto"/>
        <w:rPr>
          <w:rFonts w:ascii="Times New Roman" w:hAnsi="Times New Roman" w:eastAsia="仿宋_GB2312" w:cs="Times New Roman"/>
          <w:sz w:val="32"/>
          <w:szCs w:val="32"/>
        </w:rPr>
      </w:pPr>
      <w:r>
        <w:rPr>
          <w:rFonts w:eastAsia="仿宋_GB2312" w:cs="Times New Roman"/>
          <w:sz w:val="32"/>
          <w:szCs w:val="32"/>
        </w:rPr>
        <w:t>2023</w:t>
      </w:r>
      <w:r>
        <w:rPr>
          <w:rFonts w:ascii="Times New Roman" w:hAnsi="Times New Roman" w:cs="Times New Roman" w:eastAsia="仿宋_GB2312"/>
          <w:sz w:val="32"/>
          <w:szCs w:val="32"/>
        </w:rPr>
        <w:t>年</w:t>
      </w:r>
      <w:r>
        <w:rPr>
          <w:rFonts w:eastAsia="仿宋_GB2312" w:cs="Times New Roman"/>
          <w:sz w:val="32"/>
          <w:szCs w:val="32"/>
        </w:rPr>
        <w:t>3</w:t>
      </w:r>
      <w:r>
        <w:rPr>
          <w:rFonts w:ascii="Times New Roman" w:hAnsi="Times New Roman" w:cs="Times New Roman" w:eastAsia="仿宋_GB2312"/>
          <w:sz w:val="32"/>
          <w:szCs w:val="32"/>
        </w:rPr>
        <w:t>月，中国证监会发布了《常态化发行通知》，要求总结试点经验，对产业园区、收费公路等实践较多的资产类型，按照</w:t>
      </w:r>
      <w:r>
        <w:rPr>
          <w:rFonts w:ascii="仿宋_GB2312" w:hAnsi="仿宋_GB2312" w:cs="仿宋_GB2312" w:eastAsia="仿宋_GB2312"/>
          <w:sz w:val="32"/>
          <w:szCs w:val="32"/>
        </w:rPr>
        <w:t>“成熟一类、推出一类</w:t>
      </w:r>
      <w:r>
        <w:rPr>
          <w:rFonts w:ascii="仿宋_GB2312" w:hAnsi="仿宋_GB2312" w:cs="仿宋_GB2312" w:eastAsia="仿宋_GB2312"/>
          <w:sz w:val="32"/>
          <w:szCs w:val="32"/>
          <w:lang w:eastAsia="zh-CN"/>
        </w:rPr>
        <w:t>”</w:t>
      </w:r>
      <w:r>
        <w:rPr>
          <w:rFonts w:ascii="Times New Roman" w:hAnsi="Times New Roman" w:cs="Times New Roman" w:eastAsia="仿宋_GB2312"/>
          <w:sz w:val="32"/>
          <w:szCs w:val="32"/>
        </w:rPr>
        <w:t>的原则，细化完善审核标准和信息披露要求。</w:t>
      </w:r>
      <w:r>
        <w:rPr>
          <w:rFonts w:eastAsia="仿宋_GB2312" w:cs="Times New Roman"/>
          <w:sz w:val="32"/>
          <w:szCs w:val="32"/>
        </w:rPr>
        <w:t>2023</w:t>
      </w:r>
      <w:r>
        <w:rPr>
          <w:rFonts w:ascii="Times New Roman" w:hAnsi="Times New Roman" w:cs="Times New Roman" w:eastAsia="仿宋_GB2312"/>
          <w:sz w:val="32"/>
          <w:szCs w:val="32"/>
        </w:rPr>
        <w:t>年</w:t>
      </w:r>
      <w:r>
        <w:rPr>
          <w:rFonts w:eastAsia="仿宋_GB2312" w:cs="Times New Roman"/>
          <w:sz w:val="32"/>
          <w:szCs w:val="32"/>
        </w:rPr>
        <w:t>5</w:t>
      </w:r>
      <w:r>
        <w:rPr>
          <w:rFonts w:ascii="Times New Roman" w:hAnsi="Times New Roman" w:cs="Times New Roman" w:eastAsia="仿宋_GB2312"/>
          <w:sz w:val="32"/>
          <w:szCs w:val="32"/>
        </w:rPr>
        <w:t>月，</w:t>
      </w:r>
      <w:r>
        <w:rPr>
          <w:rFonts w:ascii="Times New Roman" w:hAnsi="Times New Roman" w:cs="Times New Roman" w:eastAsia="仿宋_GB2312"/>
          <w:sz w:val="32"/>
          <w:szCs w:val="32"/>
          <w:lang w:eastAsia="zh-CN"/>
        </w:rPr>
        <w:t>本所</w:t>
      </w:r>
      <w:r>
        <w:rPr>
          <w:rFonts w:ascii="Times New Roman" w:hAnsi="Times New Roman" w:cs="Times New Roman" w:eastAsia="仿宋_GB2312"/>
          <w:sz w:val="32"/>
          <w:szCs w:val="32"/>
        </w:rPr>
        <w:t>修订了《审核关注事项指引》，细化完善基础设施</w:t>
      </w:r>
      <w:r>
        <w:rPr>
          <w:rFonts w:eastAsia="仿宋_GB2312" w:cs="Times New Roman"/>
          <w:sz w:val="32"/>
          <w:szCs w:val="32"/>
        </w:rPr>
        <w:t>REITs</w:t>
      </w:r>
      <w:r>
        <w:rPr>
          <w:rFonts w:ascii="Times New Roman" w:hAnsi="Times New Roman" w:cs="Times New Roman" w:eastAsia="仿宋_GB2312"/>
          <w:sz w:val="32"/>
          <w:szCs w:val="32"/>
        </w:rPr>
        <w:t>审核关注事项，明确前期实践较多的产业园区、收费公路两类资产的审核标准和信息披露要求。规则发布以来，</w:t>
      </w:r>
      <w:r>
        <w:rPr>
          <w:rFonts w:ascii="Times New Roman" w:hAnsi="Times New Roman" w:cs="Times New Roman" w:eastAsia="仿宋_GB2312"/>
          <w:sz w:val="32"/>
          <w:szCs w:val="32"/>
          <w:lang w:eastAsia="zh-CN"/>
        </w:rPr>
        <w:t>本所</w:t>
      </w:r>
      <w:r>
        <w:rPr>
          <w:rFonts w:ascii="Times New Roman" w:hAnsi="Times New Roman" w:cs="Times New Roman" w:eastAsia="仿宋_GB2312"/>
          <w:sz w:val="32"/>
          <w:szCs w:val="32"/>
        </w:rPr>
        <w:t>基础设施</w:t>
      </w:r>
      <w:r>
        <w:rPr>
          <w:rFonts w:eastAsia="仿宋_GB2312" w:cs="Times New Roman"/>
          <w:sz w:val="32"/>
          <w:szCs w:val="32"/>
        </w:rPr>
        <w:t>REITs</w:t>
      </w:r>
      <w:r>
        <w:rPr>
          <w:rFonts w:ascii="Times New Roman" w:hAnsi="Times New Roman" w:cs="Times New Roman" w:eastAsia="仿宋_GB2312"/>
          <w:sz w:val="32"/>
          <w:szCs w:val="32"/>
        </w:rPr>
        <w:t>市场扩容增类稳步推进，底层资产范围已涵盖产业园区、收费公路、仓储物流、租赁住房、消费基础设施等。</w:t>
      </w:r>
    </w:p>
    <w:p>
      <w:pPr>
        <w:pStyle w:val="Normal"/>
        <w:keepNext w:val="false"/>
        <w:keepLines w:val="false"/>
        <w:pageBreakBefore w:val="false"/>
        <w:widowControl w:val="false"/>
        <w:kinsoku w:val="true"/>
        <w:overflowPunct w:val="true"/>
        <w:autoSpaceDE w:val="true"/>
        <w:bidi w:val="0"/>
        <w:snapToGrid w:val="true"/>
        <w:spacing w:lineRule="exact" w:line="560"/>
        <w:ind w:firstLine="640" w:end="0"/>
        <w:textAlignment w:val="auto"/>
        <w:rPr>
          <w:rFonts w:ascii="Times New Roman" w:hAnsi="Times New Roman" w:eastAsia="仿宋_GB2312" w:cs="Times New Roman"/>
          <w:sz w:val="32"/>
          <w:szCs w:val="32"/>
        </w:rPr>
      </w:pPr>
      <w:r>
        <w:rPr>
          <w:rFonts w:ascii="Times New Roman" w:hAnsi="Times New Roman" w:cs="Times New Roman" w:eastAsia="仿宋_GB2312"/>
          <w:sz w:val="32"/>
          <w:szCs w:val="32"/>
        </w:rPr>
        <w:t>按照《常态化发行通知》要求，</w:t>
      </w:r>
      <w:r>
        <w:rPr>
          <w:rFonts w:ascii="Times New Roman" w:hAnsi="Times New Roman" w:cs="Times New Roman" w:eastAsia="仿宋_GB2312"/>
          <w:sz w:val="32"/>
          <w:szCs w:val="32"/>
          <w:lang w:eastAsia="zh-CN"/>
        </w:rPr>
        <w:t>在中国证监会的统一部署下，本所</w:t>
      </w:r>
      <w:r>
        <w:rPr>
          <w:rFonts w:ascii="Times New Roman" w:hAnsi="Times New Roman" w:cs="Times New Roman" w:eastAsia="仿宋_GB2312"/>
          <w:sz w:val="32"/>
          <w:szCs w:val="32"/>
        </w:rPr>
        <w:t>及时总结基础设施</w:t>
      </w:r>
      <w:r>
        <w:rPr>
          <w:rFonts w:eastAsia="仿宋_GB2312" w:cs="Times New Roman"/>
          <w:sz w:val="32"/>
          <w:szCs w:val="32"/>
        </w:rPr>
        <w:t>REITs</w:t>
      </w:r>
      <w:r>
        <w:rPr>
          <w:rFonts w:ascii="Times New Roman" w:hAnsi="Times New Roman" w:cs="Times New Roman" w:eastAsia="仿宋_GB2312"/>
          <w:sz w:val="32"/>
          <w:szCs w:val="32"/>
        </w:rPr>
        <w:t>发行上市审核经验，对原有规则进行完善，细化核查及信息披露要求，进一步提升审核工作质效和透明度、明确市场预期，促进基础设施</w:t>
      </w:r>
      <w:r>
        <w:rPr>
          <w:rFonts w:eastAsia="仿宋_GB2312" w:cs="Times New Roman"/>
          <w:sz w:val="32"/>
          <w:szCs w:val="32"/>
        </w:rPr>
        <w:t>REITs</w:t>
      </w:r>
      <w:r>
        <w:rPr>
          <w:rFonts w:ascii="Times New Roman" w:hAnsi="Times New Roman" w:cs="Times New Roman" w:eastAsia="仿宋_GB2312"/>
          <w:sz w:val="32"/>
          <w:szCs w:val="32"/>
        </w:rPr>
        <w:t>市场健康发展。</w:t>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exact" w:line="560"/>
        <w:ind w:firstLine="600" w:end="0"/>
        <w:textAlignment w:val="auto"/>
        <w:outlineLvl w:val="0"/>
        <w:rPr>
          <w:rFonts w:ascii="Times New Roman" w:hAnsi="Times New Roman" w:eastAsia="黑体" w:cs="Times New Roman"/>
          <w:bCs/>
          <w:sz w:val="32"/>
          <w:szCs w:val="32"/>
        </w:rPr>
      </w:pPr>
      <w:r>
        <w:rPr>
          <w:rFonts w:ascii="Times New Roman" w:hAnsi="Times New Roman" w:cs="Times New Roman" w:eastAsia="黑体"/>
          <w:bCs/>
          <w:sz w:val="32"/>
          <w:szCs w:val="32"/>
        </w:rPr>
        <w:t>二、主要修订内容</w:t>
      </w:r>
    </w:p>
    <w:p>
      <w:pPr>
        <w:pStyle w:val="Normal"/>
        <w:spacing w:lineRule="exact" w:line="560"/>
        <w:ind w:firstLine="640" w:end="0"/>
        <w:rPr>
          <w:rFonts w:ascii="Times New Roman" w:hAnsi="Times New Roman" w:eastAsia="仿宋_GB2312" w:cs="Times New Roman"/>
          <w:sz w:val="32"/>
          <w:szCs w:val="32"/>
        </w:rPr>
      </w:pPr>
      <w:r>
        <w:rPr>
          <w:rFonts w:ascii="Times New Roman" w:hAnsi="Times New Roman" w:cs="Times New Roman" w:eastAsia="仿宋_GB2312"/>
          <w:sz w:val="32"/>
          <w:szCs w:val="32"/>
        </w:rPr>
        <w:t>本次修订后的《审核关注事项指引》内容包括一般规定及特殊规定。其中，一般规定明确了基础设施</w:t>
      </w:r>
      <w:r>
        <w:rPr>
          <w:rFonts w:eastAsia="仿宋_GB2312" w:cs="Times New Roman"/>
          <w:sz w:val="32"/>
          <w:szCs w:val="32"/>
        </w:rPr>
        <w:t>REITs</w:t>
      </w:r>
      <w:r>
        <w:rPr>
          <w:rFonts w:ascii="Times New Roman" w:hAnsi="Times New Roman" w:cs="Times New Roman" w:eastAsia="仿宋_GB2312"/>
          <w:sz w:val="32"/>
          <w:szCs w:val="32"/>
        </w:rPr>
        <w:t>各大类资产核查和信息披露的共性要求，特殊规定对产业园区、收费公路、租赁住房、仓储物流及消费基础设施各大类资产作了差异化的核查及信息披露要求。主要包括以下几方面内容。</w:t>
      </w:r>
    </w:p>
    <w:p>
      <w:pPr>
        <w:pStyle w:val="Normal"/>
        <w:spacing w:lineRule="exact" w:line="560"/>
        <w:ind w:firstLine="640" w:end="0"/>
        <w:rPr>
          <w:rFonts w:ascii="Times New Roman" w:hAnsi="Times New Roman" w:eastAsia="仿宋_GB2312" w:cs="Times New Roman"/>
          <w:sz w:val="32"/>
          <w:szCs w:val="32"/>
        </w:rPr>
      </w:pPr>
      <w:r>
        <w:rPr>
          <w:rFonts w:ascii="Times New Roman" w:hAnsi="Times New Roman" w:cs="Times New Roman" w:eastAsia="仿宋_GB2312"/>
          <w:sz w:val="32"/>
          <w:szCs w:val="32"/>
          <w:lang w:eastAsia="zh-CN"/>
        </w:rPr>
        <w:t>一是</w:t>
      </w:r>
      <w:r>
        <w:rPr>
          <w:rFonts w:ascii="Times New Roman" w:hAnsi="Times New Roman" w:cs="Times New Roman" w:eastAsia="仿宋_GB2312"/>
          <w:sz w:val="32"/>
          <w:szCs w:val="32"/>
        </w:rPr>
        <w:t>优化篇章结构，进一步增强内容的逻辑性及可读性。优化一般规定的章节排布，分为</w:t>
      </w:r>
      <w:r>
        <w:rPr>
          <w:rFonts w:ascii="仿宋_GB2312" w:hAnsi="仿宋_GB2312" w:cs="仿宋_GB2312" w:eastAsia="仿宋_GB2312"/>
          <w:sz w:val="32"/>
          <w:szCs w:val="32"/>
        </w:rPr>
        <w:t>“总则</w:t>
      </w:r>
      <w:r>
        <w:rPr>
          <w:rFonts w:ascii="仿宋_GB2312" w:hAnsi="仿宋_GB2312" w:cs="仿宋_GB2312" w:eastAsia="仿宋_GB2312"/>
          <w:sz w:val="32"/>
          <w:szCs w:val="32"/>
          <w:lang w:eastAsia="zh-CN"/>
        </w:rPr>
        <w:t>”</w:t>
      </w:r>
      <w:r>
        <w:rPr>
          <w:rFonts w:ascii="仿宋_GB2312" w:hAnsi="仿宋_GB2312" w:cs="仿宋_GB2312" w:eastAsia="仿宋_GB2312"/>
          <w:sz w:val="32"/>
          <w:szCs w:val="32"/>
        </w:rPr>
        <w:t>“业务参与人</w:t>
      </w:r>
      <w:r>
        <w:rPr>
          <w:rFonts w:ascii="仿宋_GB2312" w:hAnsi="仿宋_GB2312" w:cs="仿宋_GB2312" w:eastAsia="仿宋_GB2312"/>
          <w:sz w:val="32"/>
          <w:szCs w:val="32"/>
          <w:lang w:eastAsia="zh-CN"/>
        </w:rPr>
        <w:t>”</w:t>
      </w:r>
      <w:r>
        <w:rPr>
          <w:rFonts w:ascii="仿宋_GB2312" w:hAnsi="仿宋_GB2312" w:cs="仿宋_GB2312" w:eastAsia="仿宋_GB2312"/>
          <w:sz w:val="32"/>
          <w:szCs w:val="32"/>
        </w:rPr>
        <w:t>“基础设施项目一般规定</w:t>
      </w:r>
      <w:r>
        <w:rPr>
          <w:rFonts w:ascii="仿宋_GB2312" w:hAnsi="仿宋_GB2312" w:cs="仿宋_GB2312" w:eastAsia="仿宋_GB2312"/>
          <w:sz w:val="32"/>
          <w:szCs w:val="32"/>
          <w:lang w:eastAsia="zh-CN"/>
        </w:rPr>
        <w:t>”</w:t>
      </w:r>
      <w:r>
        <w:rPr>
          <w:rFonts w:ascii="仿宋_GB2312" w:hAnsi="仿宋_GB2312" w:cs="仿宋_GB2312" w:eastAsia="仿宋_GB2312"/>
          <w:sz w:val="32"/>
          <w:szCs w:val="32"/>
        </w:rPr>
        <w:t>“基金的设立、运作、终止</w:t>
      </w:r>
      <w:r>
        <w:rPr>
          <w:rFonts w:ascii="仿宋_GB2312" w:hAnsi="仿宋_GB2312" w:cs="仿宋_GB2312" w:eastAsia="仿宋_GB2312"/>
          <w:sz w:val="32"/>
          <w:szCs w:val="32"/>
          <w:lang w:eastAsia="zh-CN"/>
        </w:rPr>
        <w:t>”</w:t>
      </w:r>
      <w:r>
        <w:rPr>
          <w:rFonts w:ascii="仿宋_GB2312" w:hAnsi="仿宋_GB2312" w:cs="仿宋_GB2312" w:eastAsia="仿宋_GB2312"/>
          <w:sz w:val="32"/>
          <w:szCs w:val="32"/>
        </w:rPr>
        <w:t>“</w:t>
      </w:r>
      <w:r>
        <w:rPr>
          <w:rFonts w:ascii="仿宋_GB2312" w:hAnsi="仿宋_GB2312" w:cs="仿宋_GB2312" w:eastAsia="仿宋_GB2312"/>
          <w:sz w:val="32"/>
          <w:szCs w:val="32"/>
          <w:lang w:eastAsia="zh-CN"/>
        </w:rPr>
        <w:t>基础设施项目运营管理安排”</w:t>
      </w:r>
      <w:r>
        <w:rPr>
          <w:rFonts w:ascii="仿宋_GB2312" w:hAnsi="仿宋_GB2312" w:cs="仿宋_GB2312" w:eastAsia="仿宋_GB2312"/>
          <w:sz w:val="32"/>
          <w:szCs w:val="32"/>
          <w:lang w:eastAsia="zh"/>
        </w:rPr>
        <w:t>以及“附则”六</w:t>
      </w:r>
      <w:r>
        <w:rPr>
          <w:rFonts w:ascii="仿宋_GB2312" w:hAnsi="仿宋_GB2312" w:cs="仿宋_GB2312" w:eastAsia="仿宋_GB2312"/>
          <w:sz w:val="32"/>
          <w:szCs w:val="32"/>
        </w:rPr>
        <w:t>章</w:t>
      </w:r>
      <w:r>
        <w:rPr>
          <w:rFonts w:ascii="仿宋_GB2312" w:hAnsi="仿宋_GB2312" w:cs="仿宋_GB2312" w:eastAsia="仿宋_GB2312"/>
          <w:sz w:val="32"/>
          <w:szCs w:val="32"/>
          <w:lang w:eastAsia="zh-CN"/>
        </w:rPr>
        <w:t>。</w:t>
      </w:r>
      <w:r>
        <w:rPr>
          <w:rFonts w:ascii="仿宋_GB2312" w:hAnsi="仿宋_GB2312" w:cs="仿宋_GB2312" w:eastAsia="仿宋_GB2312"/>
          <w:sz w:val="32"/>
          <w:szCs w:val="32"/>
        </w:rPr>
        <w:t>针对“基础设施项目一般规定</w:t>
      </w:r>
      <w:r>
        <w:rPr>
          <w:rFonts w:ascii="仿宋_GB2312" w:hAnsi="仿宋_GB2312" w:cs="仿宋_GB2312" w:eastAsia="仿宋_GB2312"/>
          <w:sz w:val="32"/>
          <w:szCs w:val="32"/>
          <w:lang w:eastAsia="zh-CN"/>
        </w:rPr>
        <w:t>”</w:t>
      </w:r>
      <w:r>
        <w:rPr>
          <w:rFonts w:ascii="仿宋_GB2312" w:hAnsi="仿宋_GB2312" w:cs="仿宋_GB2312" w:eastAsia="仿宋_GB2312"/>
          <w:sz w:val="32"/>
          <w:szCs w:val="32"/>
        </w:rPr>
        <w:t>相关要求，细化为“项目准入要求</w:t>
      </w:r>
      <w:r>
        <w:rPr>
          <w:rFonts w:ascii="仿宋_GB2312" w:hAnsi="仿宋_GB2312" w:cs="仿宋_GB2312" w:eastAsia="仿宋_GB2312"/>
          <w:sz w:val="32"/>
          <w:szCs w:val="32"/>
          <w:lang w:eastAsia="zh-CN"/>
        </w:rPr>
        <w:t>”</w:t>
      </w:r>
      <w:r>
        <w:rPr>
          <w:rFonts w:ascii="仿宋_GB2312" w:hAnsi="仿宋_GB2312" w:cs="仿宋_GB2312" w:eastAsia="仿宋_GB2312"/>
          <w:sz w:val="32"/>
          <w:szCs w:val="32"/>
        </w:rPr>
        <w:t>“项目经营</w:t>
      </w:r>
      <w:r>
        <w:rPr>
          <w:rFonts w:ascii="仿宋_GB2312" w:hAnsi="仿宋_GB2312" w:cs="仿宋_GB2312" w:eastAsia="仿宋_GB2312"/>
          <w:sz w:val="32"/>
          <w:szCs w:val="32"/>
          <w:lang w:eastAsia="zh-CN"/>
        </w:rPr>
        <w:t>与</w:t>
      </w:r>
      <w:r>
        <w:rPr>
          <w:rFonts w:ascii="仿宋_GB2312" w:hAnsi="仿宋_GB2312" w:cs="仿宋_GB2312" w:eastAsia="仿宋_GB2312"/>
          <w:sz w:val="32"/>
          <w:szCs w:val="32"/>
        </w:rPr>
        <w:t>财务情况</w:t>
      </w:r>
      <w:r>
        <w:rPr>
          <w:rFonts w:ascii="仿宋_GB2312" w:hAnsi="仿宋_GB2312" w:cs="仿宋_GB2312" w:eastAsia="仿宋_GB2312"/>
          <w:sz w:val="32"/>
          <w:szCs w:val="32"/>
          <w:lang w:eastAsia="zh-CN"/>
        </w:rPr>
        <w:t>”</w:t>
      </w:r>
      <w:r>
        <w:rPr>
          <w:rFonts w:ascii="仿宋_GB2312" w:hAnsi="仿宋_GB2312" w:cs="仿宋_GB2312" w:eastAsia="仿宋_GB2312"/>
          <w:sz w:val="32"/>
          <w:szCs w:val="32"/>
        </w:rPr>
        <w:t>及“资产评估</w:t>
      </w:r>
      <w:r>
        <w:rPr>
          <w:rFonts w:ascii="仿宋_GB2312" w:hAnsi="仿宋_GB2312" w:cs="仿宋_GB2312" w:eastAsia="仿宋_GB2312"/>
          <w:sz w:val="32"/>
          <w:szCs w:val="32"/>
          <w:lang w:eastAsia="zh-CN"/>
        </w:rPr>
        <w:t>”</w:t>
      </w:r>
      <w:r>
        <w:rPr>
          <w:rFonts w:ascii="仿宋_GB2312" w:hAnsi="仿宋_GB2312" w:cs="仿宋_GB2312" w:eastAsia="仿宋_GB2312"/>
          <w:sz w:val="32"/>
          <w:szCs w:val="32"/>
        </w:rPr>
        <w:t>三个小节</w:t>
      </w:r>
      <w:r>
        <w:rPr>
          <w:rFonts w:ascii="Times New Roman" w:hAnsi="Times New Roman" w:cs="Times New Roman" w:eastAsia="仿宋_GB2312"/>
          <w:sz w:val="32"/>
          <w:szCs w:val="32"/>
          <w:lang w:eastAsia="zh-CN"/>
        </w:rPr>
        <w:t>。</w:t>
      </w:r>
      <w:r>
        <w:rPr>
          <w:rFonts w:ascii="Times New Roman" w:hAnsi="Times New Roman" w:cs="Times New Roman" w:eastAsia="仿宋_GB2312"/>
          <w:sz w:val="32"/>
          <w:szCs w:val="32"/>
        </w:rPr>
        <w:t>根据产业园区、收费公路、租赁住房、仓储物流及消费基础设施各大类基础资产的特殊情况，细化了基础设施项目基本情况、经营</w:t>
      </w:r>
      <w:r>
        <w:rPr>
          <w:rFonts w:cs="Times New Roman" w:eastAsia="仿宋_GB2312"/>
          <w:sz w:val="32"/>
          <w:szCs w:val="32"/>
          <w:lang w:eastAsia="zh-CN"/>
        </w:rPr>
        <w:t>与</w:t>
      </w:r>
      <w:r>
        <w:rPr>
          <w:rFonts w:ascii="Times New Roman" w:hAnsi="Times New Roman" w:cs="Times New Roman" w:eastAsia="仿宋_GB2312"/>
          <w:sz w:val="32"/>
          <w:szCs w:val="32"/>
        </w:rPr>
        <w:t>财务情况、资产评估、运营管理安排等方面差异化的核查和信息披露要求。同时，为便于市场参与主体使用，</w:t>
      </w:r>
      <w:r>
        <w:rPr>
          <w:rFonts w:cs="Times New Roman" w:eastAsia="仿宋_GB2312"/>
          <w:sz w:val="32"/>
          <w:szCs w:val="32"/>
          <w:lang w:eastAsia="zh-CN"/>
        </w:rPr>
        <w:t>以指引附件形式明确了</w:t>
      </w:r>
      <w:r>
        <w:rPr>
          <w:rFonts w:ascii="Times New Roman" w:hAnsi="Times New Roman" w:cs="Times New Roman" w:eastAsia="仿宋_GB2312"/>
          <w:sz w:val="32"/>
          <w:szCs w:val="32"/>
        </w:rPr>
        <w:t>大类基础资产差异化</w:t>
      </w:r>
      <w:r>
        <w:rPr>
          <w:rFonts w:cs="Times New Roman" w:eastAsia="仿宋_GB2312"/>
          <w:sz w:val="32"/>
          <w:szCs w:val="32"/>
          <w:lang w:eastAsia="zh-CN"/>
        </w:rPr>
        <w:t>的</w:t>
      </w:r>
      <w:r>
        <w:rPr>
          <w:rFonts w:ascii="Times New Roman" w:hAnsi="Times New Roman" w:cs="Times New Roman" w:eastAsia="仿宋_GB2312"/>
          <w:sz w:val="32"/>
          <w:szCs w:val="32"/>
        </w:rPr>
        <w:t>核查及信息披露要求。</w:t>
      </w:r>
    </w:p>
    <w:p>
      <w:pPr>
        <w:pStyle w:val="Normal"/>
        <w:keepNext w:val="false"/>
        <w:keepLines w:val="false"/>
        <w:pageBreakBefore w:val="false"/>
        <w:widowControl w:val="false"/>
        <w:kinsoku w:val="true"/>
        <w:overflowPunct w:val="true"/>
        <w:autoSpaceDE w:val="true"/>
        <w:bidi w:val="0"/>
        <w:snapToGrid w:val="true"/>
        <w:spacing w:lineRule="exact" w:line="560"/>
        <w:ind w:firstLine="640" w:end="0"/>
        <w:textAlignment w:val="auto"/>
        <w:rPr>
          <w:rFonts w:ascii="Times New Roman" w:hAnsi="Times New Roman" w:eastAsia="仿宋_GB2312" w:cs="Times New Roman"/>
          <w:sz w:val="32"/>
          <w:szCs w:val="32"/>
        </w:rPr>
      </w:pPr>
      <w:r>
        <w:rPr>
          <w:rFonts w:ascii="Times New Roman" w:hAnsi="Times New Roman" w:cs="Times New Roman" w:eastAsia="仿宋_GB2312"/>
          <w:b w:val="false"/>
          <w:sz w:val="32"/>
          <w:szCs w:val="32"/>
          <w:lang w:eastAsia="zh-CN"/>
        </w:rPr>
        <w:t>二是</w:t>
      </w:r>
      <w:r>
        <w:rPr>
          <w:rFonts w:ascii="Times New Roman" w:hAnsi="Times New Roman" w:cs="Times New Roman" w:eastAsia="仿宋_GB2312"/>
          <w:b w:val="false"/>
          <w:sz w:val="32"/>
          <w:szCs w:val="32"/>
        </w:rPr>
        <w:t>细化核查及信息披露、评估及运营管理要求。</w:t>
      </w:r>
      <w:r>
        <w:rPr>
          <w:rFonts w:ascii="Times New Roman" w:hAnsi="Times New Roman" w:cs="Times New Roman" w:eastAsia="仿宋_GB2312"/>
          <w:sz w:val="32"/>
          <w:szCs w:val="32"/>
        </w:rPr>
        <w:t>进一步明确基础设施项目共性的核查及信息披露内容</w:t>
      </w:r>
      <w:r>
        <w:rPr>
          <w:rFonts w:cs="Times New Roman" w:eastAsia="仿宋_GB2312"/>
          <w:sz w:val="32"/>
          <w:szCs w:val="32"/>
          <w:lang w:eastAsia="zh-CN"/>
        </w:rPr>
        <w:t>，</w:t>
      </w:r>
      <w:r>
        <w:rPr>
          <w:rFonts w:ascii="仿宋_GB2312" w:hAnsi="仿宋_GB2312" w:cs="仿宋_GB2312" w:eastAsia="仿宋_GB2312"/>
          <w:sz w:val="32"/>
          <w:szCs w:val="32"/>
        </w:rPr>
        <w:t>“业务参与人</w:t>
      </w:r>
      <w:r>
        <w:rPr>
          <w:rFonts w:ascii="仿宋_GB2312" w:hAnsi="仿宋_GB2312" w:cs="仿宋_GB2312" w:eastAsia="仿宋_GB2312"/>
          <w:sz w:val="32"/>
          <w:szCs w:val="32"/>
          <w:lang w:eastAsia="zh-CN"/>
        </w:rPr>
        <w:t>”</w:t>
      </w:r>
      <w:r>
        <w:rPr>
          <w:rFonts w:ascii="仿宋_GB2312" w:hAnsi="仿宋_GB2312" w:cs="仿宋_GB2312" w:eastAsia="仿宋_GB2312"/>
          <w:sz w:val="32"/>
          <w:szCs w:val="32"/>
        </w:rPr>
        <w:t>和</w:t>
      </w:r>
      <w:r>
        <w:rPr>
          <w:rFonts w:ascii="仿宋_GB2312" w:hAnsi="仿宋_GB2312" w:cs="仿宋_GB2312" w:eastAsia="仿宋_GB2312"/>
          <w:sz w:val="32"/>
          <w:szCs w:val="32"/>
          <w:lang w:eastAsia="zh-CN"/>
        </w:rPr>
        <w:t>“</w:t>
      </w:r>
      <w:r>
        <w:rPr>
          <w:rFonts w:ascii="仿宋_GB2312" w:hAnsi="仿宋_GB2312" w:cs="仿宋_GB2312" w:eastAsia="仿宋_GB2312"/>
          <w:sz w:val="32"/>
          <w:szCs w:val="32"/>
        </w:rPr>
        <w:t>项目准入要求</w:t>
      </w:r>
      <w:r>
        <w:rPr>
          <w:rFonts w:ascii="仿宋_GB2312" w:hAnsi="仿宋_GB2312" w:cs="仿宋_GB2312" w:eastAsia="仿宋_GB2312"/>
          <w:sz w:val="32"/>
          <w:szCs w:val="32"/>
          <w:lang w:eastAsia="zh-CN"/>
        </w:rPr>
        <w:t>”</w:t>
      </w:r>
      <w:r>
        <w:rPr>
          <w:rFonts w:ascii="仿宋_GB2312" w:hAnsi="仿宋_GB2312" w:cs="仿宋_GB2312" w:eastAsia="仿宋_GB2312"/>
          <w:sz w:val="32"/>
          <w:szCs w:val="32"/>
        </w:rPr>
        <w:t>章节规定了参与机构、</w:t>
      </w:r>
      <w:r>
        <w:rPr>
          <w:rFonts w:ascii="仿宋_GB2312" w:hAnsi="仿宋_GB2312" w:cs="仿宋_GB2312" w:eastAsia="仿宋_GB2312"/>
          <w:sz w:val="32"/>
          <w:szCs w:val="32"/>
          <w:lang w:eastAsia="zh"/>
        </w:rPr>
        <w:t>基础设施</w:t>
      </w:r>
      <w:r>
        <w:rPr>
          <w:rFonts w:ascii="仿宋_GB2312" w:hAnsi="仿宋_GB2312" w:cs="仿宋_GB2312" w:eastAsia="仿宋_GB2312"/>
          <w:sz w:val="32"/>
          <w:szCs w:val="32"/>
        </w:rPr>
        <w:t>项目及基础资产的准入要求</w:t>
      </w:r>
      <w:r>
        <w:rPr>
          <w:rFonts w:ascii="仿宋_GB2312" w:hAnsi="仿宋_GB2312" w:cs="仿宋_GB2312" w:eastAsia="仿宋_GB2312"/>
          <w:sz w:val="32"/>
          <w:szCs w:val="32"/>
          <w:lang w:eastAsia="zh-CN"/>
        </w:rPr>
        <w:t>，</w:t>
      </w:r>
      <w:r>
        <w:rPr>
          <w:rFonts w:ascii="仿宋_GB2312" w:hAnsi="仿宋_GB2312" w:cs="仿宋_GB2312" w:eastAsia="仿宋_GB2312"/>
          <w:sz w:val="32"/>
          <w:szCs w:val="32"/>
        </w:rPr>
        <w:t>“项目经营</w:t>
      </w:r>
      <w:r>
        <w:rPr>
          <w:rFonts w:ascii="仿宋_GB2312" w:hAnsi="仿宋_GB2312" w:cs="仿宋_GB2312" w:eastAsia="仿宋_GB2312"/>
          <w:sz w:val="32"/>
          <w:szCs w:val="32"/>
          <w:lang w:eastAsia="zh-CN"/>
        </w:rPr>
        <w:t>与</w:t>
      </w:r>
      <w:r>
        <w:rPr>
          <w:rFonts w:ascii="仿宋_GB2312" w:hAnsi="仿宋_GB2312" w:cs="仿宋_GB2312" w:eastAsia="仿宋_GB2312"/>
          <w:sz w:val="32"/>
          <w:szCs w:val="32"/>
        </w:rPr>
        <w:t>财务情况</w:t>
      </w:r>
      <w:r>
        <w:rPr>
          <w:rFonts w:ascii="仿宋_GB2312" w:hAnsi="仿宋_GB2312" w:cs="仿宋_GB2312" w:eastAsia="仿宋_GB2312"/>
          <w:sz w:val="32"/>
          <w:szCs w:val="32"/>
          <w:lang w:eastAsia="zh-CN"/>
        </w:rPr>
        <w:t>”</w:t>
      </w:r>
      <w:r>
        <w:rPr>
          <w:rFonts w:ascii="Times New Roman" w:hAnsi="Times New Roman" w:cs="Times New Roman" w:eastAsia="仿宋_GB2312"/>
          <w:sz w:val="32"/>
          <w:szCs w:val="32"/>
        </w:rPr>
        <w:t>章节明确了收入、成本、行业情况及财务数据的披露要求</w:t>
      </w:r>
      <w:r>
        <w:rPr>
          <w:rFonts w:ascii="Times New Roman" w:hAnsi="Times New Roman" w:cs="Times New Roman" w:eastAsia="仿宋_GB2312"/>
          <w:sz w:val="32"/>
          <w:szCs w:val="32"/>
          <w:lang w:eastAsia="zh-CN"/>
        </w:rPr>
        <w:t>。</w:t>
      </w:r>
      <w:r>
        <w:rPr>
          <w:rFonts w:ascii="Times New Roman" w:hAnsi="Times New Roman" w:cs="Times New Roman" w:eastAsia="仿宋_GB2312"/>
          <w:sz w:val="32"/>
          <w:szCs w:val="32"/>
        </w:rPr>
        <w:t>进一步规范了相关参与机构的资产评估行为</w:t>
      </w:r>
      <w:r>
        <w:rPr>
          <w:rFonts w:ascii="Times New Roman" w:hAnsi="Times New Roman" w:cs="Times New Roman" w:eastAsia="仿宋_GB2312"/>
          <w:sz w:val="32"/>
          <w:szCs w:val="32"/>
          <w:lang w:eastAsia="zh-CN"/>
        </w:rPr>
        <w:t>，</w:t>
      </w:r>
      <w:r>
        <w:rPr>
          <w:rFonts w:ascii="Times New Roman" w:hAnsi="Times New Roman" w:cs="Times New Roman" w:eastAsia="仿宋_GB2312"/>
          <w:sz w:val="32"/>
          <w:szCs w:val="32"/>
        </w:rPr>
        <w:t>引导评估机构在充分考虑市场环境和底层资产特征基础上，合理设置评估参数，审慎确定评估结果，管理人需对评估参数和评估方法的选取进行独立判断和专业分析</w:t>
      </w:r>
      <w:r>
        <w:rPr>
          <w:rFonts w:ascii="Times New Roman" w:hAnsi="Times New Roman" w:cs="Times New Roman" w:eastAsia="仿宋_GB2312"/>
          <w:sz w:val="32"/>
          <w:szCs w:val="32"/>
          <w:lang w:eastAsia="zh-CN"/>
        </w:rPr>
        <w:t>。</w:t>
      </w:r>
      <w:r>
        <w:rPr>
          <w:rFonts w:ascii="Times New Roman" w:hAnsi="Times New Roman" w:cs="Times New Roman" w:eastAsia="仿宋_GB2312"/>
          <w:sz w:val="32"/>
          <w:szCs w:val="32"/>
        </w:rPr>
        <w:t>进一步强化运营管理要求</w:t>
      </w:r>
      <w:r>
        <w:rPr>
          <w:rFonts w:ascii="Times New Roman" w:hAnsi="Times New Roman" w:cs="Times New Roman" w:eastAsia="仿宋_GB2312"/>
          <w:sz w:val="32"/>
          <w:szCs w:val="32"/>
          <w:lang w:eastAsia="zh-CN"/>
        </w:rPr>
        <w:t>，</w:t>
      </w:r>
      <w:r>
        <w:rPr>
          <w:rFonts w:ascii="Times New Roman" w:hAnsi="Times New Roman" w:cs="Times New Roman" w:eastAsia="仿宋_GB2312"/>
          <w:sz w:val="32"/>
          <w:szCs w:val="32"/>
        </w:rPr>
        <w:t>新增基础设施基金的分层决策机制、激励约束安排、突发事件响应要求，优化运营管理费、履职情况监督等安排实现激励约束目标，有效统筹价值创造和投资者保护的关系。</w:t>
      </w:r>
    </w:p>
    <w:p>
      <w:pPr>
        <w:pStyle w:val="Normal"/>
        <w:keepNext w:val="false"/>
        <w:keepLines w:val="false"/>
        <w:pageBreakBefore w:val="false"/>
        <w:widowControl w:val="false"/>
        <w:kinsoku w:val="true"/>
        <w:overflowPunct w:val="true"/>
        <w:autoSpaceDE w:val="true"/>
        <w:bidi w:val="0"/>
        <w:snapToGrid w:val="true"/>
        <w:spacing w:lineRule="exact" w:line="560"/>
        <w:ind w:firstLine="640" w:end="0"/>
        <w:textAlignment w:val="auto"/>
        <w:rPr/>
      </w:pPr>
      <w:r>
        <w:rPr>
          <w:rFonts w:ascii="Times New Roman" w:hAnsi="Times New Roman" w:cs="Times New Roman" w:eastAsia="仿宋_GB2312"/>
          <w:b w:val="false"/>
          <w:sz w:val="32"/>
          <w:szCs w:val="32"/>
          <w:lang w:eastAsia="zh-CN"/>
        </w:rPr>
        <w:t>三是</w:t>
      </w:r>
      <w:r>
        <w:rPr>
          <w:rFonts w:ascii="Times New Roman" w:hAnsi="Times New Roman" w:cs="Times New Roman" w:eastAsia="仿宋_GB2312"/>
          <w:b w:val="false"/>
          <w:sz w:val="32"/>
          <w:szCs w:val="32"/>
        </w:rPr>
        <w:t>明确大类资产差异化要求，提高核查和信息披露</w:t>
      </w:r>
      <w:r>
        <w:rPr>
          <w:rFonts w:ascii="Times New Roman" w:hAnsi="Times New Roman" w:cs="Times New Roman" w:eastAsia="仿宋_GB2312"/>
          <w:b w:val="false"/>
          <w:sz w:val="32"/>
          <w:szCs w:val="32"/>
          <w:lang w:eastAsia="zh-CN"/>
        </w:rPr>
        <w:t>针对性</w:t>
      </w:r>
      <w:r>
        <w:rPr>
          <w:rFonts w:ascii="Times New Roman" w:hAnsi="Times New Roman" w:cs="Times New Roman" w:eastAsia="仿宋_GB2312"/>
          <w:b w:val="false"/>
          <w:sz w:val="32"/>
          <w:szCs w:val="32"/>
        </w:rPr>
        <w:t>。</w:t>
      </w:r>
      <w:r>
        <w:rPr>
          <w:rFonts w:ascii="Times New Roman" w:hAnsi="Times New Roman" w:cs="Times New Roman" w:eastAsia="仿宋_GB2312"/>
          <w:sz w:val="32"/>
          <w:szCs w:val="32"/>
        </w:rPr>
        <w:t>为体现行业特性，针对产业园区、仓储物流类资产，进一步细化了合规性、经营财务、运营管理方面的核查及信息披露</w:t>
      </w:r>
      <w:r>
        <w:rPr>
          <w:rFonts w:ascii="Times New Roman" w:hAnsi="Times New Roman" w:cs="Times New Roman" w:eastAsia="仿宋_GB2312"/>
          <w:sz w:val="32"/>
          <w:szCs w:val="32"/>
          <w:lang w:eastAsia="zh-CN"/>
        </w:rPr>
        <w:t>要求</w:t>
      </w:r>
      <w:r>
        <w:rPr>
          <w:rFonts w:ascii="Times New Roman" w:hAnsi="Times New Roman" w:cs="Times New Roman" w:eastAsia="仿宋_GB2312"/>
          <w:sz w:val="32"/>
          <w:szCs w:val="32"/>
        </w:rPr>
        <w:t>。针对收费公路类资产，细化完善了车流量、通行费等收入相关情况的披露要求，明确了实践中改扩建、</w:t>
      </w:r>
      <w:r>
        <w:rPr>
          <w:rFonts w:ascii="Times New Roman" w:hAnsi="Times New Roman" w:cs="Times New Roman" w:eastAsia="仿宋_GB2312"/>
          <w:bCs/>
          <w:sz w:val="32"/>
          <w:szCs w:val="32"/>
        </w:rPr>
        <w:t>政府还贷公路变更为经营性公路的核查和信息披露要求</w:t>
      </w:r>
      <w:r>
        <w:rPr>
          <w:rFonts w:ascii="Times New Roman" w:hAnsi="Times New Roman" w:cs="Times New Roman" w:eastAsia="仿宋_GB2312"/>
          <w:bCs/>
          <w:sz w:val="32"/>
          <w:szCs w:val="32"/>
          <w:lang w:eastAsia="zh-CN"/>
        </w:rPr>
        <w:t>。</w:t>
      </w:r>
      <w:r>
        <w:rPr>
          <w:rFonts w:cs="Times New Roman" w:eastAsia="仿宋_GB2312"/>
          <w:bCs/>
          <w:sz w:val="32"/>
          <w:szCs w:val="32"/>
          <w:lang w:eastAsia="zh-CN"/>
        </w:rPr>
        <w:t>针对</w:t>
      </w:r>
      <w:r>
        <w:rPr>
          <w:rFonts w:ascii="Times New Roman" w:hAnsi="Times New Roman" w:cs="Times New Roman" w:eastAsia="仿宋_GB2312"/>
          <w:sz w:val="32"/>
          <w:szCs w:val="32"/>
        </w:rPr>
        <w:t>租赁住房</w:t>
      </w:r>
      <w:r>
        <w:rPr>
          <w:rFonts w:cs="Times New Roman" w:eastAsia="仿宋_GB2312"/>
          <w:sz w:val="32"/>
          <w:szCs w:val="32"/>
          <w:lang w:eastAsia="zh-CN"/>
        </w:rPr>
        <w:t>类资产，</w:t>
      </w:r>
      <w:r>
        <w:rPr>
          <w:rFonts w:ascii="Times New Roman" w:hAnsi="Times New Roman" w:cs="Times New Roman" w:eastAsia="仿宋_GB2312"/>
          <w:sz w:val="32"/>
          <w:szCs w:val="32"/>
          <w:lang w:eastAsia="zh-CN"/>
        </w:rPr>
        <w:t>指引</w:t>
      </w:r>
      <w:r>
        <w:rPr>
          <w:rFonts w:ascii="Times New Roman" w:hAnsi="Times New Roman" w:cs="Times New Roman" w:eastAsia="仿宋_GB2312"/>
          <w:sz w:val="32"/>
          <w:szCs w:val="32"/>
        </w:rPr>
        <w:t>将</w:t>
      </w:r>
      <w:r>
        <w:rPr>
          <w:rFonts w:cs="Times New Roman" w:eastAsia="仿宋_GB2312"/>
          <w:sz w:val="32"/>
          <w:szCs w:val="32"/>
          <w:lang w:eastAsia="zh-CN"/>
        </w:rPr>
        <w:t>规范的</w:t>
      </w:r>
      <w:r>
        <w:rPr>
          <w:rFonts w:ascii="Times New Roman" w:hAnsi="Times New Roman" w:cs="Times New Roman" w:eastAsia="仿宋_GB2312"/>
          <w:sz w:val="32"/>
          <w:szCs w:val="32"/>
        </w:rPr>
        <w:t>资产范围拓宽至</w:t>
      </w:r>
      <w:r>
        <w:rPr>
          <w:rFonts w:cs="Times New Roman" w:eastAsia="仿宋_GB2312"/>
          <w:sz w:val="32"/>
          <w:szCs w:val="32"/>
          <w:lang w:eastAsia="zh-CN"/>
        </w:rPr>
        <w:t>保障性租赁住房项目、</w:t>
      </w:r>
      <w:r>
        <w:rPr>
          <w:rFonts w:ascii="Times New Roman" w:hAnsi="Times New Roman" w:cs="Times New Roman" w:eastAsia="仿宋_GB2312"/>
          <w:sz w:val="32"/>
          <w:szCs w:val="32"/>
        </w:rPr>
        <w:t>市场化租赁住房项目，以及专门为园区入驻企业提供配套服务的租赁住房项目等</w:t>
      </w:r>
      <w:r>
        <w:rPr>
          <w:rFonts w:ascii="Times New Roman" w:hAnsi="Times New Roman" w:cs="Times New Roman" w:eastAsia="仿宋_GB2312"/>
          <w:sz w:val="32"/>
          <w:szCs w:val="32"/>
          <w:lang w:eastAsia="zh-CN"/>
        </w:rPr>
        <w:t>。</w:t>
      </w:r>
      <w:r>
        <w:rPr>
          <w:rFonts w:ascii="Times New Roman" w:hAnsi="Times New Roman" w:cs="Times New Roman" w:eastAsia="仿宋_GB2312"/>
          <w:bCs/>
          <w:sz w:val="32"/>
          <w:szCs w:val="32"/>
        </w:rPr>
        <w:t>针对消费基础设施类资产，强化了收入情况、</w:t>
      </w:r>
      <w:r>
        <w:rPr>
          <w:rFonts w:cs="Times New Roman" w:eastAsia="仿宋_GB2312"/>
          <w:bCs/>
          <w:sz w:val="32"/>
          <w:szCs w:val="32"/>
          <w:lang w:eastAsia="zh"/>
        </w:rPr>
        <w:t>租户情况、</w:t>
      </w:r>
      <w:r>
        <w:rPr>
          <w:rFonts w:ascii="Times New Roman" w:hAnsi="Times New Roman" w:cs="Times New Roman" w:eastAsia="仿宋_GB2312"/>
          <w:bCs/>
          <w:sz w:val="32"/>
          <w:szCs w:val="32"/>
        </w:rPr>
        <w:t>租约类型及租金情况</w:t>
      </w:r>
      <w:r>
        <w:rPr>
          <w:rFonts w:cs="Times New Roman" w:eastAsia="仿宋_GB2312"/>
          <w:bCs/>
          <w:sz w:val="32"/>
          <w:szCs w:val="32"/>
          <w:lang w:eastAsia="zh"/>
        </w:rPr>
        <w:t>等</w:t>
      </w:r>
      <w:r>
        <w:rPr>
          <w:rFonts w:ascii="Times New Roman" w:hAnsi="Times New Roman" w:cs="Times New Roman" w:eastAsia="仿宋_GB2312"/>
          <w:bCs/>
          <w:sz w:val="32"/>
          <w:szCs w:val="32"/>
        </w:rPr>
        <w:t>的针对性披露要求</w:t>
      </w:r>
      <w:r>
        <w:rPr>
          <w:rFonts w:ascii="Times New Roman" w:hAnsi="Times New Roman" w:cs="Times New Roman" w:eastAsia="仿宋_GB2312"/>
          <w:bCs/>
          <w:sz w:val="32"/>
          <w:szCs w:val="32"/>
          <w:lang w:eastAsia="zh-CN"/>
        </w:rPr>
        <w:t>。</w:t>
      </w:r>
    </w:p>
    <w:sectPr>
      <w:headerReference w:type="even" r:id="rId2"/>
      <w:headerReference w:type="default" r:id="rId3"/>
      <w:footerReference w:type="even" r:id="rId4"/>
      <w:footerReference w:type="default" r:id="rId5"/>
      <w:type w:val="nextPage"/>
      <w:pgSz w:w="11906" w:h="16838"/>
      <w:pgMar w:left="1800" w:right="1800" w:gutter="0" w:header="851" w:top="1440" w:footer="992" w:bottom="144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 w:name="仿宋_GB2312">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4</w:t>
    </w:r>
    <w:r>
      <w:rPr>
        <w:sz w:val="28"/>
      </w:rPr>
      <w:fldChar w:fldCharType="end"/>
    </w:r>
    <w:r>
      <w:rPr>
        <w:rFonts w:ascii="仿宋_GB2312" w:hAnsi="仿宋_GB2312" w:eastAsia="仿宋_GB2312"/>
        <w:bCs/>
        <w:sz w:val="28"/>
      </w:rPr>
      <w:t>－</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4605" cy="131445"/>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3144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0.35pt;mso-wrap-distance-left:0pt;mso-wrap-distance-right:0pt;mso-wrap-distance-top:0pt;mso-wrap-distance-bottom:0pt;margin-top:0.05pt;mso-position-vertical-relative:text;margin-left:207.1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3</w:t>
    </w:r>
    <w:r>
      <w:rPr>
        <w:sz w:val="28"/>
      </w:rPr>
      <w:fldChar w:fldCharType="end"/>
    </w:r>
    <w:r>
      <w:rPr>
        <w:rFonts w:ascii="仿宋_GB2312" w:hAnsi="仿宋_GB2312" w:eastAsia="仿宋_GB2312"/>
        <w:bCs/>
        <w:sz w:val="28"/>
      </w:rPr>
      <w:t>－</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3144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3144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0.35pt;mso-wrap-distance-left:0pt;mso-wrap-distance-right:0pt;mso-wrap-distance-top:0pt;mso-wrap-distance-bottom:0pt;margin-top:0.05pt;mso-position-vertical-relative:text;margin-left:207.1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10"/>
  <w:defaultTabStop w:val="4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华文宋体" w:cs="Arial Unicode MS"/>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0"/>
      <w:lang w:val="en-US" w:eastAsia="zh-CN" w:bidi="ar-SA"/>
    </w:rPr>
  </w:style>
  <w:style w:type="character" w:styleId="Style14">
    <w:name w:val="默认段落字体"/>
    <w:qFormat/>
    <w:rPr/>
  </w:style>
  <w:style w:type="character" w:styleId="PageNumber">
    <w:name w:val="page number"/>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Header">
    <w:name w:val="header"/>
    <w:basedOn w:val="Normal"/>
    <w:pPr>
      <w:pBdr/>
      <w:tabs>
        <w:tab w:val="clear" w:pos="420"/>
        <w:tab w:val="center" w:pos="4153" w:leader="none"/>
        <w:tab w:val="right" w:pos="8306" w:leader="none"/>
      </w:tabs>
      <w:snapToGrid w:val="false"/>
      <w:spacing w:lineRule="auto" w:line="240"/>
      <w:jc w:val="both"/>
    </w:pPr>
    <w:rPr>
      <w:sz w:val="18"/>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2400</TotalTime>
  <Application>LibreOffice/25.2.3.2$MacOSX_AARCH64 LibreOffice_project/bbb074479178df812d175f709636b368952c2ce3</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2024-12-29T18:03:46Z</dcterms:created>
  <dc:creator>sse</dc:creator>
  <dc:description/>
  <dc:language>zh-CN</dc:language>
  <cp:lastModifiedBy>whxu</cp:lastModifiedBy>
  <dcterms:modified xsi:type="dcterms:W3CDTF">2024-12-28T00:25:15Z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E55667A26A7C8911F3566E67896B6080_43</vt:lpwstr>
  </property>
  <property fmtid="{D5CDD505-2E9C-101B-9397-08002B2CF9AE}" pid="3" name="KSOProductBuildVer">
    <vt:lpwstr>2052-12.8.0.16970</vt:lpwstr>
  </property>
</Properties>
</file>