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E8376">
      <w:pPr>
        <w:spacing w:line="540" w:lineRule="exact"/>
        <w:jc w:val="left"/>
        <w:rPr>
          <w:rFonts w:ascii="黑体" w:hAnsi="黑体" w:eastAsia="黑体" w:cs="黑体"/>
          <w:sz w:val="32"/>
          <w:szCs w:val="32"/>
        </w:rPr>
      </w:pPr>
      <w:r>
        <w:rPr>
          <w:rFonts w:ascii="黑体" w:hAnsi="黑体" w:eastAsia="黑体" w:cs="黑体"/>
          <w:sz w:val="32"/>
          <w:szCs w:val="32"/>
        </w:rPr>
        <w:t>附件</w:t>
      </w:r>
    </w:p>
    <w:p w14:paraId="3ED252BE">
      <w:pPr>
        <w:spacing w:line="540" w:lineRule="exact"/>
        <w:jc w:val="left"/>
        <w:rPr>
          <w:rFonts w:ascii="黑体" w:hAnsi="黑体" w:eastAsia="黑体" w:cs="黑体"/>
          <w:sz w:val="32"/>
          <w:szCs w:val="32"/>
        </w:rPr>
      </w:pPr>
    </w:p>
    <w:p w14:paraId="355D5F6A">
      <w:pPr>
        <w:spacing w:line="540" w:lineRule="exact"/>
        <w:jc w:val="center"/>
        <w:rPr>
          <w:rFonts w:ascii="方正大标宋简体" w:eastAsia="方正大标宋简体"/>
          <w:sz w:val="44"/>
          <w:szCs w:val="44"/>
        </w:rPr>
      </w:pPr>
      <w:r>
        <w:rPr>
          <w:rFonts w:ascii="方正大标宋简体" w:eastAsia="方正大标宋简体"/>
          <w:sz w:val="44"/>
          <w:szCs w:val="44"/>
        </w:rPr>
        <w:t>上海证券交易所基金自律监管规则</w:t>
      </w:r>
    </w:p>
    <w:p w14:paraId="3452C10D">
      <w:pPr>
        <w:spacing w:line="540" w:lineRule="exact"/>
        <w:jc w:val="center"/>
        <w:rPr>
          <w:rFonts w:ascii="Times New Roman" w:hAnsi="Times New Roman" w:eastAsia="方正大标宋简体"/>
          <w:sz w:val="44"/>
          <w:szCs w:val="44"/>
        </w:rPr>
      </w:pPr>
      <w:r>
        <w:rPr>
          <w:rFonts w:ascii="方正大标宋简体" w:eastAsia="方正大标宋简体"/>
          <w:sz w:val="44"/>
          <w:szCs w:val="44"/>
        </w:rPr>
        <w:t>适用指引第</w:t>
      </w:r>
      <w:r>
        <w:rPr>
          <w:rFonts w:ascii="Times New Roman" w:hAnsi="Times New Roman" w:eastAsia="方正大标宋简体"/>
          <w:sz w:val="44"/>
          <w:szCs w:val="44"/>
        </w:rPr>
        <w:t>2号——上市基金做市业务</w:t>
      </w:r>
    </w:p>
    <w:p w14:paraId="61857C62">
      <w:pPr>
        <w:spacing w:line="560" w:lineRule="exact"/>
        <w:jc w:val="center"/>
        <w:rPr>
          <w:rFonts w:ascii="Times New Roman" w:hAnsi="Times New Roman" w:eastAsia="仿宋_GB2312"/>
          <w:sz w:val="32"/>
          <w:szCs w:val="32"/>
        </w:rPr>
      </w:pPr>
      <w:r>
        <w:rPr>
          <w:rFonts w:ascii="Times New Roman" w:hAnsi="Times New Roman" w:eastAsia="仿宋_GB2312"/>
          <w:sz w:val="32"/>
          <w:szCs w:val="32"/>
        </w:rPr>
        <w:t>（2024年修订）</w:t>
      </w:r>
    </w:p>
    <w:p w14:paraId="7E5FA235">
      <w:pPr>
        <w:spacing w:line="560" w:lineRule="exact"/>
        <w:jc w:val="center"/>
        <w:rPr>
          <w:rFonts w:ascii="方正大标宋简体" w:eastAsia="方正大标宋简体"/>
          <w:sz w:val="32"/>
          <w:szCs w:val="32"/>
        </w:rPr>
      </w:pPr>
    </w:p>
    <w:p w14:paraId="51ADC6C3">
      <w:pPr>
        <w:pStyle w:val="24"/>
        <w:numPr>
          <w:ilvl w:val="0"/>
          <w:numId w:val="0"/>
        </w:numPr>
        <w:spacing w:line="560" w:lineRule="exact"/>
        <w:ind w:left="1500" w:leftChars="0" w:hanging="1080" w:firstLineChars="0"/>
        <w:jc w:val="center"/>
        <w:rPr>
          <w:rFonts w:ascii="黑体" w:hAnsi="宋体" w:eastAsia="黑体" w:cs="宋体"/>
          <w:b/>
          <w:sz w:val="32"/>
          <w:szCs w:val="32"/>
        </w:rPr>
      </w:pPr>
      <w:r>
        <w:rPr>
          <w:rFonts w:hint="default" w:ascii="黑体" w:hAnsi="宋体" w:eastAsia="黑体" w:cs="宋体"/>
          <w:b/>
          <w:kern w:val="0"/>
          <w:sz w:val="32"/>
          <w:szCs w:val="32"/>
          <w:lang w:val="en-US" w:eastAsia="zh-CN" w:bidi="ar-SA"/>
        </w:rPr>
        <w:t>第一章</w:t>
      </w:r>
      <w:r>
        <w:rPr>
          <w:rFonts w:hint="eastAsia" w:ascii="黑体" w:hAnsi="宋体" w:eastAsia="黑体" w:cs="宋体"/>
          <w:b/>
          <w:sz w:val="32"/>
          <w:szCs w:val="32"/>
        </w:rPr>
        <w:t xml:space="preserve"> 总则</w:t>
      </w:r>
    </w:p>
    <w:p w14:paraId="06685158">
      <w:pPr>
        <w:spacing w:line="560" w:lineRule="exact"/>
        <w:ind w:firstLine="643" w:firstLineChars="200"/>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为规范上海证券交易所（以下简称本所）上市基金的做市业务，提升市场流动性，根据《上海证券交易所交易规则》《上海证券交易所交易型开放式指数基金业务实施细则》《上海证券交易所开放式基金业务管理办法》及其他相关规定，制定本指引。</w:t>
      </w:r>
    </w:p>
    <w:p w14:paraId="28ED951B">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本指引所称做市服务，是指符合条件的证券公司及本所认可的其他专业机构（以下统称做市商），按照本指引的规定，为本所上市基金提供的持续双边报价等做市服务。</w:t>
      </w:r>
    </w:p>
    <w:p w14:paraId="07DD7A0E">
      <w:pPr>
        <w:spacing w:line="560" w:lineRule="exact"/>
        <w:ind w:firstLine="643" w:firstLineChars="200"/>
        <w:rPr>
          <w:rFonts w:ascii="仿宋_GB2312" w:eastAsia="仿宋_GB2312"/>
          <w:sz w:val="32"/>
          <w:szCs w:val="32"/>
        </w:rPr>
      </w:pPr>
      <w:r>
        <w:rPr>
          <w:rFonts w:hint="eastAsia" w:ascii="仿宋_GB2312" w:eastAsia="仿宋_GB2312"/>
          <w:b/>
          <w:sz w:val="32"/>
          <w:szCs w:val="32"/>
        </w:rPr>
        <w:t>第三条</w:t>
      </w:r>
      <w:r>
        <w:rPr>
          <w:rFonts w:hint="eastAsia" w:ascii="仿宋_GB2312" w:hAnsi="宋体" w:eastAsia="仿宋_GB2312" w:cs="宋体"/>
          <w:sz w:val="32"/>
          <w:szCs w:val="32"/>
        </w:rPr>
        <w:t>本所对做市服务实施差异化管理，分为主做市服务和一般做市服务。经本所认可，可以为本所上市基金提供主做市服务和一般做市服务的专业机构为主做市商；仅可以为本所上市基金提供一般做市服务的专业机构为一般做市商。</w:t>
      </w:r>
    </w:p>
    <w:p w14:paraId="07CF1AE6">
      <w:pPr>
        <w:spacing w:line="560" w:lineRule="exact"/>
        <w:ind w:firstLine="640" w:firstLineChars="200"/>
        <w:rPr>
          <w:rFonts w:ascii="仿宋_GB2312" w:hAnsi="黑体" w:eastAsia="仿宋_GB2312"/>
          <w:sz w:val="32"/>
          <w:szCs w:val="32"/>
        </w:rPr>
      </w:pPr>
      <w:r>
        <w:rPr>
          <w:rFonts w:hint="eastAsia" w:ascii="仿宋_GB2312" w:hAnsi="宋体" w:eastAsia="仿宋_GB2312" w:cs="宋体"/>
          <w:sz w:val="32"/>
          <w:szCs w:val="32"/>
        </w:rPr>
        <w:t>本所对主做市商在管理、评价等方面的要求更为严格，同时进行适当激励。</w:t>
      </w:r>
    </w:p>
    <w:p w14:paraId="55542E15">
      <w:pPr>
        <w:spacing w:line="560" w:lineRule="exact"/>
        <w:ind w:firstLine="643" w:firstLineChars="200"/>
        <w:rPr>
          <w:rFonts w:ascii="仿宋_GB2312" w:hAnsi="宋体" w:eastAsia="仿宋_GB2312" w:cs="宋体"/>
          <w:sz w:val="32"/>
          <w:szCs w:val="32"/>
        </w:rPr>
      </w:pPr>
      <w:r>
        <w:rPr>
          <w:rFonts w:hint="eastAsia" w:ascii="仿宋_GB2312" w:eastAsia="仿宋_GB2312"/>
          <w:b/>
          <w:sz w:val="32"/>
          <w:szCs w:val="32"/>
        </w:rPr>
        <w:t>第四条</w:t>
      </w:r>
      <w:r>
        <w:rPr>
          <w:rFonts w:hint="eastAsia" w:ascii="仿宋_GB2312" w:eastAsia="仿宋_GB2312"/>
          <w:sz w:val="32"/>
          <w:szCs w:val="32"/>
        </w:rPr>
        <w:t xml:space="preserve">  做市商应当严格遵守法律、行政法规、部门规章、规范性文件及本所有关规定，防范利益冲突，不得利用开展做市业务之便进行内幕交易、市场操纵等违法违规行为，不得存在谋取不当利益、损害客户或者基金份额持有人利益的行为。</w:t>
      </w:r>
    </w:p>
    <w:p w14:paraId="0551F024">
      <w:pPr>
        <w:spacing w:line="560" w:lineRule="exact"/>
        <w:ind w:firstLine="640" w:firstLineChars="200"/>
        <w:rPr>
          <w:rFonts w:ascii="仿宋_GB2312" w:eastAsia="仿宋_GB2312"/>
          <w:sz w:val="32"/>
          <w:szCs w:val="32"/>
        </w:rPr>
      </w:pPr>
      <w:r>
        <w:rPr>
          <w:rFonts w:hint="eastAsia" w:ascii="仿宋_GB2312" w:eastAsia="仿宋_GB2312"/>
          <w:sz w:val="32"/>
          <w:szCs w:val="32"/>
        </w:rPr>
        <w:t>做市商应当积极维护基金市场秩序，推动市场健康发展。</w:t>
      </w:r>
    </w:p>
    <w:p w14:paraId="1D21C68E">
      <w:pPr>
        <w:spacing w:line="560" w:lineRule="exact"/>
        <w:jc w:val="center"/>
        <w:rPr>
          <w:rFonts w:ascii="黑体" w:hAnsi="宋体" w:eastAsia="黑体" w:cs="宋体"/>
          <w:b/>
          <w:kern w:val="0"/>
          <w:sz w:val="32"/>
          <w:szCs w:val="32"/>
        </w:rPr>
      </w:pPr>
      <w:r>
        <w:rPr>
          <w:rFonts w:hint="eastAsia" w:ascii="黑体" w:hAnsi="宋体" w:eastAsia="黑体" w:cs="宋体"/>
          <w:b/>
          <w:kern w:val="0"/>
          <w:sz w:val="32"/>
          <w:szCs w:val="32"/>
        </w:rPr>
        <w:t>第二章</w:t>
      </w:r>
      <w:r>
        <w:rPr>
          <w:rFonts w:ascii="黑体" w:hAnsi="宋体" w:eastAsia="黑体" w:cs="宋体"/>
          <w:b/>
          <w:kern w:val="0"/>
          <w:sz w:val="32"/>
          <w:szCs w:val="32"/>
        </w:rPr>
        <w:tab/>
      </w:r>
      <w:r>
        <w:rPr>
          <w:rFonts w:hint="eastAsia" w:ascii="黑体" w:hAnsi="宋体" w:eastAsia="黑体" w:cs="宋体"/>
          <w:b/>
          <w:kern w:val="0"/>
          <w:sz w:val="32"/>
          <w:szCs w:val="32"/>
        </w:rPr>
        <w:t>做市申请</w:t>
      </w:r>
    </w:p>
    <w:p w14:paraId="585E4790">
      <w:pPr>
        <w:spacing w:line="560" w:lineRule="exact"/>
        <w:ind w:firstLine="643" w:firstLineChars="200"/>
        <w:rPr>
          <w:rFonts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下列专业机构可申请成为本所上市基金做市商：</w:t>
      </w:r>
    </w:p>
    <w:p w14:paraId="346115E9">
      <w:pPr>
        <w:spacing w:line="560" w:lineRule="exact"/>
        <w:ind w:firstLine="640" w:firstLineChars="200"/>
        <w:rPr>
          <w:rFonts w:ascii="仿宋_GB2312" w:eastAsia="仿宋_GB2312"/>
          <w:sz w:val="32"/>
          <w:szCs w:val="32"/>
        </w:rPr>
      </w:pPr>
      <w:r>
        <w:rPr>
          <w:rFonts w:hint="eastAsia" w:ascii="仿宋_GB2312" w:eastAsia="仿宋_GB2312"/>
          <w:sz w:val="32"/>
          <w:szCs w:val="32"/>
        </w:rPr>
        <w:t>（一）证券公司、商业银行、保险机构、信托公司、基金管理公司、财务公司等专业机构及其子公司；</w:t>
      </w:r>
    </w:p>
    <w:p w14:paraId="1FD9C605">
      <w:pPr>
        <w:spacing w:line="560" w:lineRule="exact"/>
        <w:ind w:firstLine="640" w:firstLineChars="200"/>
        <w:rPr>
          <w:rFonts w:ascii="仿宋_GB2312" w:eastAsia="仿宋_GB2312"/>
          <w:sz w:val="32"/>
          <w:szCs w:val="32"/>
        </w:rPr>
      </w:pPr>
      <w:r>
        <w:rPr>
          <w:rFonts w:hint="eastAsia" w:ascii="仿宋_GB2312" w:eastAsia="仿宋_GB2312"/>
          <w:sz w:val="32"/>
          <w:szCs w:val="32"/>
        </w:rPr>
        <w:t>（二）本所认可的其他专业机构。</w:t>
      </w:r>
    </w:p>
    <w:p w14:paraId="4C034487">
      <w:pPr>
        <w:spacing w:line="560" w:lineRule="exact"/>
        <w:ind w:firstLine="643" w:firstLineChars="200"/>
        <w:rPr>
          <w:rFonts w:ascii="仿宋_GB2312" w:eastAsia="仿宋_GB2312"/>
          <w:sz w:val="32"/>
          <w:szCs w:val="32"/>
        </w:rPr>
      </w:pPr>
      <w:r>
        <w:rPr>
          <w:rFonts w:hint="eastAsia" w:ascii="仿宋_GB2312" w:eastAsia="仿宋_GB2312"/>
          <w:b/>
          <w:sz w:val="32"/>
          <w:szCs w:val="32"/>
        </w:rPr>
        <w:t xml:space="preserve">第六条 </w:t>
      </w:r>
      <w:r>
        <w:rPr>
          <w:rFonts w:hint="eastAsia" w:ascii="仿宋_GB2312" w:eastAsia="仿宋_GB2312"/>
          <w:sz w:val="32"/>
          <w:szCs w:val="32"/>
        </w:rPr>
        <w:t>申请成为本所上市基金做市商的</w:t>
      </w:r>
      <w:r>
        <w:rPr>
          <w:rFonts w:hint="eastAsia" w:ascii="仿宋_GB2312" w:hAnsi="宋体" w:eastAsia="仿宋_GB2312" w:cs="宋体"/>
          <w:sz w:val="32"/>
          <w:szCs w:val="32"/>
        </w:rPr>
        <w:t>专业机构</w:t>
      </w:r>
      <w:r>
        <w:rPr>
          <w:rFonts w:hint="eastAsia" w:ascii="仿宋_GB2312" w:eastAsia="仿宋_GB2312"/>
          <w:sz w:val="32"/>
          <w:szCs w:val="32"/>
        </w:rPr>
        <w:t>，须</w:t>
      </w:r>
      <w:r>
        <w:rPr>
          <w:rFonts w:hint="eastAsia" w:ascii="仿宋_GB2312" w:hAnsi="宋体" w:eastAsia="仿宋_GB2312" w:cs="宋体"/>
          <w:sz w:val="32"/>
          <w:szCs w:val="32"/>
        </w:rPr>
        <w:t>符合下列条件</w:t>
      </w:r>
      <w:r>
        <w:rPr>
          <w:rFonts w:hint="eastAsia" w:ascii="仿宋_GB2312" w:eastAsia="仿宋_GB2312"/>
          <w:sz w:val="32"/>
          <w:szCs w:val="32"/>
        </w:rPr>
        <w:t>：</w:t>
      </w:r>
    </w:p>
    <w:p w14:paraId="72F40B35">
      <w:pPr>
        <w:spacing w:line="560" w:lineRule="exact"/>
        <w:ind w:firstLine="640" w:firstLineChars="200"/>
        <w:rPr>
          <w:rFonts w:ascii="仿宋_GB2312" w:eastAsia="仿宋_GB2312"/>
          <w:sz w:val="32"/>
          <w:szCs w:val="32"/>
        </w:rPr>
      </w:pPr>
      <w:r>
        <w:rPr>
          <w:rFonts w:hint="eastAsia" w:ascii="仿宋_GB2312" w:eastAsia="仿宋_GB2312"/>
          <w:sz w:val="32"/>
          <w:szCs w:val="32"/>
        </w:rPr>
        <w:t>（一）拟申请机构为证券公司的，须取得经国务院证券监督管理机构核准的证券做市交易业务许可；</w:t>
      </w:r>
    </w:p>
    <w:p w14:paraId="09BC17BD">
      <w:pPr>
        <w:spacing w:line="560" w:lineRule="exact"/>
        <w:ind w:firstLine="640" w:firstLineChars="200"/>
        <w:rPr>
          <w:rFonts w:ascii="仿宋_GB2312" w:eastAsia="仿宋_GB2312"/>
          <w:sz w:val="32"/>
          <w:szCs w:val="32"/>
        </w:rPr>
      </w:pPr>
      <w:r>
        <w:rPr>
          <w:rFonts w:hint="eastAsia" w:ascii="仿宋_GB2312" w:eastAsia="仿宋_GB2312"/>
          <w:sz w:val="32"/>
          <w:szCs w:val="32"/>
        </w:rPr>
        <w:t>（二）具备开展做市业务所需的专业人员和技术系统；</w:t>
      </w:r>
    </w:p>
    <w:p w14:paraId="611B53AB">
      <w:pPr>
        <w:spacing w:line="560" w:lineRule="exact"/>
        <w:ind w:firstLine="640" w:firstLineChars="200"/>
        <w:rPr>
          <w:rFonts w:ascii="仿宋_GB2312" w:eastAsia="仿宋_GB2312"/>
          <w:sz w:val="32"/>
          <w:szCs w:val="32"/>
        </w:rPr>
      </w:pPr>
      <w:r>
        <w:rPr>
          <w:rFonts w:hint="eastAsia" w:ascii="仿宋_GB2312" w:eastAsia="仿宋_GB2312"/>
          <w:sz w:val="32"/>
          <w:szCs w:val="32"/>
        </w:rPr>
        <w:t>（三）以自有资金开展做市业务；</w:t>
      </w:r>
    </w:p>
    <w:p w14:paraId="48DF936C">
      <w:pPr>
        <w:spacing w:line="560" w:lineRule="exact"/>
        <w:ind w:firstLine="640" w:firstLineChars="200"/>
        <w:rPr>
          <w:rFonts w:ascii="仿宋_GB2312" w:eastAsia="仿宋_GB2312"/>
          <w:sz w:val="32"/>
          <w:szCs w:val="32"/>
        </w:rPr>
      </w:pPr>
      <w:r>
        <w:rPr>
          <w:rFonts w:hint="eastAsia" w:ascii="仿宋_GB2312" w:eastAsia="仿宋_GB2312"/>
          <w:sz w:val="32"/>
          <w:szCs w:val="32"/>
        </w:rPr>
        <w:t>（四）制定完备的做市业务实施方案、风险控制制度及有关内部管理制度；</w:t>
      </w:r>
    </w:p>
    <w:p w14:paraId="3D7D3196">
      <w:pPr>
        <w:spacing w:line="560" w:lineRule="exact"/>
        <w:ind w:firstLine="640" w:firstLineChars="200"/>
        <w:rPr>
          <w:rFonts w:ascii="仿宋_GB2312" w:eastAsia="仿宋_GB2312"/>
          <w:sz w:val="32"/>
          <w:szCs w:val="32"/>
        </w:rPr>
      </w:pPr>
      <w:r>
        <w:rPr>
          <w:rFonts w:hint="eastAsia" w:ascii="仿宋_GB2312" w:eastAsia="仿宋_GB2312"/>
          <w:sz w:val="32"/>
          <w:szCs w:val="32"/>
        </w:rPr>
        <w:t>（五）过去一年内未因做市业务的违法违规行为被中国证监会或本所采取监管措施、纪律处分或行政处罚；</w:t>
      </w:r>
    </w:p>
    <w:p w14:paraId="5EC00D58">
      <w:pPr>
        <w:spacing w:line="560" w:lineRule="exact"/>
        <w:ind w:firstLine="640" w:firstLineChars="200"/>
        <w:rPr>
          <w:rFonts w:ascii="仿宋_GB2312" w:eastAsia="仿宋_GB2312"/>
          <w:sz w:val="32"/>
          <w:szCs w:val="32"/>
        </w:rPr>
      </w:pPr>
      <w:r>
        <w:rPr>
          <w:rFonts w:hint="eastAsia" w:ascii="仿宋_GB2312" w:eastAsia="仿宋_GB2312"/>
          <w:sz w:val="32"/>
          <w:szCs w:val="32"/>
        </w:rPr>
        <w:t>（六）中国证监会及本所规定的其他条件。</w:t>
      </w:r>
    </w:p>
    <w:p w14:paraId="095C4825">
      <w:pPr>
        <w:spacing w:line="560" w:lineRule="exact"/>
        <w:ind w:firstLine="643" w:firstLineChars="200"/>
        <w:rPr>
          <w:rFonts w:ascii="仿宋_GB2312" w:eastAsia="仿宋_GB2312"/>
          <w:sz w:val="32"/>
          <w:szCs w:val="32"/>
        </w:rPr>
      </w:pPr>
      <w:r>
        <w:rPr>
          <w:rFonts w:hint="eastAsia" w:ascii="仿宋_GB2312" w:hAnsi="宋体" w:eastAsia="仿宋_GB2312" w:cs="宋体"/>
          <w:b/>
          <w:sz w:val="32"/>
          <w:szCs w:val="32"/>
        </w:rPr>
        <w:t>第七</w:t>
      </w:r>
      <w:r>
        <w:rPr>
          <w:rFonts w:ascii="仿宋_GB2312" w:hAnsi="宋体" w:eastAsia="仿宋_GB2312" w:cs="宋体"/>
          <w:b/>
          <w:sz w:val="32"/>
          <w:szCs w:val="32"/>
        </w:rPr>
        <w:t>条</w:t>
      </w:r>
      <w:r>
        <w:rPr>
          <w:rFonts w:hint="eastAsia" w:ascii="仿宋_GB2312" w:hAnsi="宋体" w:eastAsia="仿宋_GB2312" w:cs="宋体"/>
          <w:sz w:val="32"/>
          <w:szCs w:val="32"/>
        </w:rPr>
        <w:t xml:space="preserve"> 申请成为本所上市基金</w:t>
      </w:r>
      <w:r>
        <w:rPr>
          <w:rFonts w:hint="eastAsia" w:ascii="仿宋_GB2312" w:eastAsia="仿宋_GB2312"/>
          <w:sz w:val="32"/>
          <w:szCs w:val="32"/>
        </w:rPr>
        <w:t>做市商的专业机构，除应当符合本指引第六条规定的条件外，还应当通过本所组织的专项检查和技术测试。专项检查重点内容包括基金做市业务相关制度流程、组织架构、方案策略、交易管理、风控合规、技术系统等。技术测试主要内容包括交易功能测试等。</w:t>
      </w:r>
    </w:p>
    <w:p w14:paraId="65B92B4B">
      <w:pPr>
        <w:spacing w:line="560" w:lineRule="exact"/>
        <w:ind w:firstLine="643" w:firstLineChars="200"/>
        <w:rPr>
          <w:rFonts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专业机构申请成为做市商，应当向本所提交下列文件：</w:t>
      </w:r>
    </w:p>
    <w:p w14:paraId="312DF744">
      <w:pPr>
        <w:spacing w:line="560" w:lineRule="exact"/>
        <w:ind w:firstLine="640" w:firstLineChars="200"/>
        <w:rPr>
          <w:rFonts w:ascii="仿宋_GB2312" w:eastAsia="仿宋_GB2312"/>
          <w:sz w:val="32"/>
          <w:szCs w:val="32"/>
        </w:rPr>
      </w:pPr>
      <w:r>
        <w:rPr>
          <w:rFonts w:hint="eastAsia" w:ascii="仿宋_GB2312" w:eastAsia="仿宋_GB2312"/>
          <w:sz w:val="32"/>
          <w:szCs w:val="32"/>
        </w:rPr>
        <w:t>（一）经法定代表人或授权代表签字并加盖单位公章的申请书；</w:t>
      </w:r>
    </w:p>
    <w:p w14:paraId="4EC397E4">
      <w:pPr>
        <w:spacing w:line="560" w:lineRule="exact"/>
        <w:ind w:firstLine="640" w:firstLineChars="200"/>
        <w:rPr>
          <w:rFonts w:ascii="仿宋_GB2312" w:eastAsia="仿宋_GB2312"/>
          <w:sz w:val="32"/>
          <w:szCs w:val="32"/>
        </w:rPr>
      </w:pPr>
      <w:r>
        <w:rPr>
          <w:rFonts w:hint="eastAsia" w:ascii="仿宋_GB2312" w:eastAsia="仿宋_GB2312"/>
          <w:sz w:val="32"/>
          <w:szCs w:val="32"/>
        </w:rPr>
        <w:t>（二）做市业务总体性方案、风险控制制度、有关内部管理制度及技术系统准备的书面材料；</w:t>
      </w:r>
    </w:p>
    <w:p w14:paraId="0A411D56">
      <w:pPr>
        <w:spacing w:line="560"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hAnsi="宋体" w:eastAsia="仿宋_GB2312" w:cs="宋体"/>
          <w:sz w:val="32"/>
          <w:szCs w:val="32"/>
        </w:rPr>
        <w:t>负责做市业务的部门、岗位设置、人员配置等情况的说明</w:t>
      </w:r>
      <w:r>
        <w:rPr>
          <w:rFonts w:hint="eastAsia" w:ascii="仿宋_GB2312" w:eastAsia="仿宋_GB2312"/>
          <w:sz w:val="32"/>
          <w:szCs w:val="32"/>
        </w:rPr>
        <w:t>；</w:t>
      </w:r>
    </w:p>
    <w:p w14:paraId="4C598D58">
      <w:pPr>
        <w:spacing w:line="560" w:lineRule="exact"/>
        <w:ind w:firstLine="640" w:firstLineChars="200"/>
        <w:rPr>
          <w:rFonts w:ascii="仿宋_GB2312" w:eastAsia="仿宋_GB2312"/>
          <w:sz w:val="32"/>
          <w:szCs w:val="32"/>
        </w:rPr>
      </w:pPr>
      <w:r>
        <w:rPr>
          <w:rFonts w:hint="eastAsia" w:ascii="仿宋_GB2312" w:eastAsia="仿宋_GB2312"/>
          <w:sz w:val="32"/>
          <w:szCs w:val="32"/>
        </w:rPr>
        <w:t>（四）本所要求的其他文件。</w:t>
      </w:r>
    </w:p>
    <w:p w14:paraId="698D61D7">
      <w:pPr>
        <w:numPr>
          <w:ilvl w:val="0"/>
          <w:numId w:val="0"/>
        </w:numPr>
        <w:spacing w:line="560" w:lineRule="exact"/>
        <w:ind w:firstLine="643" w:firstLineChars="200"/>
        <w:rPr>
          <w:rFonts w:ascii="仿宋_GB2312" w:eastAsia="仿宋_GB2312"/>
          <w:sz w:val="32"/>
          <w:szCs w:val="32"/>
        </w:rPr>
      </w:pPr>
      <w:r>
        <w:rPr>
          <w:rFonts w:hint="eastAsia" w:ascii="仿宋_GB2312" w:hAnsi="Calibri" w:eastAsia="仿宋_GB2312" w:cs="Times New Roman"/>
          <w:b/>
          <w:bCs/>
          <w:kern w:val="2"/>
          <w:sz w:val="32"/>
          <w:szCs w:val="32"/>
          <w:lang w:val="en-US" w:eastAsia="zh-CN" w:bidi="ar-SA"/>
        </w:rPr>
        <w:t>第九条</w:t>
      </w:r>
      <w:r>
        <w:rPr>
          <w:rFonts w:hint="eastAsia" w:ascii="仿宋_GB2312" w:eastAsia="仿宋_GB2312"/>
          <w:sz w:val="32"/>
          <w:szCs w:val="32"/>
        </w:rPr>
        <w:t xml:space="preserve"> 做市商申请机构符合条件且提交文件齐备的，本所于文件齐备后的</w:t>
      </w:r>
      <w:r>
        <w:rPr>
          <w:rFonts w:ascii="Times New Roman" w:hAnsi="Times New Roman" w:eastAsia="仿宋_GB2312"/>
          <w:sz w:val="32"/>
          <w:szCs w:val="32"/>
        </w:rPr>
        <w:t>5个交易日内组织专项检查和技术测试。机构通过专项检查和技术测试的，本所于10个交易日</w:t>
      </w:r>
      <w:r>
        <w:rPr>
          <w:rFonts w:hint="eastAsia" w:ascii="仿宋_GB2312" w:eastAsia="仿宋_GB2312"/>
          <w:sz w:val="32"/>
          <w:szCs w:val="32"/>
        </w:rPr>
        <w:t>内作出决定，并通知申请人。</w:t>
      </w:r>
      <w:r>
        <w:rPr>
          <w:rFonts w:hint="eastAsia" w:ascii="仿宋_GB2312" w:hAnsi="宋体" w:eastAsia="仿宋_GB2312" w:cs="宋体"/>
          <w:sz w:val="32"/>
          <w:szCs w:val="32"/>
        </w:rPr>
        <w:t>对</w:t>
      </w:r>
      <w:r>
        <w:rPr>
          <w:rFonts w:hint="eastAsia" w:ascii="仿宋_GB2312" w:eastAsia="仿宋_GB2312"/>
          <w:sz w:val="32"/>
          <w:szCs w:val="32"/>
        </w:rPr>
        <w:t>机构开展的专项检查和技术测试不计入上述期限。</w:t>
      </w:r>
    </w:p>
    <w:p w14:paraId="23EA35EB">
      <w:pPr>
        <w:spacing w:line="560" w:lineRule="exact"/>
        <w:ind w:firstLine="640" w:firstLineChars="200"/>
        <w:rPr>
          <w:rFonts w:ascii="仿宋_GB2312" w:eastAsia="仿宋_GB2312"/>
          <w:sz w:val="32"/>
          <w:szCs w:val="32"/>
        </w:rPr>
      </w:pPr>
      <w:r>
        <w:rPr>
          <w:rFonts w:hint="eastAsia" w:ascii="仿宋_GB2312" w:eastAsia="仿宋_GB2312"/>
          <w:sz w:val="32"/>
          <w:szCs w:val="32"/>
        </w:rPr>
        <w:t>做市商申请通过的，本所将向市场公告。</w:t>
      </w:r>
    </w:p>
    <w:p w14:paraId="0E94992F">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取得本所同意成为主做市商的机构应当在收到本所通知之日起及时与本所签订做市商协议，明确双方的权利和义务。未签订做市商协议的，不得以主做市商身份提供做市服务。</w:t>
      </w:r>
    </w:p>
    <w:p w14:paraId="5AB6458F">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做市商申请为基金产品提供做市服务，应当向本所提交下列文件：</w:t>
      </w:r>
    </w:p>
    <w:p w14:paraId="1ED4EF3A">
      <w:pPr>
        <w:spacing w:line="560" w:lineRule="exact"/>
        <w:ind w:firstLine="420"/>
        <w:rPr>
          <w:rFonts w:ascii="仿宋_GB2312" w:hAnsi="宋体" w:eastAsia="仿宋_GB2312" w:cs="宋体"/>
          <w:sz w:val="32"/>
          <w:szCs w:val="32"/>
        </w:rPr>
      </w:pPr>
      <w:r>
        <w:rPr>
          <w:rFonts w:hint="eastAsia" w:ascii="仿宋_GB2312" w:eastAsia="仿宋_GB2312"/>
          <w:sz w:val="32"/>
          <w:szCs w:val="32"/>
        </w:rPr>
        <w:t>（一）</w:t>
      </w:r>
      <w:r>
        <w:rPr>
          <w:rFonts w:hint="eastAsia" w:ascii="仿宋_GB2312" w:hAnsi="宋体" w:eastAsia="仿宋_GB2312" w:cs="宋体"/>
          <w:sz w:val="32"/>
          <w:szCs w:val="32"/>
        </w:rPr>
        <w:t>加盖单位公章的为基金产品提供主做市服务或一般做市服务的申请书；</w:t>
      </w:r>
    </w:p>
    <w:p w14:paraId="4E66A46C">
      <w:pPr>
        <w:spacing w:line="560" w:lineRule="exact"/>
        <w:ind w:firstLine="420"/>
        <w:rPr>
          <w:rFonts w:ascii="仿宋_GB2312" w:eastAsia="仿宋_GB2312"/>
          <w:sz w:val="32"/>
          <w:szCs w:val="32"/>
        </w:rPr>
      </w:pPr>
      <w:r>
        <w:rPr>
          <w:rFonts w:hint="eastAsia" w:ascii="仿宋_GB2312" w:hAnsi="宋体" w:eastAsia="仿宋_GB2312" w:cs="宋体"/>
          <w:sz w:val="32"/>
          <w:szCs w:val="32"/>
        </w:rPr>
        <w:t>（二）基金公司的书面认可函；</w:t>
      </w:r>
    </w:p>
    <w:p w14:paraId="42ADEF94">
      <w:pPr>
        <w:spacing w:line="560" w:lineRule="exact"/>
        <w:ind w:firstLine="420"/>
        <w:rPr>
          <w:rFonts w:ascii="仿宋_GB2312" w:hAnsi="宋体" w:eastAsia="仿宋_GB2312" w:cs="宋体"/>
          <w:sz w:val="32"/>
          <w:szCs w:val="32"/>
        </w:rPr>
      </w:pPr>
      <w:r>
        <w:rPr>
          <w:rFonts w:hint="eastAsia" w:ascii="仿宋_GB2312" w:hAnsi="宋体" w:eastAsia="仿宋_GB2312" w:cs="宋体"/>
          <w:sz w:val="32"/>
          <w:szCs w:val="32"/>
        </w:rPr>
        <w:t>（三）基金产品</w:t>
      </w:r>
      <w:r>
        <w:rPr>
          <w:rFonts w:ascii="仿宋_GB2312" w:hAnsi="宋体" w:eastAsia="仿宋_GB2312" w:cs="宋体"/>
          <w:sz w:val="32"/>
          <w:szCs w:val="32"/>
        </w:rPr>
        <w:t>做市</w:t>
      </w:r>
      <w:r>
        <w:rPr>
          <w:rFonts w:hint="eastAsia" w:ascii="仿宋_GB2312" w:hAnsi="宋体" w:eastAsia="仿宋_GB2312" w:cs="宋体"/>
          <w:sz w:val="32"/>
          <w:szCs w:val="32"/>
        </w:rPr>
        <w:t>业务</w:t>
      </w:r>
      <w:r>
        <w:rPr>
          <w:rFonts w:ascii="仿宋_GB2312" w:hAnsi="宋体" w:eastAsia="仿宋_GB2312" w:cs="宋体"/>
          <w:sz w:val="32"/>
          <w:szCs w:val="32"/>
        </w:rPr>
        <w:t>实施方案、风险控制制度</w:t>
      </w:r>
      <w:r>
        <w:rPr>
          <w:rFonts w:hint="eastAsia" w:ascii="仿宋_GB2312" w:hAnsi="宋体" w:eastAsia="仿宋_GB2312" w:cs="宋体"/>
          <w:sz w:val="32"/>
          <w:szCs w:val="32"/>
        </w:rPr>
        <w:t>、有关内部管理制度</w:t>
      </w:r>
      <w:r>
        <w:rPr>
          <w:rFonts w:ascii="仿宋_GB2312" w:hAnsi="宋体" w:eastAsia="仿宋_GB2312" w:cs="宋体"/>
          <w:sz w:val="32"/>
          <w:szCs w:val="32"/>
        </w:rPr>
        <w:t>及技术系统准备的书面材料；</w:t>
      </w:r>
    </w:p>
    <w:p w14:paraId="49D8D90C">
      <w:pPr>
        <w:spacing w:line="560" w:lineRule="exact"/>
        <w:ind w:left="567"/>
        <w:rPr>
          <w:rFonts w:ascii="仿宋_GB2312" w:eastAsia="仿宋_GB2312"/>
          <w:sz w:val="32"/>
          <w:szCs w:val="32"/>
        </w:rPr>
      </w:pPr>
      <w:r>
        <w:rPr>
          <w:rFonts w:hint="eastAsia" w:ascii="仿宋_GB2312" w:hAnsi="宋体" w:eastAsia="仿宋_GB2312" w:cs="宋体"/>
          <w:sz w:val="32"/>
          <w:szCs w:val="32"/>
        </w:rPr>
        <w:t>（四）</w:t>
      </w:r>
      <w:r>
        <w:rPr>
          <w:rFonts w:ascii="仿宋_GB2312" w:hAnsi="宋体" w:eastAsia="仿宋_GB2312" w:cs="宋体"/>
          <w:sz w:val="32"/>
          <w:szCs w:val="32"/>
        </w:rPr>
        <w:t>做市</w:t>
      </w:r>
      <w:r>
        <w:rPr>
          <w:rFonts w:hint="eastAsia" w:ascii="仿宋_GB2312" w:hAnsi="宋体" w:eastAsia="仿宋_GB2312" w:cs="宋体"/>
          <w:sz w:val="32"/>
          <w:szCs w:val="32"/>
        </w:rPr>
        <w:t>业务</w:t>
      </w:r>
      <w:r>
        <w:rPr>
          <w:rFonts w:ascii="仿宋_GB2312" w:hAnsi="宋体" w:eastAsia="仿宋_GB2312" w:cs="宋体"/>
          <w:sz w:val="32"/>
          <w:szCs w:val="32"/>
        </w:rPr>
        <w:t>专用账户信息报备表</w:t>
      </w:r>
      <w:r>
        <w:rPr>
          <w:rFonts w:hint="eastAsia" w:ascii="仿宋_GB2312" w:eastAsia="仿宋_GB2312"/>
          <w:sz w:val="32"/>
          <w:szCs w:val="32"/>
        </w:rPr>
        <w:t>；</w:t>
      </w:r>
    </w:p>
    <w:p w14:paraId="615991C6">
      <w:pPr>
        <w:spacing w:line="560" w:lineRule="exact"/>
        <w:ind w:left="567"/>
        <w:rPr>
          <w:rFonts w:ascii="仿宋_GB2312" w:eastAsia="仿宋_GB2312"/>
          <w:sz w:val="32"/>
          <w:szCs w:val="32"/>
        </w:rPr>
      </w:pPr>
      <w:r>
        <w:rPr>
          <w:rFonts w:hint="eastAsia" w:ascii="仿宋_GB2312" w:eastAsia="仿宋_GB2312"/>
          <w:sz w:val="32"/>
          <w:szCs w:val="32"/>
        </w:rPr>
        <w:t>（五）本所要求的其他文件。</w:t>
      </w:r>
    </w:p>
    <w:p w14:paraId="77699FF7">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做市商提交的做市服务申请文件齐备的，</w:t>
      </w:r>
      <w:r>
        <w:rPr>
          <w:rFonts w:ascii="仿宋_GB2312" w:eastAsia="仿宋_GB2312"/>
          <w:sz w:val="32"/>
          <w:szCs w:val="32"/>
        </w:rPr>
        <w:t>本所自文件齐备之日</w:t>
      </w:r>
      <w:r>
        <w:rPr>
          <w:rFonts w:ascii="Times New Roman" w:hAnsi="Times New Roman" w:eastAsia="仿宋_GB2312"/>
          <w:sz w:val="32"/>
          <w:szCs w:val="32"/>
        </w:rPr>
        <w:t>起3个交易日内予以确认，申请人可自行在业务系统查询受理进度。本所向市场公告为特定基金提供做市服务的做市商名单，自公告中载明的做市</w:t>
      </w:r>
      <w:r>
        <w:rPr>
          <w:rFonts w:ascii="仿宋_GB2312" w:eastAsia="仿宋_GB2312"/>
          <w:sz w:val="32"/>
          <w:szCs w:val="32"/>
        </w:rPr>
        <w:t>服务起始日起，</w:t>
      </w:r>
      <w:r>
        <w:rPr>
          <w:rFonts w:hint="eastAsia" w:ascii="仿宋_GB2312" w:eastAsia="仿宋_GB2312"/>
          <w:sz w:val="32"/>
          <w:szCs w:val="32"/>
        </w:rPr>
        <w:t>做市商可以为申请的基金产品提供做市服务。</w:t>
      </w:r>
    </w:p>
    <w:p w14:paraId="36580144">
      <w:pPr>
        <w:spacing w:line="560" w:lineRule="exact"/>
        <w:ind w:firstLine="600"/>
        <w:jc w:val="left"/>
        <w:rPr>
          <w:rFonts w:ascii="仿宋_GB2312" w:hAnsi="宋体" w:eastAsia="仿宋_GB2312" w:cs="宋体"/>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本所可以根据基金管理人的申请、基金产品特性等因素，确定特定基金产品的主做市商家数。本所认为为特定基金产品提供做市服务的主做市商数量不足的，</w:t>
      </w:r>
      <w:r>
        <w:rPr>
          <w:rFonts w:hint="eastAsia" w:ascii="仿宋_GB2312" w:hAnsi="宋体" w:eastAsia="仿宋_GB2312" w:cs="宋体"/>
          <w:sz w:val="32"/>
          <w:szCs w:val="32"/>
        </w:rPr>
        <w:t>可以协商确定主做市商为其提供做市服务。</w:t>
      </w:r>
    </w:p>
    <w:p w14:paraId="4B276759">
      <w:pPr>
        <w:spacing w:line="560" w:lineRule="exact"/>
        <w:jc w:val="center"/>
        <w:rPr>
          <w:rFonts w:ascii="黑体" w:hAnsi="宋体" w:eastAsia="黑体" w:cs="宋体"/>
          <w:b/>
          <w:kern w:val="0"/>
          <w:sz w:val="32"/>
          <w:szCs w:val="32"/>
        </w:rPr>
      </w:pPr>
      <w:r>
        <w:rPr>
          <w:rFonts w:hint="eastAsia" w:ascii="黑体" w:hAnsi="宋体" w:eastAsia="黑体" w:cs="宋体"/>
          <w:b/>
          <w:kern w:val="0"/>
          <w:sz w:val="32"/>
          <w:szCs w:val="32"/>
        </w:rPr>
        <w:t>第三章</w:t>
      </w:r>
      <w:r>
        <w:rPr>
          <w:rFonts w:ascii="黑体" w:hAnsi="宋体" w:eastAsia="黑体" w:cs="宋体"/>
          <w:b/>
          <w:kern w:val="0"/>
          <w:sz w:val="32"/>
          <w:szCs w:val="32"/>
        </w:rPr>
        <w:tab/>
      </w:r>
      <w:r>
        <w:rPr>
          <w:rFonts w:hint="eastAsia" w:ascii="黑体" w:hAnsi="宋体" w:eastAsia="黑体" w:cs="宋体"/>
          <w:b/>
          <w:kern w:val="0"/>
          <w:sz w:val="32"/>
          <w:szCs w:val="32"/>
        </w:rPr>
        <w:t>做市规则</w:t>
      </w:r>
    </w:p>
    <w:p w14:paraId="3EA6D3EA">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做市商提供做市服务，应当指定专用证券账户和对应的交易单元，并向本所备案。专用证券账户不得用于提供做市服务以外的用途。</w:t>
      </w:r>
    </w:p>
    <w:p w14:paraId="04FDF283">
      <w:pPr>
        <w:spacing w:line="560" w:lineRule="exact"/>
        <w:ind w:firstLine="640" w:firstLineChars="200"/>
        <w:rPr>
          <w:rFonts w:ascii="仿宋_GB2312" w:eastAsia="仿宋_GB2312"/>
          <w:sz w:val="32"/>
          <w:szCs w:val="32"/>
        </w:rPr>
      </w:pPr>
      <w:r>
        <w:rPr>
          <w:rFonts w:hint="eastAsia" w:ascii="仿宋_GB2312" w:eastAsia="仿宋_GB2312"/>
          <w:sz w:val="32"/>
          <w:szCs w:val="32"/>
        </w:rPr>
        <w:t>做市商变</w:t>
      </w:r>
      <w:r>
        <w:rPr>
          <w:rFonts w:ascii="Times New Roman" w:hAnsi="Times New Roman" w:eastAsia="仿宋_GB2312"/>
          <w:sz w:val="32"/>
          <w:szCs w:val="32"/>
        </w:rPr>
        <w:t>更上述指定证券账户的，应当提前5个交易日向本所备案，经本所确认后实</w:t>
      </w:r>
      <w:r>
        <w:rPr>
          <w:rFonts w:hint="eastAsia" w:ascii="仿宋_GB2312" w:eastAsia="仿宋_GB2312"/>
          <w:sz w:val="32"/>
          <w:szCs w:val="32"/>
        </w:rPr>
        <w:t>施。</w:t>
      </w:r>
    </w:p>
    <w:p w14:paraId="34F3C1C8">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做市商应按照规定的做市服务评价指标提供做市服务。</w:t>
      </w:r>
      <w:bookmarkStart w:id="0" w:name="OLE_LINK1"/>
      <w:bookmarkStart w:id="1" w:name="OLE_LINK2"/>
      <w:r>
        <w:rPr>
          <w:rFonts w:hint="eastAsia" w:ascii="仿宋_GB2312" w:eastAsia="仿宋_GB2312"/>
          <w:sz w:val="32"/>
          <w:szCs w:val="32"/>
        </w:rPr>
        <w:t>评价指标</w:t>
      </w:r>
      <w:bookmarkEnd w:id="0"/>
      <w:bookmarkEnd w:id="1"/>
      <w:r>
        <w:rPr>
          <w:rFonts w:hint="eastAsia" w:ascii="仿宋_GB2312" w:eastAsia="仿宋_GB2312"/>
          <w:sz w:val="32"/>
          <w:szCs w:val="32"/>
        </w:rPr>
        <w:t>包括但不限于下列要素：</w:t>
      </w:r>
    </w:p>
    <w:p w14:paraId="00C52C9B">
      <w:pPr>
        <w:spacing w:line="560" w:lineRule="exact"/>
        <w:ind w:firstLine="640" w:firstLineChars="200"/>
        <w:rPr>
          <w:rFonts w:ascii="仿宋_GB2312" w:eastAsia="仿宋_GB2312"/>
          <w:sz w:val="32"/>
          <w:szCs w:val="32"/>
        </w:rPr>
      </w:pPr>
      <w:r>
        <w:rPr>
          <w:rFonts w:hint="eastAsia" w:ascii="仿宋_GB2312" w:eastAsia="仿宋_GB2312"/>
          <w:sz w:val="32"/>
          <w:szCs w:val="32"/>
        </w:rPr>
        <w:t>（一）最大买卖价差；</w:t>
      </w:r>
    </w:p>
    <w:p w14:paraId="28B85B16">
      <w:pPr>
        <w:spacing w:line="560" w:lineRule="exact"/>
        <w:ind w:firstLine="640" w:firstLineChars="200"/>
        <w:rPr>
          <w:rFonts w:ascii="仿宋_GB2312" w:eastAsia="仿宋_GB2312"/>
          <w:sz w:val="32"/>
          <w:szCs w:val="32"/>
        </w:rPr>
      </w:pPr>
      <w:r>
        <w:rPr>
          <w:rFonts w:hint="eastAsia" w:ascii="仿宋_GB2312" w:eastAsia="仿宋_GB2312"/>
          <w:sz w:val="32"/>
          <w:szCs w:val="32"/>
        </w:rPr>
        <w:t>（二）平均每笔申报金额；</w:t>
      </w:r>
    </w:p>
    <w:p w14:paraId="21E36042">
      <w:pPr>
        <w:spacing w:line="560" w:lineRule="exact"/>
        <w:ind w:firstLine="640" w:firstLineChars="200"/>
        <w:rPr>
          <w:rFonts w:ascii="仿宋_GB2312" w:eastAsia="仿宋_GB2312"/>
          <w:sz w:val="32"/>
          <w:szCs w:val="32"/>
        </w:rPr>
      </w:pPr>
      <w:r>
        <w:rPr>
          <w:rFonts w:hint="eastAsia" w:ascii="仿宋_GB2312" w:eastAsia="仿宋_GB2312"/>
          <w:sz w:val="32"/>
          <w:szCs w:val="32"/>
        </w:rPr>
        <w:t>（三）连续竞价参与率；</w:t>
      </w:r>
    </w:p>
    <w:p w14:paraId="7CA904C4">
      <w:pPr>
        <w:spacing w:line="560" w:lineRule="exact"/>
        <w:ind w:firstLine="640" w:firstLineChars="200"/>
        <w:rPr>
          <w:rFonts w:ascii="仿宋_GB2312" w:eastAsia="仿宋_GB2312"/>
          <w:sz w:val="32"/>
          <w:szCs w:val="32"/>
        </w:rPr>
      </w:pPr>
      <w:r>
        <w:rPr>
          <w:rFonts w:hint="eastAsia" w:ascii="仿宋_GB2312" w:eastAsia="仿宋_GB2312"/>
          <w:sz w:val="32"/>
          <w:szCs w:val="32"/>
        </w:rPr>
        <w:t>（四）集合竞价参与率；</w:t>
      </w:r>
    </w:p>
    <w:p w14:paraId="45E0CA84">
      <w:pPr>
        <w:spacing w:line="560" w:lineRule="exact"/>
        <w:ind w:firstLine="640" w:firstLineChars="200"/>
        <w:rPr>
          <w:rFonts w:ascii="仿宋_GB2312" w:eastAsia="仿宋_GB2312"/>
          <w:sz w:val="32"/>
          <w:szCs w:val="32"/>
        </w:rPr>
      </w:pPr>
      <w:r>
        <w:rPr>
          <w:rFonts w:hint="eastAsia" w:ascii="仿宋_GB2312" w:eastAsia="仿宋_GB2312"/>
          <w:sz w:val="32"/>
          <w:szCs w:val="32"/>
        </w:rPr>
        <w:t>（五）其他做市服务评价指标。</w:t>
      </w:r>
    </w:p>
    <w:p w14:paraId="51082FCB">
      <w:pPr>
        <w:spacing w:line="560" w:lineRule="exact"/>
        <w:ind w:firstLine="640" w:firstLineChars="200"/>
        <w:rPr>
          <w:rFonts w:ascii="仿宋_GB2312" w:eastAsia="仿宋_GB2312"/>
          <w:sz w:val="32"/>
          <w:szCs w:val="32"/>
        </w:rPr>
      </w:pPr>
      <w:r>
        <w:rPr>
          <w:rFonts w:hint="eastAsia" w:ascii="仿宋_GB2312" w:eastAsia="仿宋_GB2312"/>
          <w:sz w:val="32"/>
          <w:szCs w:val="32"/>
        </w:rPr>
        <w:t>本所可以根据市场情况，对评价标准做出具体的安排和调整。</w:t>
      </w:r>
    </w:p>
    <w:p w14:paraId="1097614A">
      <w:pPr>
        <w:spacing w:line="560" w:lineRule="exact"/>
        <w:ind w:firstLine="643" w:firstLineChars="200"/>
        <w:rPr>
          <w:rFonts w:ascii="Times New Roman" w:hAnsi="Times New Roman"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根据本指引第十五条规定的评价指标，本所定期评价做市商的做市服务情况。</w:t>
      </w:r>
      <w:r>
        <w:rPr>
          <w:rFonts w:hint="eastAsia" w:ascii="仿宋_GB2312" w:hAnsi="宋体" w:eastAsia="仿宋_GB2312" w:cs="宋体"/>
          <w:sz w:val="32"/>
          <w:szCs w:val="32"/>
        </w:rPr>
        <w:t>本所对做市商的主做市服务评价分为</w:t>
      </w:r>
      <w:r>
        <w:rPr>
          <w:rFonts w:ascii="Times New Roman" w:hAnsi="Times New Roman" w:eastAsia="仿宋_GB2312"/>
          <w:sz w:val="32"/>
          <w:szCs w:val="32"/>
        </w:rPr>
        <w:t>AA、A、B、C、D五个档次</w:t>
      </w:r>
      <w:bookmarkStart w:id="2" w:name="OLE_LINK4"/>
      <w:bookmarkStart w:id="3" w:name="OLE_LINK3"/>
      <w:r>
        <w:rPr>
          <w:rFonts w:ascii="Times New Roman" w:hAnsi="Times New Roman" w:eastAsia="仿宋_GB2312"/>
          <w:sz w:val="32"/>
          <w:szCs w:val="32"/>
        </w:rPr>
        <w:t>，对做市商的一般做市服务评价分为A、B、C、D四个档次。</w:t>
      </w:r>
      <w:bookmarkEnd w:id="2"/>
      <w:bookmarkEnd w:id="3"/>
    </w:p>
    <w:p w14:paraId="4FB00896">
      <w:pPr>
        <w:spacing w:line="560" w:lineRule="exact"/>
        <w:ind w:firstLine="640" w:firstLineChars="200"/>
        <w:rPr>
          <w:rFonts w:ascii="仿宋_GB2312" w:eastAsia="仿宋_GB2312"/>
          <w:sz w:val="32"/>
          <w:szCs w:val="32"/>
        </w:rPr>
      </w:pPr>
      <w:r>
        <w:rPr>
          <w:rFonts w:hint="eastAsia" w:ascii="仿宋_GB2312" w:eastAsia="仿宋_GB2312"/>
          <w:sz w:val="32"/>
          <w:szCs w:val="32"/>
        </w:rPr>
        <w:t>本所每月度对做市商单只基金产品做市服务情况进行评价，并向相应做市商和基金管理人公布评价结果。本所根据做市商做市服务月度评价情况，每年定期对做市商整体做市服务情况进行综合评价，并向市场公告。</w:t>
      </w:r>
    </w:p>
    <w:p w14:paraId="6080C3F7">
      <w:pPr>
        <w:spacing w:line="560" w:lineRule="exact"/>
        <w:ind w:firstLine="640" w:firstLineChars="200"/>
        <w:rPr>
          <w:rFonts w:ascii="仿宋_GB2312" w:eastAsia="仿宋_GB2312"/>
          <w:sz w:val="32"/>
          <w:szCs w:val="32"/>
        </w:rPr>
      </w:pPr>
      <w:r>
        <w:rPr>
          <w:rFonts w:hint="eastAsia" w:ascii="仿宋_GB2312" w:eastAsia="仿宋_GB2312"/>
          <w:sz w:val="32"/>
          <w:szCs w:val="32"/>
        </w:rPr>
        <w:t>做市商违反本指引、本所其他规定或者做市商协议约定的，本所可以调低其评价结果。</w:t>
      </w:r>
    </w:p>
    <w:p w14:paraId="58007C8C">
      <w:pPr>
        <w:spacing w:line="560" w:lineRule="exact"/>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第十七条</w:t>
      </w:r>
      <w:r>
        <w:rPr>
          <w:rFonts w:hint="eastAsia" w:ascii="仿宋_GB2312" w:hAnsi="宋体" w:eastAsia="仿宋_GB2312" w:cs="宋体"/>
          <w:sz w:val="32"/>
          <w:szCs w:val="32"/>
        </w:rPr>
        <w:t xml:space="preserve">  本所可以根据做市服务评价结果，对主做市商提供的主做市服务给予适当的费用减免或激励。</w:t>
      </w:r>
    </w:p>
    <w:p w14:paraId="210EA90E">
      <w:pPr>
        <w:spacing w:line="560" w:lineRule="exact"/>
        <w:ind w:firstLine="643" w:firstLineChars="200"/>
        <w:rPr>
          <w:rFonts w:ascii="仿宋_GB2312" w:hAnsi="宋体" w:eastAsia="仿宋_GB2312" w:cs="宋体"/>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出现下列情形之一，导致做市商无法继续提供做市服务的，本所可以根据市场情况或者做市商申请，</w:t>
      </w:r>
      <w:r>
        <w:rPr>
          <w:rFonts w:hint="eastAsia" w:ascii="仿宋_GB2312" w:hAnsi="宋体" w:eastAsia="仿宋_GB2312" w:cs="宋体"/>
          <w:sz w:val="32"/>
          <w:szCs w:val="32"/>
        </w:rPr>
        <w:t>相应豁免</w:t>
      </w:r>
      <w:r>
        <w:rPr>
          <w:rFonts w:hint="eastAsia" w:ascii="仿宋_GB2312" w:eastAsia="仿宋_GB2312"/>
          <w:sz w:val="32"/>
          <w:szCs w:val="32"/>
        </w:rPr>
        <w:t>做市商的</w:t>
      </w:r>
      <w:r>
        <w:rPr>
          <w:rFonts w:hint="eastAsia" w:ascii="仿宋_GB2312" w:hAnsi="宋体" w:eastAsia="仿宋_GB2312" w:cs="宋体"/>
          <w:sz w:val="32"/>
          <w:szCs w:val="32"/>
        </w:rPr>
        <w:t>做市义务：</w:t>
      </w:r>
    </w:p>
    <w:p w14:paraId="405EFFE2">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（一）基金</w:t>
      </w:r>
      <w:r>
        <w:rPr>
          <w:rFonts w:hint="eastAsia" w:ascii="仿宋_GB2312" w:eastAsia="仿宋_GB2312"/>
          <w:sz w:val="32"/>
          <w:szCs w:val="32"/>
        </w:rPr>
        <w:t>最新成交价格达到涨停或者跌停价格；</w:t>
      </w:r>
    </w:p>
    <w:p w14:paraId="3CB22A8D">
      <w:pPr>
        <w:spacing w:line="560" w:lineRule="exact"/>
        <w:ind w:firstLine="640" w:firstLineChars="200"/>
        <w:rPr>
          <w:rFonts w:ascii="仿宋_GB2312" w:eastAsia="仿宋_GB2312"/>
          <w:sz w:val="32"/>
          <w:szCs w:val="32"/>
        </w:rPr>
      </w:pPr>
      <w:r>
        <w:rPr>
          <w:rFonts w:hint="eastAsia" w:ascii="仿宋_GB2312" w:eastAsia="仿宋_GB2312"/>
          <w:sz w:val="32"/>
          <w:szCs w:val="32"/>
        </w:rPr>
        <w:t>（二）交易型开放式指数证券投资基金或者上市开放式基金的最新成交价格较基金份额参考净值偏离幅度达</w:t>
      </w:r>
      <w:r>
        <w:rPr>
          <w:rFonts w:ascii="Times New Roman" w:hAnsi="Times New Roman" w:eastAsia="仿宋_GB2312"/>
          <w:sz w:val="32"/>
          <w:szCs w:val="32"/>
        </w:rPr>
        <w:t>到10%以</w:t>
      </w:r>
      <w:r>
        <w:rPr>
          <w:rFonts w:hint="eastAsia" w:ascii="仿宋_GB2312" w:eastAsia="仿宋_GB2312"/>
          <w:sz w:val="32"/>
          <w:szCs w:val="32"/>
        </w:rPr>
        <w:t>上，相关基金没有基金份额参考净值的，以上一交易日基金份额净值为基础计算偏离幅度；</w:t>
      </w:r>
    </w:p>
    <w:p w14:paraId="2F0E8CAA">
      <w:pPr>
        <w:spacing w:line="560" w:lineRule="exact"/>
        <w:ind w:firstLine="640" w:firstLineChars="200"/>
        <w:rPr>
          <w:rFonts w:ascii="仿宋_GB2312" w:eastAsia="仿宋_GB2312"/>
          <w:sz w:val="32"/>
          <w:szCs w:val="32"/>
        </w:rPr>
      </w:pPr>
      <w:r>
        <w:rPr>
          <w:rFonts w:hint="eastAsia" w:ascii="仿宋_GB2312" w:eastAsia="仿宋_GB2312"/>
          <w:sz w:val="32"/>
          <w:szCs w:val="32"/>
        </w:rPr>
        <w:t>（三）发生不可抗力、意外事件等突发性事件；</w:t>
      </w:r>
    </w:p>
    <w:p w14:paraId="72B2E7CD">
      <w:pPr>
        <w:spacing w:line="560" w:lineRule="exact"/>
        <w:ind w:firstLine="640" w:firstLineChars="200"/>
        <w:rPr>
          <w:rFonts w:ascii="仿宋_GB2312" w:hAnsi="宋体" w:eastAsia="仿宋_GB2312" w:cs="宋体"/>
          <w:sz w:val="32"/>
          <w:szCs w:val="32"/>
        </w:rPr>
      </w:pPr>
      <w:r>
        <w:rPr>
          <w:rFonts w:hint="eastAsia" w:ascii="仿宋_GB2312" w:eastAsia="仿宋_GB2312"/>
          <w:sz w:val="32"/>
          <w:szCs w:val="32"/>
        </w:rPr>
        <w:t>（四）发生非做市商原因导致的技术故障</w:t>
      </w:r>
      <w:r>
        <w:rPr>
          <w:rFonts w:hint="eastAsia" w:ascii="仿宋_GB2312" w:hAnsi="宋体" w:eastAsia="仿宋_GB2312" w:cs="宋体"/>
          <w:sz w:val="32"/>
          <w:szCs w:val="32"/>
        </w:rPr>
        <w:t>；</w:t>
      </w:r>
    </w:p>
    <w:p w14:paraId="0F841C6F">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（五）做市商在非交易日进行技术系统升级，升级后首个交易日进行实盘测试；</w:t>
      </w:r>
    </w:p>
    <w:p w14:paraId="19E92FA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rPr>
        <w:t>（六）</w:t>
      </w:r>
      <w:r>
        <w:rPr>
          <w:rFonts w:hint="eastAsia" w:ascii="仿宋_GB2312" w:hAnsi="宋体" w:eastAsia="仿宋_GB2312" w:cs="宋体"/>
          <w:kern w:val="0"/>
          <w:sz w:val="32"/>
          <w:szCs w:val="32"/>
        </w:rPr>
        <w:t>本所认可的其他情形。</w:t>
      </w:r>
    </w:p>
    <w:p w14:paraId="263ACCAF">
      <w:pPr>
        <w:pStyle w:val="24"/>
        <w:snapToGrid w:val="0"/>
        <w:spacing w:line="560" w:lineRule="exact"/>
        <w:ind w:firstLine="640"/>
        <w:rPr>
          <w:rFonts w:ascii="仿宋_GB2312" w:hAnsi="宋体" w:eastAsia="仿宋_GB2312" w:cs="宋体"/>
          <w:sz w:val="32"/>
          <w:szCs w:val="32"/>
        </w:rPr>
      </w:pPr>
      <w:r>
        <w:rPr>
          <w:rFonts w:hint="eastAsia" w:ascii="仿宋_GB2312" w:hAnsi="宋体" w:eastAsia="仿宋_GB2312" w:cs="宋体"/>
          <w:sz w:val="32"/>
          <w:szCs w:val="32"/>
        </w:rPr>
        <w:t>前款规定的情形消失后，做市商应当立即恢复相应做市服务。</w:t>
      </w:r>
    </w:p>
    <w:p w14:paraId="7EBD9C4B">
      <w:pPr>
        <w:widowControl/>
        <w:adjustRightInd w:val="0"/>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出现第一款第一项和第二项规定情形的，做市商可以根据自身业务安排，继续提供与市场波动方向相反的单边报价。</w:t>
      </w:r>
    </w:p>
    <w:p w14:paraId="07DB2E9C">
      <w:pPr>
        <w:widowControl/>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出现第一款第五项规定情形的，做市商应当至少在技术系统升级前1个交易日向本所申请，且申请的豁免时长不得超过1个交易日；出现第一款第五项规定以外情形的，应当在情形发生后5个交易日内向本所提交书面豁免申请并说明原因。</w:t>
      </w:r>
    </w:p>
    <w:p w14:paraId="34F012D6">
      <w:pPr>
        <w:pStyle w:val="24"/>
        <w:snapToGrid w:val="0"/>
        <w:spacing w:line="560" w:lineRule="exact"/>
        <w:ind w:firstLine="610" w:firstLineChars="190"/>
        <w:rPr>
          <w:rFonts w:ascii="仿宋_GB2312" w:hAnsi="宋体" w:eastAsia="仿宋_GB2312" w:cs="宋体"/>
          <w:sz w:val="32"/>
          <w:szCs w:val="32"/>
        </w:rPr>
      </w:pPr>
      <w:r>
        <w:rPr>
          <w:rFonts w:ascii="Times New Roman" w:hAnsi="Times New Roman" w:eastAsia="仿宋_GB2312"/>
          <w:b/>
          <w:sz w:val="32"/>
          <w:szCs w:val="32"/>
        </w:rPr>
        <w:t>第十九条</w:t>
      </w:r>
      <w:r>
        <w:rPr>
          <w:rFonts w:ascii="Times New Roman" w:hAnsi="Times New Roman" w:eastAsia="仿宋_GB2312"/>
          <w:sz w:val="32"/>
          <w:szCs w:val="32"/>
        </w:rPr>
        <w:t xml:space="preserve">  做市商主动申请终止为全部或者部分基金产品提供做市服务的，应当提前5个交易日</w:t>
      </w:r>
      <w:r>
        <w:rPr>
          <w:rFonts w:hint="eastAsia" w:ascii="仿宋_GB2312" w:hAnsi="宋体" w:eastAsia="仿宋_GB2312" w:cs="宋体"/>
          <w:sz w:val="32"/>
          <w:szCs w:val="32"/>
        </w:rPr>
        <w:t>书面通知本所，经本所确认后终止。</w:t>
      </w:r>
    </w:p>
    <w:p w14:paraId="15A7032C">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做市商主动申请终止做市服</w:t>
      </w:r>
      <w:r>
        <w:rPr>
          <w:rFonts w:ascii="Times New Roman" w:hAnsi="Times New Roman" w:eastAsia="仿宋_GB2312"/>
          <w:sz w:val="32"/>
          <w:szCs w:val="32"/>
        </w:rPr>
        <w:t>务的，6个月内</w:t>
      </w:r>
      <w:r>
        <w:rPr>
          <w:rFonts w:hint="eastAsia" w:ascii="仿宋_GB2312" w:hAnsi="宋体" w:eastAsia="仿宋_GB2312" w:cs="宋体"/>
          <w:sz w:val="32"/>
          <w:szCs w:val="32"/>
        </w:rPr>
        <w:t>不得重新申请为相应基金产品提供做市服务。</w:t>
      </w:r>
    </w:p>
    <w:p w14:paraId="1950954D">
      <w:pPr>
        <w:spacing w:line="560" w:lineRule="exact"/>
        <w:jc w:val="center"/>
        <w:rPr>
          <w:rFonts w:ascii="仿宋_GB2312" w:eastAsia="仿宋_GB2312"/>
          <w:b/>
          <w:sz w:val="32"/>
          <w:szCs w:val="32"/>
        </w:rPr>
      </w:pPr>
      <w:r>
        <w:rPr>
          <w:rFonts w:hint="eastAsia" w:ascii="黑体" w:hAnsi="宋体" w:eastAsia="黑体" w:cs="宋体"/>
          <w:b/>
          <w:kern w:val="0"/>
          <w:sz w:val="32"/>
          <w:szCs w:val="32"/>
        </w:rPr>
        <w:t>第四章做市商监管</w:t>
      </w:r>
    </w:p>
    <w:p w14:paraId="53454AB0">
      <w:pPr>
        <w:spacing w:line="560" w:lineRule="exact"/>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第二十条</w:t>
      </w:r>
      <w:r>
        <w:rPr>
          <w:rFonts w:hint="eastAsia" w:ascii="仿宋_GB2312" w:hAnsi="宋体" w:eastAsia="仿宋_GB2312" w:cs="宋体"/>
          <w:sz w:val="32"/>
          <w:szCs w:val="32"/>
        </w:rPr>
        <w:t xml:space="preserve">  做市商应当具备符合要求的技术系统、风险控制制度、动态风险监控系统，确保做市业务风险可测、可控。</w:t>
      </w:r>
    </w:p>
    <w:p w14:paraId="01F7F071">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主做市商应当建立压力测试机制，并按季度向本所提交压力测试报告。</w:t>
      </w:r>
    </w:p>
    <w:p w14:paraId="0DC619BB">
      <w:pPr>
        <w:pStyle w:val="24"/>
        <w:snapToGrid w:val="0"/>
        <w:spacing w:line="560" w:lineRule="exact"/>
        <w:ind w:firstLine="643"/>
        <w:rPr>
          <w:rFonts w:ascii="仿宋_GB2312" w:hAnsi="宋体" w:eastAsia="仿宋_GB2312" w:cs="宋体"/>
          <w:sz w:val="32"/>
          <w:szCs w:val="32"/>
        </w:rPr>
      </w:pPr>
      <w:r>
        <w:rPr>
          <w:rFonts w:hint="eastAsia" w:ascii="仿宋_GB2312" w:hAnsi="宋体" w:eastAsia="仿宋_GB2312" w:cs="宋体"/>
          <w:b/>
          <w:sz w:val="32"/>
          <w:szCs w:val="32"/>
        </w:rPr>
        <w:t>第二十一条</w:t>
      </w:r>
      <w:r>
        <w:rPr>
          <w:rFonts w:hint="eastAsia" w:ascii="仿宋_GB2312" w:hAnsi="宋体" w:eastAsia="仿宋_GB2312" w:cs="宋体"/>
          <w:sz w:val="32"/>
          <w:szCs w:val="32"/>
        </w:rPr>
        <w:t xml:space="preserve">  本所可以对做市商的风险管理、交易行为及相关系统安全运行等情况进行监督，并进行现场或者非现场检查。</w:t>
      </w:r>
    </w:p>
    <w:p w14:paraId="5392BC90">
      <w:pPr>
        <w:spacing w:line="560" w:lineRule="exact"/>
        <w:ind w:firstLine="643" w:firstLineChars="200"/>
        <w:rPr>
          <w:rFonts w:ascii="仿宋_GB2312" w:hAnsi="宋体" w:eastAsia="仿宋_GB2312" w:cs="宋体"/>
          <w:sz w:val="32"/>
          <w:szCs w:val="32"/>
        </w:rPr>
      </w:pPr>
      <w:r>
        <w:rPr>
          <w:rFonts w:hint="eastAsia" w:ascii="仿宋_GB2312" w:eastAsia="仿宋_GB2312"/>
          <w:b/>
          <w:sz w:val="32"/>
          <w:szCs w:val="32"/>
        </w:rPr>
        <w:t>第二十二条</w:t>
      </w:r>
      <w:r>
        <w:rPr>
          <w:rFonts w:hint="eastAsia" w:ascii="仿宋_GB2312" w:hAnsi="宋体" w:eastAsia="仿宋_GB2312" w:cs="宋体"/>
          <w:sz w:val="32"/>
          <w:szCs w:val="32"/>
        </w:rPr>
        <w:t>有下列情形之一的，本所可以终止做市商为特定基金提供做市服务：</w:t>
      </w:r>
    </w:p>
    <w:p w14:paraId="03912F59">
      <w:pPr>
        <w:pStyle w:val="24"/>
        <w:snapToGrid w:val="0"/>
        <w:spacing w:line="560" w:lineRule="exact"/>
        <w:ind w:firstLine="640"/>
        <w:rPr>
          <w:rFonts w:ascii="仿宋_GB2312" w:hAnsi="宋体" w:eastAsia="仿宋_GB2312" w:cs="宋体"/>
          <w:sz w:val="32"/>
          <w:szCs w:val="32"/>
        </w:rPr>
      </w:pPr>
      <w:r>
        <w:rPr>
          <w:rFonts w:hint="eastAsia" w:ascii="仿宋_GB2312" w:hAnsi="宋体" w:eastAsia="仿宋_GB2312" w:cs="宋体"/>
          <w:sz w:val="32"/>
          <w:szCs w:val="32"/>
        </w:rPr>
        <w:t>（一）</w:t>
      </w:r>
      <w:r>
        <w:rPr>
          <w:rFonts w:ascii="仿宋_GB2312" w:hAnsi="宋体" w:eastAsia="仿宋_GB2312" w:cs="宋体"/>
          <w:sz w:val="32"/>
          <w:szCs w:val="32"/>
        </w:rPr>
        <w:t>基金管理人</w:t>
      </w:r>
      <w:r>
        <w:rPr>
          <w:rFonts w:hint="eastAsia" w:ascii="Times New Roman" w:hAnsi="Times New Roman" w:eastAsia="仿宋_GB2312"/>
          <w:sz w:val="32"/>
          <w:szCs w:val="32"/>
        </w:rPr>
        <w:t>提供充分理由</w:t>
      </w:r>
      <w:r>
        <w:rPr>
          <w:rFonts w:hint="eastAsia" w:ascii="仿宋_GB2312" w:hAnsi="宋体" w:eastAsia="仿宋_GB2312" w:cs="宋体"/>
          <w:sz w:val="32"/>
          <w:szCs w:val="32"/>
        </w:rPr>
        <w:t>书面要求终止做市商为特定</w:t>
      </w:r>
      <w:r>
        <w:rPr>
          <w:rFonts w:hint="eastAsia" w:ascii="Times New Roman" w:hAnsi="Times New Roman" w:eastAsia="仿宋_GB2312"/>
          <w:sz w:val="32"/>
          <w:szCs w:val="32"/>
        </w:rPr>
        <w:t>基金提供做市服务</w:t>
      </w:r>
      <w:r>
        <w:rPr>
          <w:rFonts w:hint="eastAsia" w:ascii="仿宋_GB2312" w:hAnsi="宋体" w:eastAsia="仿宋_GB2312" w:cs="宋体"/>
          <w:sz w:val="32"/>
          <w:szCs w:val="32"/>
        </w:rPr>
        <w:t>；</w:t>
      </w:r>
    </w:p>
    <w:p w14:paraId="229CB6F7">
      <w:pPr>
        <w:pStyle w:val="24"/>
        <w:snapToGrid w:val="0"/>
        <w:spacing w:line="560" w:lineRule="exact"/>
        <w:ind w:firstLine="640"/>
        <w:rPr>
          <w:rFonts w:ascii="Times New Roman" w:hAnsi="Times New Roman" w:eastAsia="仿宋_GB2312"/>
          <w:sz w:val="32"/>
          <w:szCs w:val="32"/>
        </w:rPr>
      </w:pPr>
      <w:r>
        <w:rPr>
          <w:rFonts w:hint="eastAsia" w:ascii="仿宋_GB2312" w:hAnsi="宋体" w:eastAsia="仿宋_GB2312" w:cs="宋体"/>
          <w:sz w:val="32"/>
          <w:szCs w:val="32"/>
        </w:rPr>
        <w:t>（二）主做市商</w:t>
      </w:r>
      <w:r>
        <w:rPr>
          <w:rFonts w:hint="eastAsia" w:ascii="仿宋_GB2312" w:eastAsia="仿宋_GB2312"/>
          <w:sz w:val="32"/>
          <w:szCs w:val="32"/>
        </w:rPr>
        <w:t>在</w:t>
      </w:r>
      <w:r>
        <w:rPr>
          <w:rFonts w:hint="eastAsia" w:ascii="仿宋_GB2312" w:hAnsi="宋体" w:eastAsia="仿宋_GB2312" w:cs="宋体"/>
          <w:sz w:val="32"/>
          <w:szCs w:val="32"/>
        </w:rPr>
        <w:t>考评年度内，为特定基金提供做市服务所获月度评级出</w:t>
      </w:r>
      <w:r>
        <w:rPr>
          <w:rFonts w:ascii="Times New Roman" w:hAnsi="Times New Roman" w:eastAsia="仿宋_GB2312"/>
          <w:sz w:val="32"/>
          <w:szCs w:val="32"/>
        </w:rPr>
        <w:t xml:space="preserve">现三次C与三次D或更低评级； </w:t>
      </w:r>
    </w:p>
    <w:p w14:paraId="669FADDF">
      <w:pPr>
        <w:pStyle w:val="24"/>
        <w:snapToGrid w:val="0"/>
        <w:spacing w:line="560" w:lineRule="exact"/>
        <w:ind w:firstLine="640"/>
        <w:rPr>
          <w:rFonts w:ascii="仿宋_GB2312" w:hAnsi="宋体" w:eastAsia="仿宋_GB2312" w:cs="宋体"/>
          <w:sz w:val="32"/>
          <w:szCs w:val="32"/>
        </w:rPr>
      </w:pPr>
      <w:r>
        <w:rPr>
          <w:rFonts w:hint="eastAsia" w:ascii="仿宋_GB2312" w:hAnsi="宋体" w:eastAsia="仿宋_GB2312" w:cs="宋体"/>
          <w:sz w:val="32"/>
          <w:szCs w:val="32"/>
        </w:rPr>
        <w:t>（三）本所规定或者做市商协议约定的其他情形。</w:t>
      </w:r>
    </w:p>
    <w:p w14:paraId="4C6043E9">
      <w:pPr>
        <w:pStyle w:val="24"/>
        <w:snapToGrid w:val="0"/>
        <w:spacing w:line="560" w:lineRule="exact"/>
        <w:ind w:firstLine="643"/>
        <w:rPr>
          <w:rFonts w:ascii="仿宋_GB2312" w:hAnsi="宋体" w:eastAsia="仿宋_GB2312" w:cs="宋体"/>
          <w:sz w:val="32"/>
          <w:szCs w:val="32"/>
        </w:rPr>
      </w:pPr>
      <w:r>
        <w:rPr>
          <w:rFonts w:hint="eastAsia" w:ascii="仿宋_GB2312" w:hAnsi="宋体" w:eastAsia="仿宋_GB2312" w:cs="宋体"/>
          <w:b/>
          <w:sz w:val="32"/>
          <w:szCs w:val="32"/>
        </w:rPr>
        <w:t>第二十三条</w:t>
      </w:r>
      <w:r>
        <w:rPr>
          <w:rFonts w:hint="eastAsia" w:ascii="仿宋_GB2312" w:hAnsi="宋体" w:eastAsia="仿宋_GB2312" w:cs="宋体"/>
          <w:sz w:val="32"/>
          <w:szCs w:val="32"/>
        </w:rPr>
        <w:t xml:space="preserve">  主做市商有下列情形之一的，进行年度末位淘汰，转为一般做市商：</w:t>
      </w:r>
    </w:p>
    <w:p w14:paraId="5E265B35">
      <w:pPr>
        <w:pStyle w:val="24"/>
        <w:snapToGrid w:val="0"/>
        <w:spacing w:line="560" w:lineRule="exact"/>
        <w:ind w:firstLine="640"/>
        <w:rPr>
          <w:rFonts w:ascii="Times New Roman" w:hAnsi="Times New Roman" w:eastAsia="仿宋_GB2312"/>
          <w:sz w:val="32"/>
          <w:szCs w:val="32"/>
        </w:rPr>
      </w:pPr>
      <w:r>
        <w:rPr>
          <w:rFonts w:hint="eastAsia" w:ascii="仿宋_GB2312" w:hAnsi="宋体" w:eastAsia="仿宋_GB2312" w:cs="宋体"/>
          <w:sz w:val="32"/>
          <w:szCs w:val="32"/>
        </w:rPr>
        <w:t>（一）</w:t>
      </w:r>
      <w:r>
        <w:rPr>
          <w:rFonts w:hint="eastAsia" w:ascii="仿宋_GB2312" w:eastAsia="仿宋_GB2312"/>
          <w:sz w:val="32"/>
          <w:szCs w:val="32"/>
        </w:rPr>
        <w:t>年度综合</w:t>
      </w:r>
      <w:r>
        <w:rPr>
          <w:rFonts w:ascii="Times New Roman" w:hAnsi="Times New Roman" w:eastAsia="仿宋_GB2312"/>
          <w:sz w:val="32"/>
          <w:szCs w:val="32"/>
        </w:rPr>
        <w:t>考评为D；</w:t>
      </w:r>
    </w:p>
    <w:p w14:paraId="7B2AB574">
      <w:pPr>
        <w:pStyle w:val="24"/>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（二）年度综合考评为C且排名处于末位10%；</w:t>
      </w:r>
    </w:p>
    <w:p w14:paraId="7BCBD0CC">
      <w:pPr>
        <w:pStyle w:val="24"/>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（三）超过6个月不为任何基金提供主做市服务；</w:t>
      </w:r>
    </w:p>
    <w:p w14:paraId="6A818A29">
      <w:pPr>
        <w:pStyle w:val="24"/>
        <w:snapToGrid w:val="0"/>
        <w:spacing w:line="560" w:lineRule="exact"/>
        <w:ind w:firstLine="640"/>
        <w:rPr>
          <w:rFonts w:ascii="仿宋_GB2312" w:eastAsia="仿宋_GB2312"/>
          <w:sz w:val="32"/>
          <w:szCs w:val="32"/>
        </w:rPr>
      </w:pPr>
      <w:r>
        <w:rPr>
          <w:rFonts w:ascii="Times New Roman" w:hAnsi="Times New Roman" w:eastAsia="仿宋_GB2312"/>
          <w:sz w:val="32"/>
          <w:szCs w:val="32"/>
        </w:rPr>
        <w:t>（四）本所规定或者做市商协议约定的其他情</w:t>
      </w:r>
      <w:r>
        <w:rPr>
          <w:rFonts w:hint="eastAsia" w:ascii="仿宋_GB2312" w:hAnsi="宋体" w:eastAsia="仿宋_GB2312" w:cs="宋体"/>
          <w:sz w:val="32"/>
          <w:szCs w:val="32"/>
        </w:rPr>
        <w:t>形</w:t>
      </w:r>
      <w:r>
        <w:rPr>
          <w:rFonts w:hint="eastAsia" w:ascii="仿宋_GB2312" w:eastAsia="仿宋_GB2312"/>
          <w:sz w:val="32"/>
          <w:szCs w:val="32"/>
        </w:rPr>
        <w:t>。</w:t>
      </w:r>
    </w:p>
    <w:p w14:paraId="7BF8A384">
      <w:pPr>
        <w:widowControl/>
        <w:adjustRightIn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考评年度内，成为主做市商</w:t>
      </w:r>
      <w:r>
        <w:rPr>
          <w:rFonts w:ascii="Times New Roman" w:hAnsi="Times New Roman" w:eastAsia="仿宋_GB2312"/>
          <w:sz w:val="32"/>
          <w:szCs w:val="32"/>
        </w:rPr>
        <w:t>不满6个月</w:t>
      </w:r>
      <w:r>
        <w:rPr>
          <w:rFonts w:hint="eastAsia" w:ascii="仿宋_GB2312" w:hAnsi="宋体" w:eastAsia="仿宋_GB2312" w:cs="宋体"/>
          <w:sz w:val="32"/>
          <w:szCs w:val="32"/>
        </w:rPr>
        <w:t>的，不参与年度末位淘汰。</w:t>
      </w:r>
    </w:p>
    <w:p w14:paraId="40ED8D51">
      <w:pPr>
        <w:pStyle w:val="24"/>
        <w:snapToGrid w:val="0"/>
        <w:spacing w:line="560" w:lineRule="exact"/>
        <w:ind w:firstLine="643"/>
        <w:rPr>
          <w:rFonts w:ascii="仿宋_GB2312" w:hAnsi="宋体" w:eastAsia="仿宋_GB2312" w:cs="宋体"/>
          <w:sz w:val="32"/>
          <w:szCs w:val="32"/>
        </w:rPr>
      </w:pPr>
      <w:r>
        <w:rPr>
          <w:rFonts w:hint="eastAsia" w:ascii="仿宋_GB2312" w:hAnsi="宋体" w:eastAsia="仿宋_GB2312" w:cs="宋体"/>
          <w:b/>
          <w:sz w:val="32"/>
          <w:szCs w:val="32"/>
        </w:rPr>
        <w:t>第二十四条</w:t>
      </w:r>
      <w:r>
        <w:rPr>
          <w:rFonts w:hint="eastAsia" w:ascii="仿宋_GB2312" w:hAnsi="宋体" w:eastAsia="仿宋_GB2312" w:cs="宋体"/>
          <w:sz w:val="32"/>
          <w:szCs w:val="32"/>
        </w:rPr>
        <w:t xml:space="preserve">  做市商有下列情形之一的，本所可以终止其开展做市业务：</w:t>
      </w:r>
    </w:p>
    <w:p w14:paraId="50C880E6">
      <w:pPr>
        <w:pStyle w:val="24"/>
        <w:snapToGrid w:val="0"/>
        <w:spacing w:line="560" w:lineRule="exact"/>
        <w:ind w:firstLine="640"/>
        <w:rPr>
          <w:rFonts w:ascii="仿宋_GB2312" w:hAnsi="宋体" w:eastAsia="仿宋_GB2312" w:cs="宋体"/>
          <w:sz w:val="32"/>
          <w:szCs w:val="32"/>
        </w:rPr>
      </w:pPr>
      <w:r>
        <w:rPr>
          <w:rFonts w:hint="eastAsia" w:ascii="仿宋_GB2312" w:hAnsi="宋体" w:eastAsia="仿宋_GB2312" w:cs="宋体"/>
          <w:sz w:val="32"/>
          <w:szCs w:val="32"/>
        </w:rPr>
        <w:t>（一）不再符合本指引第六条规定的条件；</w:t>
      </w:r>
    </w:p>
    <w:p w14:paraId="5B714A37">
      <w:pPr>
        <w:pStyle w:val="24"/>
        <w:snapToGrid w:val="0"/>
        <w:spacing w:line="560" w:lineRule="exact"/>
        <w:ind w:firstLine="640"/>
        <w:rPr>
          <w:rFonts w:ascii="仿宋_GB2312" w:hAnsi="宋体" w:eastAsia="仿宋_GB2312" w:cs="宋体"/>
          <w:sz w:val="32"/>
          <w:szCs w:val="32"/>
        </w:rPr>
      </w:pPr>
      <w:r>
        <w:rPr>
          <w:rFonts w:hint="eastAsia" w:ascii="仿宋_GB2312" w:hAnsi="宋体" w:eastAsia="仿宋_GB2312" w:cs="宋体"/>
          <w:sz w:val="32"/>
          <w:szCs w:val="32"/>
        </w:rPr>
        <w:t>（二）不再为任何基金提供做市服务；</w:t>
      </w:r>
    </w:p>
    <w:p w14:paraId="584191D4">
      <w:pPr>
        <w:pStyle w:val="24"/>
        <w:snapToGrid w:val="0"/>
        <w:spacing w:line="560" w:lineRule="exact"/>
        <w:ind w:firstLine="640"/>
        <w:rPr>
          <w:rFonts w:ascii="仿宋_GB2312" w:eastAsia="仿宋_GB2312"/>
          <w:sz w:val="32"/>
          <w:szCs w:val="32"/>
        </w:rPr>
      </w:pPr>
      <w:r>
        <w:rPr>
          <w:rFonts w:hint="eastAsia" w:ascii="仿宋_GB2312" w:hAnsi="宋体" w:eastAsia="仿宋_GB2312" w:cs="宋体"/>
          <w:sz w:val="32"/>
          <w:szCs w:val="32"/>
        </w:rPr>
        <w:t>（三）出现严重</w:t>
      </w:r>
      <w:r>
        <w:rPr>
          <w:rFonts w:hint="eastAsia" w:ascii="仿宋_GB2312" w:eastAsia="仿宋_GB2312"/>
          <w:sz w:val="32"/>
          <w:szCs w:val="32"/>
        </w:rPr>
        <w:t>违法违规、谋取不当利益、损害客户或基金份额持有人利益的行为；</w:t>
      </w:r>
    </w:p>
    <w:p w14:paraId="7B0E38FD">
      <w:pPr>
        <w:pStyle w:val="24"/>
        <w:snapToGrid w:val="0"/>
        <w:spacing w:line="560" w:lineRule="exact"/>
        <w:ind w:firstLine="640"/>
        <w:rPr>
          <w:rFonts w:ascii="仿宋_GB2312" w:hAnsi="宋体" w:eastAsia="仿宋_GB2312" w:cs="宋体"/>
          <w:sz w:val="32"/>
          <w:szCs w:val="32"/>
        </w:rPr>
      </w:pPr>
      <w:r>
        <w:rPr>
          <w:rFonts w:hint="eastAsia" w:ascii="仿宋_GB2312" w:hAnsi="宋体" w:eastAsia="仿宋_GB2312" w:cs="宋体"/>
          <w:sz w:val="32"/>
          <w:szCs w:val="32"/>
        </w:rPr>
        <w:t>（四）本所规定或者做市商协议约定的其他情形。</w:t>
      </w:r>
    </w:p>
    <w:p w14:paraId="050D2DE3">
      <w:pPr>
        <w:spacing w:line="560" w:lineRule="exact"/>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第二十五条</w:t>
      </w:r>
      <w:r>
        <w:rPr>
          <w:rFonts w:hint="eastAsia" w:ascii="仿宋_GB2312" w:hAnsi="宋体" w:eastAsia="仿宋_GB2312" w:cs="宋体"/>
          <w:sz w:val="32"/>
          <w:szCs w:val="32"/>
        </w:rPr>
        <w:t xml:space="preserve">  本所作出终止做市商为特定基金提供做市服务或者终止做市商开展做市业务决定的，书面通知做市商并向市场公告。</w:t>
      </w:r>
    </w:p>
    <w:p w14:paraId="634FB692">
      <w:pPr>
        <w:pStyle w:val="24"/>
        <w:snapToGrid w:val="0"/>
        <w:spacing w:line="560" w:lineRule="exact"/>
        <w:ind w:firstLine="640"/>
        <w:rPr>
          <w:rFonts w:ascii="Times New Roman" w:hAnsi="Times New Roman" w:eastAsia="仿宋_GB2312"/>
          <w:sz w:val="32"/>
          <w:szCs w:val="32"/>
        </w:rPr>
      </w:pPr>
      <w:r>
        <w:rPr>
          <w:rFonts w:hint="eastAsia" w:ascii="仿宋_GB2312" w:hAnsi="宋体" w:eastAsia="仿宋_GB2312" w:cs="宋体"/>
          <w:sz w:val="32"/>
          <w:szCs w:val="32"/>
        </w:rPr>
        <w:t>做市商为特定基金提供的做市服务</w:t>
      </w:r>
      <w:r>
        <w:rPr>
          <w:rFonts w:ascii="Times New Roman" w:hAnsi="Times New Roman" w:eastAsia="仿宋_GB2312"/>
          <w:sz w:val="32"/>
          <w:szCs w:val="32"/>
        </w:rPr>
        <w:t>被本所终止的，6个月内不得重新申请为同一基金产品提供做市服务。</w:t>
      </w:r>
    </w:p>
    <w:p w14:paraId="7E455C6B">
      <w:pPr>
        <w:pStyle w:val="24"/>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主做市商被淘汰为一般做市商的，6个月内不得重新申请成为主做市商。</w:t>
      </w:r>
    </w:p>
    <w:p w14:paraId="26C75649">
      <w:pPr>
        <w:pStyle w:val="24"/>
        <w:snapToGrid w:val="0"/>
        <w:spacing w:line="560" w:lineRule="exact"/>
        <w:ind w:firstLine="640"/>
        <w:rPr>
          <w:rFonts w:ascii="仿宋_GB2312" w:hAnsi="宋体" w:eastAsia="仿宋_GB2312" w:cs="宋体"/>
          <w:sz w:val="32"/>
          <w:szCs w:val="32"/>
        </w:rPr>
      </w:pPr>
      <w:r>
        <w:rPr>
          <w:rFonts w:ascii="Times New Roman" w:hAnsi="Times New Roman" w:eastAsia="仿宋_GB2312"/>
          <w:sz w:val="32"/>
          <w:szCs w:val="32"/>
        </w:rPr>
        <w:t>做市商被终止开展做市业务的，1年内不</w:t>
      </w:r>
      <w:r>
        <w:rPr>
          <w:rFonts w:hint="eastAsia" w:ascii="仿宋_GB2312" w:hAnsi="宋体" w:eastAsia="仿宋_GB2312" w:cs="宋体"/>
          <w:sz w:val="32"/>
          <w:szCs w:val="32"/>
        </w:rPr>
        <w:t>得重新申请开展做市业务。</w:t>
      </w:r>
    </w:p>
    <w:p w14:paraId="1575ADC7">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w:t>
      </w:r>
      <w:bookmarkStart w:id="4" w:name="_GoBack"/>
      <w:bookmarkEnd w:id="4"/>
      <w:r>
        <w:rPr>
          <w:rFonts w:hint="eastAsia" w:ascii="仿宋_GB2312" w:eastAsia="仿宋_GB2312"/>
          <w:b/>
          <w:sz w:val="32"/>
          <w:szCs w:val="32"/>
        </w:rPr>
        <w:t>六条</w:t>
      </w:r>
      <w:r>
        <w:rPr>
          <w:rFonts w:hint="eastAsia" w:ascii="仿宋_GB2312" w:eastAsia="仿宋_GB2312"/>
          <w:sz w:val="32"/>
          <w:szCs w:val="32"/>
        </w:rPr>
        <w:t xml:space="preserve">  做市商违反本指引的，本所可以视情况采取口头警示、书面警示、通报批评、公开谴责等监管措施和纪律处分，并记入诚信档案；情节严重的，</w:t>
      </w:r>
      <w:r>
        <w:rPr>
          <w:rFonts w:hint="eastAsia" w:ascii="仿宋_GB2312" w:hAnsi="宋体" w:eastAsia="仿宋_GB2312" w:cs="宋体"/>
          <w:sz w:val="32"/>
          <w:szCs w:val="32"/>
        </w:rPr>
        <w:t>提请中国证监会查处。</w:t>
      </w:r>
    </w:p>
    <w:p w14:paraId="78272043">
      <w:pPr>
        <w:spacing w:line="560" w:lineRule="exact"/>
        <w:jc w:val="center"/>
        <w:rPr>
          <w:rFonts w:ascii="黑体" w:hAnsi="宋体" w:eastAsia="黑体" w:cs="宋体"/>
          <w:b/>
          <w:kern w:val="0"/>
          <w:sz w:val="32"/>
          <w:szCs w:val="32"/>
        </w:rPr>
      </w:pPr>
      <w:r>
        <w:rPr>
          <w:rFonts w:hint="eastAsia" w:ascii="黑体" w:hAnsi="宋体" w:eastAsia="黑体" w:cs="宋体"/>
          <w:b/>
          <w:kern w:val="0"/>
          <w:sz w:val="32"/>
          <w:szCs w:val="32"/>
        </w:rPr>
        <w:t>第五章</w:t>
      </w:r>
      <w:r>
        <w:rPr>
          <w:rFonts w:hint="eastAsia" w:ascii="黑体" w:hAnsi="宋体" w:eastAsia="黑体" w:cs="宋体"/>
          <w:b/>
          <w:kern w:val="0"/>
          <w:sz w:val="32"/>
          <w:szCs w:val="32"/>
        </w:rPr>
        <w:tab/>
      </w:r>
      <w:r>
        <w:rPr>
          <w:rFonts w:hint="eastAsia" w:ascii="黑体" w:hAnsi="宋体" w:eastAsia="黑体" w:cs="宋体"/>
          <w:b/>
          <w:kern w:val="0"/>
          <w:sz w:val="32"/>
          <w:szCs w:val="32"/>
        </w:rPr>
        <w:t>附则</w:t>
      </w:r>
    </w:p>
    <w:p w14:paraId="0D100088">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第二十七条</w:t>
      </w:r>
      <w:r>
        <w:rPr>
          <w:rFonts w:hint="eastAsia" w:ascii="仿宋_GB2312" w:eastAsia="仿宋_GB2312"/>
          <w:sz w:val="32"/>
          <w:szCs w:val="32"/>
        </w:rPr>
        <w:t xml:space="preserve">  本指引由本所负责解释。</w:t>
      </w:r>
    </w:p>
    <w:p w14:paraId="6B8085B5">
      <w:pPr>
        <w:spacing w:line="560" w:lineRule="exact"/>
        <w:ind w:firstLine="643" w:firstLineChars="200"/>
        <w:rPr>
          <w:rFonts w:ascii="Times New Roman" w:hAnsi="Times New Roman" w:eastAsia="仿宋_GB2312"/>
          <w:sz w:val="32"/>
          <w:szCs w:val="32"/>
        </w:rPr>
      </w:pPr>
      <w:r>
        <w:rPr>
          <w:rFonts w:hint="eastAsia" w:ascii="仿宋_GB2312" w:eastAsia="仿宋_GB2312"/>
          <w:b/>
          <w:sz w:val="32"/>
          <w:szCs w:val="32"/>
        </w:rPr>
        <w:t>第二十八条</w:t>
      </w:r>
      <w:r>
        <w:rPr>
          <w:rFonts w:hint="eastAsia" w:ascii="仿宋_GB2312" w:eastAsia="仿宋_GB2312"/>
          <w:sz w:val="32"/>
          <w:szCs w:val="32"/>
        </w:rPr>
        <w:t xml:space="preserve">  本指引</w:t>
      </w:r>
      <w:r>
        <w:rPr>
          <w:rFonts w:ascii="Times New Roman" w:hAnsi="Times New Roman" w:eastAsia="仿宋_GB2312"/>
          <w:sz w:val="32"/>
          <w:szCs w:val="32"/>
        </w:rPr>
        <w:t>自2024年7月21日起施行。</w:t>
      </w:r>
    </w:p>
    <w:p w14:paraId="75A3E77A">
      <w:pPr>
        <w:spacing w:line="400" w:lineRule="exact"/>
        <w:jc w:val="left"/>
        <w:rPr>
          <w:rFonts w:ascii="Times New Roman" w:hAnsi="Times New Roman" w:eastAsia="仿宋_GB2312"/>
          <w:color w:val="000000"/>
          <w:kern w:val="0"/>
          <w:sz w:val="28"/>
          <w:szCs w:val="28"/>
        </w:rPr>
      </w:pPr>
    </w:p>
    <w:sectPr>
      <w:footerReference r:id="rId3" w:type="default"/>
      <w:footerReference r:id="rId4" w:type="even"/>
      <w:pgSz w:w="11906" w:h="16838"/>
      <w:pgMar w:top="2098" w:right="1474" w:bottom="1984" w:left="1588" w:header="851" w:footer="1417" w:gutter="0"/>
      <w:pgNumType w:start="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1B7D">
    <w:pPr>
      <w:pStyle w:val="7"/>
      <w:wordWrap w:val="0"/>
      <w:jc w:val="right"/>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7</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300E6">
    <w:pPr>
      <w:pStyle w:val="7"/>
      <w:ind w:firstLine="300" w:firstLineChars="100"/>
    </w:pPr>
    <w:r>
      <w:rPr>
        <w:rFonts w:hint="eastAsia" w:ascii="仿宋_GB2312" w:eastAsia="仿宋_GB2312"/>
        <w:sz w:val="30"/>
        <w:szCs w:val="30"/>
      </w:rPr>
      <w:t>-</w:t>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0</w:t>
    </w:r>
    <w:r>
      <w:rPr>
        <w:rFonts w:hint="eastAsia" w:asciiTheme="minorEastAsia" w:hAnsiTheme="minorEastAsia" w:eastAsiaTheme="minorEastAsia"/>
        <w:sz w:val="28"/>
        <w:szCs w:val="28"/>
      </w:rPr>
      <w:fldChar w:fldCharType="end"/>
    </w:r>
    <w:r>
      <w:rPr>
        <w:rFonts w:hint="eastAsia" w:ascii="仿宋_GB2312" w:eastAsia="仿宋_GB2312"/>
        <w:sz w:val="30"/>
        <w:szCs w:val="30"/>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1"/>
  <w:bordersDoNotSurroundFooter w:val="1"/>
  <w:documentProtection w:enforcement="0"/>
  <w:defaultTabStop w:val="419"/>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hmOWVkMjA5Y2JjMGJiZTE0ZGFkNmNhMzU3YTBhNjkifQ=="/>
  </w:docVars>
  <w:rsids>
    <w:rsidRoot w:val="00FD065C"/>
    <w:rsid w:val="001D5916"/>
    <w:rsid w:val="002278F1"/>
    <w:rsid w:val="0025124D"/>
    <w:rsid w:val="002759B6"/>
    <w:rsid w:val="00330913"/>
    <w:rsid w:val="00494CCF"/>
    <w:rsid w:val="004B36FF"/>
    <w:rsid w:val="004E2726"/>
    <w:rsid w:val="00600EEB"/>
    <w:rsid w:val="00654FD6"/>
    <w:rsid w:val="007B79B8"/>
    <w:rsid w:val="00C0629D"/>
    <w:rsid w:val="00D60B6D"/>
    <w:rsid w:val="00D71BF0"/>
    <w:rsid w:val="00DB44A2"/>
    <w:rsid w:val="00DB53FC"/>
    <w:rsid w:val="00F92F92"/>
    <w:rsid w:val="00FD065C"/>
    <w:rsid w:val="06F750FD"/>
    <w:rsid w:val="0A2C26C1"/>
    <w:rsid w:val="0E960F7B"/>
    <w:rsid w:val="169B0351"/>
    <w:rsid w:val="204808AF"/>
    <w:rsid w:val="251740E8"/>
    <w:rsid w:val="2703320F"/>
    <w:rsid w:val="29776237"/>
    <w:rsid w:val="2A8F29FA"/>
    <w:rsid w:val="371E4273"/>
    <w:rsid w:val="37E13C78"/>
    <w:rsid w:val="3BDE3A18"/>
    <w:rsid w:val="46A629F1"/>
    <w:rsid w:val="4D870224"/>
    <w:rsid w:val="4DF046D5"/>
    <w:rsid w:val="60D54E46"/>
    <w:rsid w:val="613163A0"/>
    <w:rsid w:val="63A84D04"/>
    <w:rsid w:val="6DD535A2"/>
    <w:rsid w:val="725B0C76"/>
    <w:rsid w:val="78261B4D"/>
    <w:rsid w:val="7AF1665C"/>
    <w:rsid w:val="8E67D123"/>
    <w:rsid w:val="FEFB263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9"/>
    <w:pPr>
      <w:keepNext/>
      <w:keepLines/>
      <w:spacing w:before="260" w:after="260" w:line="415" w:lineRule="auto"/>
      <w:outlineLvl w:val="1"/>
    </w:pPr>
    <w:rPr>
      <w:rFonts w:ascii="Cambria" w:hAnsi="Cambria" w:cs="宋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semiHidden/>
    <w:unhideWhenUsed/>
    <w:qFormat/>
    <w:uiPriority w:val="99"/>
    <w:pPr>
      <w:jc w:val="left"/>
    </w:pPr>
  </w:style>
  <w:style w:type="paragraph" w:styleId="5">
    <w:name w:val="Date"/>
    <w:basedOn w:val="1"/>
    <w:next w:val="1"/>
    <w:link w:val="18"/>
    <w:semiHidden/>
    <w:unhideWhenUsed/>
    <w:qFormat/>
    <w:uiPriority w:val="99"/>
    <w:pPr>
      <w:ind w:left="100" w:leftChars="2500"/>
    </w:pPr>
  </w:style>
  <w:style w:type="paragraph" w:styleId="6">
    <w:name w:val="Balloon Text"/>
    <w:basedOn w:val="1"/>
    <w:link w:val="33"/>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footnote text"/>
    <w:basedOn w:val="1"/>
    <w:semiHidden/>
    <w:unhideWhenUsed/>
    <w:qFormat/>
    <w:uiPriority w:val="99"/>
    <w:pPr>
      <w:snapToGrid w:val="0"/>
      <w:jc w:val="left"/>
    </w:pPr>
    <w:rPr>
      <w:sz w:val="18"/>
      <w:szCs w:val="18"/>
    </w:rPr>
  </w:style>
  <w:style w:type="paragraph" w:styleId="11">
    <w:name w:val="toc 2"/>
    <w:basedOn w:val="1"/>
    <w:next w:val="1"/>
    <w:unhideWhenUsed/>
    <w:qFormat/>
    <w:uiPriority w:val="39"/>
    <w:pPr>
      <w:ind w:left="420" w:leftChars="200"/>
    </w:pPr>
  </w:style>
  <w:style w:type="paragraph" w:styleId="12">
    <w:name w:val="annotation subject"/>
    <w:basedOn w:val="4"/>
    <w:next w:val="4"/>
    <w:link w:val="34"/>
    <w:semiHidden/>
    <w:unhideWhenUsed/>
    <w:qFormat/>
    <w:uiPriority w:val="99"/>
    <w:rPr>
      <w:b/>
      <w:bCs/>
    </w:rPr>
  </w:style>
  <w:style w:type="character" w:styleId="15">
    <w:name w:val="Hyperlink"/>
    <w:basedOn w:val="14"/>
    <w:unhideWhenUsed/>
    <w:qFormat/>
    <w:uiPriority w:val="99"/>
    <w:rPr>
      <w:rFonts w:asciiTheme="minorHAnsi" w:hAnsiTheme="minorHAnsi" w:eastAsiaTheme="minorEastAsia" w:cstheme="minorBidi"/>
      <w:color w:val="0000FF"/>
      <w:u w:val="single"/>
    </w:rPr>
  </w:style>
  <w:style w:type="character" w:styleId="16">
    <w:name w:val="annotation reference"/>
    <w:basedOn w:val="14"/>
    <w:semiHidden/>
    <w:unhideWhenUsed/>
    <w:qFormat/>
    <w:uiPriority w:val="99"/>
    <w:rPr>
      <w:rFonts w:asciiTheme="minorHAnsi" w:hAnsiTheme="minorHAnsi" w:eastAsiaTheme="minorEastAsia" w:cstheme="minorBidi"/>
      <w:sz w:val="21"/>
      <w:szCs w:val="21"/>
    </w:rPr>
  </w:style>
  <w:style w:type="character" w:styleId="17">
    <w:name w:val="footnote reference"/>
    <w:basedOn w:val="14"/>
    <w:semiHidden/>
    <w:unhideWhenUsed/>
    <w:qFormat/>
    <w:uiPriority w:val="99"/>
    <w:rPr>
      <w:vertAlign w:val="superscript"/>
    </w:rPr>
  </w:style>
  <w:style w:type="character" w:customStyle="1" w:styleId="18">
    <w:name w:val="日期 Char"/>
    <w:basedOn w:val="14"/>
    <w:link w:val="5"/>
    <w:qFormat/>
    <w:uiPriority w:val="0"/>
    <w:rPr>
      <w:rFonts w:ascii="Calibri" w:hAnsi="Calibri" w:eastAsia="宋体" w:cs="Times New Roman"/>
    </w:rPr>
  </w:style>
  <w:style w:type="character" w:customStyle="1" w:styleId="19">
    <w:name w:val="页眉 字符"/>
    <w:basedOn w:val="14"/>
    <w:link w:val="8"/>
    <w:qFormat/>
    <w:uiPriority w:val="99"/>
    <w:rPr>
      <w:rFonts w:ascii="Calibri" w:hAnsi="Calibri" w:eastAsia="宋体" w:cs="Times New Roman"/>
      <w:sz w:val="18"/>
      <w:szCs w:val="18"/>
    </w:rPr>
  </w:style>
  <w:style w:type="character" w:customStyle="1" w:styleId="20">
    <w:name w:val="页脚 字符"/>
    <w:basedOn w:val="14"/>
    <w:link w:val="7"/>
    <w:qFormat/>
    <w:uiPriority w:val="99"/>
    <w:rPr>
      <w:rFonts w:ascii="Calibri" w:hAnsi="Calibri" w:eastAsia="宋体" w:cs="Times New Roman"/>
      <w:sz w:val="18"/>
      <w:szCs w:val="18"/>
    </w:rPr>
  </w:style>
  <w:style w:type="paragraph" w:customStyle="1" w:styleId="21">
    <w:name w:val="列出段落2"/>
    <w:basedOn w:val="1"/>
    <w:qFormat/>
    <w:uiPriority w:val="0"/>
    <w:pPr>
      <w:ind w:firstLine="420" w:firstLineChars="200"/>
    </w:pPr>
  </w:style>
  <w:style w:type="character" w:customStyle="1" w:styleId="22">
    <w:name w:val="页眉 Char"/>
    <w:basedOn w:val="14"/>
    <w:link w:val="8"/>
    <w:qFormat/>
    <w:uiPriority w:val="99"/>
    <w:rPr>
      <w:rFonts w:asciiTheme="minorHAnsi" w:hAnsiTheme="minorHAnsi" w:eastAsiaTheme="minorEastAsia" w:cstheme="minorBidi"/>
      <w:sz w:val="18"/>
      <w:szCs w:val="18"/>
    </w:rPr>
  </w:style>
  <w:style w:type="character" w:customStyle="1" w:styleId="23">
    <w:name w:val="页脚 Char"/>
    <w:basedOn w:val="14"/>
    <w:link w:val="7"/>
    <w:qFormat/>
    <w:uiPriority w:val="99"/>
    <w:rPr>
      <w:rFonts w:asciiTheme="minorHAnsi" w:hAnsiTheme="minorHAnsi" w:eastAsiaTheme="minorEastAsia" w:cstheme="minorBidi"/>
      <w:sz w:val="18"/>
      <w:szCs w:val="18"/>
    </w:rPr>
  </w:style>
  <w:style w:type="paragraph" w:styleId="24">
    <w:name w:val="List Paragraph"/>
    <w:basedOn w:val="1"/>
    <w:link w:val="25"/>
    <w:qFormat/>
    <w:uiPriority w:val="0"/>
    <w:pPr>
      <w:ind w:firstLine="420" w:firstLineChars="200"/>
    </w:pPr>
    <w:rPr>
      <w:kern w:val="0"/>
      <w:sz w:val="20"/>
      <w:szCs w:val="20"/>
    </w:rPr>
  </w:style>
  <w:style w:type="character" w:customStyle="1" w:styleId="25">
    <w:name w:val="列出段落 Char"/>
    <w:link w:val="24"/>
    <w:qFormat/>
    <w:uiPriority w:val="0"/>
    <w:rPr>
      <w:rFonts w:ascii="Calibri" w:hAnsi="Calibri" w:eastAsia="宋体" w:cs="Times New Roman"/>
      <w:kern w:val="0"/>
      <w:sz w:val="20"/>
      <w:szCs w:val="20"/>
    </w:rPr>
  </w:style>
  <w:style w:type="character" w:customStyle="1" w:styleId="26">
    <w:name w:val="标题 1 Char"/>
    <w:basedOn w:val="14"/>
    <w:link w:val="2"/>
    <w:qFormat/>
    <w:uiPriority w:val="9"/>
    <w:rPr>
      <w:rFonts w:ascii="Calibri" w:hAnsi="Calibri" w:eastAsia="宋体" w:cs="Times New Roman"/>
      <w:b/>
      <w:bCs/>
      <w:kern w:val="44"/>
      <w:sz w:val="44"/>
      <w:szCs w:val="44"/>
    </w:rPr>
  </w:style>
  <w:style w:type="character" w:customStyle="1" w:styleId="27">
    <w:name w:val="标题 2 Char"/>
    <w:basedOn w:val="14"/>
    <w:link w:val="3"/>
    <w:qFormat/>
    <w:uiPriority w:val="9"/>
    <w:rPr>
      <w:rFonts w:ascii="Cambria" w:hAnsi="Cambria" w:eastAsia="宋体" w:cs="宋体"/>
      <w:b/>
      <w:bCs/>
      <w:sz w:val="32"/>
      <w:szCs w:val="32"/>
    </w:rPr>
  </w:style>
  <w:style w:type="paragraph" w:customStyle="1" w:styleId="28">
    <w:name w:val="SSE表格文字"/>
    <w:basedOn w:val="1"/>
    <w:link w:val="29"/>
    <w:qFormat/>
    <w:uiPriority w:val="0"/>
    <w:pPr>
      <w:widowControl/>
      <w:jc w:val="center"/>
    </w:pPr>
    <w:rPr>
      <w:rFonts w:ascii="Times New Roman" w:hAnsi="Times New Roman" w:eastAsia="仿宋_GB2312"/>
      <w:color w:val="000000"/>
      <w:kern w:val="0"/>
      <w:sz w:val="24"/>
      <w:szCs w:val="24"/>
    </w:rPr>
  </w:style>
  <w:style w:type="character" w:customStyle="1" w:styleId="29">
    <w:name w:val="SSE表格文字 Char"/>
    <w:basedOn w:val="14"/>
    <w:link w:val="28"/>
    <w:qFormat/>
    <w:uiPriority w:val="0"/>
    <w:rPr>
      <w:rFonts w:ascii="Times New Roman" w:hAnsi="Times New Roman" w:eastAsia="仿宋_GB2312" w:cs="Times New Roman"/>
      <w:color w:val="000000"/>
      <w:kern w:val="0"/>
      <w:sz w:val="24"/>
      <w:szCs w:val="24"/>
    </w:rPr>
  </w:style>
  <w:style w:type="paragraph" w:customStyle="1" w:styleId="30">
    <w:name w:val="SSE正文"/>
    <w:basedOn w:val="1"/>
    <w:link w:val="31"/>
    <w:qFormat/>
    <w:uiPriority w:val="0"/>
    <w:pPr>
      <w:ind w:firstLine="200" w:firstLineChars="200"/>
    </w:pPr>
    <w:rPr>
      <w:rFonts w:ascii="Times New Roman" w:hAnsi="Times New Roman" w:eastAsia="仿宋_GB2312"/>
      <w:sz w:val="28"/>
      <w:szCs w:val="28"/>
    </w:rPr>
  </w:style>
  <w:style w:type="character" w:customStyle="1" w:styleId="31">
    <w:name w:val="SSE正文 Char"/>
    <w:basedOn w:val="14"/>
    <w:link w:val="30"/>
    <w:qFormat/>
    <w:uiPriority w:val="0"/>
    <w:rPr>
      <w:rFonts w:ascii="Times New Roman" w:hAnsi="Times New Roman" w:eastAsia="仿宋_GB2312" w:cs="Times New Roman"/>
      <w:sz w:val="28"/>
      <w:szCs w:val="28"/>
    </w:rPr>
  </w:style>
  <w:style w:type="character" w:customStyle="1" w:styleId="32">
    <w:name w:val="批注文字 Char"/>
    <w:basedOn w:val="14"/>
    <w:link w:val="4"/>
    <w:semiHidden/>
    <w:qFormat/>
    <w:uiPriority w:val="99"/>
    <w:rPr>
      <w:rFonts w:ascii="Calibri" w:hAnsi="Calibri" w:eastAsia="宋体" w:cs="Times New Roman"/>
    </w:rPr>
  </w:style>
  <w:style w:type="character" w:customStyle="1" w:styleId="33">
    <w:name w:val="批注框文本 Char"/>
    <w:basedOn w:val="14"/>
    <w:link w:val="6"/>
    <w:semiHidden/>
    <w:qFormat/>
    <w:uiPriority w:val="99"/>
    <w:rPr>
      <w:rFonts w:ascii="Calibri" w:hAnsi="Calibri" w:eastAsia="宋体" w:cs="Times New Roman"/>
      <w:sz w:val="18"/>
      <w:szCs w:val="18"/>
    </w:rPr>
  </w:style>
  <w:style w:type="character" w:customStyle="1" w:styleId="34">
    <w:name w:val="批注主题 Char"/>
    <w:basedOn w:val="32"/>
    <w:link w:val="12"/>
    <w:semiHidden/>
    <w:qFormat/>
    <w:uiPriority w:val="99"/>
    <w:rPr>
      <w:b/>
      <w:bCs/>
    </w:rPr>
  </w:style>
  <w:style w:type="paragraph" w:customStyle="1" w:styleId="3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3F2C7-3A38-49EF-B3F4-DCCDA04D7457}">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3519</Words>
  <Characters>3533</Characters>
  <Lines>26</Lines>
  <Paragraphs>7</Paragraphs>
  <TotalTime>0</TotalTime>
  <ScaleCrop>false</ScaleCrop>
  <LinksUpToDate>false</LinksUpToDate>
  <CharactersWithSpaces>3573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2024-07-19T02:24:00Z</dcterms:created>
  <cp:lastPrinted>2023-11-04T13:17:00Z</cp:lastPrinted>
  <dcterms:modified xsi:type="dcterms:W3CDTF">2025-07-09T06:14:27Z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DEA856AEC0E64501A3AD51BF740A98AF</vt:lpwstr>
  </property>
  <property fmtid="{D5CDD505-2E9C-101B-9397-08002B2CF9AE}" pid="4" name="KSOTemplateDocerSaveRecord">
    <vt:lpwstr>eyJoZGlkIjoiMTU4ZWRiMTZhMjAzZTczZTMwYjAxYTVhNTEzNDEwOWMiLCJ1c2VySWQiOiIxMDQyNTAzNzc4In0=</vt:lpwstr>
  </property>
</Properties>
</file>