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E08" w:rsidRPr="00B47E08" w:rsidRDefault="00B47E08" w:rsidP="00B47E08">
      <w:pPr>
        <w:widowControl/>
        <w:shd w:val="clear" w:color="auto" w:fill="FFFFFF"/>
        <w:wordWrap w:val="0"/>
        <w:spacing w:after="150" w:line="540" w:lineRule="atLeast"/>
        <w:jc w:val="left"/>
        <w:rPr>
          <w:rFonts w:ascii="Segoe UI" w:eastAsia="宋体" w:hAnsi="Segoe UI" w:cs="Segoe UI"/>
          <w:color w:val="4D4D4D"/>
          <w:kern w:val="0"/>
          <w:sz w:val="24"/>
          <w:szCs w:val="24"/>
        </w:rPr>
      </w:pPr>
      <w:r w:rsidRPr="00B47E08">
        <w:rPr>
          <w:rFonts w:ascii="仿宋_GB2312" w:eastAsia="仿宋_GB2312" w:hAnsi="Segoe UI" w:cs="Segoe UI" w:hint="eastAsia"/>
          <w:b/>
          <w:bCs/>
          <w:color w:val="4D4D4D"/>
          <w:kern w:val="0"/>
          <w:sz w:val="30"/>
          <w:szCs w:val="30"/>
        </w:rPr>
        <w:t>附件2</w:t>
      </w:r>
    </w:p>
    <w:p w:rsidR="00B47E08" w:rsidRPr="00B47E08" w:rsidRDefault="00B47E08" w:rsidP="00B47E08">
      <w:pPr>
        <w:widowControl/>
        <w:shd w:val="clear" w:color="auto" w:fill="FFFFFF"/>
        <w:wordWrap w:val="0"/>
        <w:spacing w:after="150" w:line="540" w:lineRule="atLeast"/>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 </w:t>
      </w:r>
    </w:p>
    <w:p w:rsidR="00B47E08" w:rsidRPr="00B47E08" w:rsidRDefault="00B47E08" w:rsidP="00B47E08">
      <w:pPr>
        <w:widowControl/>
        <w:shd w:val="clear" w:color="auto" w:fill="FFFFFF"/>
        <w:wordWrap w:val="0"/>
        <w:spacing w:after="150" w:line="540" w:lineRule="atLeast"/>
        <w:jc w:val="center"/>
        <w:rPr>
          <w:rFonts w:ascii="Segoe UI" w:eastAsia="宋体" w:hAnsi="Segoe UI" w:cs="Segoe UI"/>
          <w:color w:val="4D4D4D"/>
          <w:kern w:val="0"/>
          <w:sz w:val="24"/>
          <w:szCs w:val="24"/>
        </w:rPr>
      </w:pPr>
      <w:bookmarkStart w:id="0" w:name="OLE_LINK10"/>
      <w:bookmarkStart w:id="1" w:name="OLE_LINK9"/>
      <w:bookmarkEnd w:id="0"/>
      <w:r w:rsidRPr="00B47E08">
        <w:rPr>
          <w:rFonts w:ascii="方正大标宋简体" w:eastAsia="方正大标宋简体" w:hAnsi="Segoe UI" w:cs="Segoe UI" w:hint="eastAsia"/>
          <w:color w:val="005FC9"/>
          <w:kern w:val="0"/>
          <w:sz w:val="42"/>
          <w:szCs w:val="42"/>
        </w:rPr>
        <w:t>黄金ETF申购、赎回业务风险揭示书</w:t>
      </w:r>
      <w:bookmarkEnd w:id="1"/>
    </w:p>
    <w:p w:rsidR="00B47E08" w:rsidRPr="00B47E08" w:rsidRDefault="00B47E08" w:rsidP="00B47E08">
      <w:pPr>
        <w:widowControl/>
        <w:shd w:val="clear" w:color="auto" w:fill="FFFFFF"/>
        <w:wordWrap w:val="0"/>
        <w:spacing w:after="150" w:line="540" w:lineRule="atLeast"/>
        <w:jc w:val="center"/>
        <w:rPr>
          <w:rFonts w:ascii="Segoe UI" w:eastAsia="宋体" w:hAnsi="Segoe UI" w:cs="Segoe UI"/>
          <w:color w:val="4D4D4D"/>
          <w:kern w:val="0"/>
          <w:sz w:val="24"/>
          <w:szCs w:val="24"/>
        </w:rPr>
      </w:pPr>
      <w:r w:rsidRPr="00B47E08">
        <w:rPr>
          <w:rFonts w:ascii="方正大标宋简体" w:eastAsia="方正大标宋简体" w:hAnsi="Segoe UI" w:cs="Segoe UI" w:hint="eastAsia"/>
          <w:color w:val="4D4D4D"/>
          <w:kern w:val="0"/>
          <w:sz w:val="42"/>
          <w:szCs w:val="42"/>
        </w:rPr>
        <w:t>必备条款</w:t>
      </w:r>
    </w:p>
    <w:p w:rsidR="00B47E08" w:rsidRPr="00B47E08" w:rsidRDefault="00B47E08" w:rsidP="00B47E08">
      <w:pPr>
        <w:widowControl/>
        <w:shd w:val="clear" w:color="auto" w:fill="FFFFFF"/>
        <w:wordWrap w:val="0"/>
        <w:spacing w:after="150" w:line="540" w:lineRule="atLeast"/>
        <w:jc w:val="left"/>
        <w:rPr>
          <w:rFonts w:ascii="Segoe UI" w:eastAsia="宋体" w:hAnsi="Segoe UI" w:cs="Segoe UI"/>
          <w:color w:val="4D4D4D"/>
          <w:kern w:val="0"/>
          <w:sz w:val="24"/>
          <w:szCs w:val="24"/>
        </w:rPr>
      </w:pPr>
      <w:r w:rsidRPr="00B47E08">
        <w:rPr>
          <w:rFonts w:ascii="Segoe UI" w:eastAsia="宋体" w:hAnsi="Segoe UI" w:cs="Segoe UI"/>
          <w:color w:val="4D4D4D"/>
          <w:kern w:val="0"/>
          <w:sz w:val="24"/>
          <w:szCs w:val="24"/>
        </w:rPr>
        <w:t> </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为了使客户充分了解黄金ETF申购、赎回（以下简称“申赎”）业务风险，开展黄金ETF申赎业务的代办证券公司应制订《黄金ETF申购、赎回业务风险揭示书》，向客户充分揭示相关业务存在的风险。《黄金ETF申购、赎回业务风险揭示书》至少应包括下列内容：</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一、提示客户在办理黄金ETF申赎业务前，必须了解现金申赎、黄金现货合约申赎两种模式的差异。对于进行黄金合约申赎的投资者，应提醒其必须同时了解本所和上海黄金交易所（以下简称“金交所”）有关规则和停复牌信息、两所代办会员的有关业务协议和流程以及基金公司相关法律文件。</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二、提示客户在参与黄金ETF现金申赎或黄金合约申赎业务前，必须了解所在的证券公司是否是该黄金ETF的代办证券公司。与不具备代办资格的证券公司进行相关业务带来的损失由投资者自行承担。</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lastRenderedPageBreak/>
        <w:t>三、提示客户在进行黄金现货合约申赎前，必须通过金交所会员在基金管理人处完成账户备案，并由基金管理人对投资者备案账户信息进行核对与审查，经基金管理人审查与同意后，投资者方可进行黄金现货合约申赎。</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四、提示投资者在收到代办券商交易单元变更等通知后，必须尽快更新代办券商交易单元信息，以防止黄金合约申赎份额无法实时可用或者失败的情况。</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五、提示客户一旦认购、申购或赎回黄金ETF即表示该证券品种的变更登记及交收方式的安排已经认可。应关注黄金ETF申购赎回业务可能面临的证券和资金划付失败风险，以及由此可能造成的损失，包括但不限于以下情况：代办证券公司因交收延误或失败，可能会给客户造成损失；根据中国结算上海分公司的相关业务指南，当日现金申购的份额，代办证券公司必须于当日交收时点成功完成逐笔全额交收，该份额方可记增并于次日可用,逐笔全额交收失败的，不做份额记增；现金赎回采用代收代付模式，如果基金公司违约，则投资者存在基金份额已被注销但未在约定时间内收到赎回款的风险；对于T日买入的份额，如代办证券公司净额结算出现预交收资金不足，可能会影响次一交易日黄金ETF份额的黄金合约赎回可用额度。</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六、提示客户关注金交所黄金现货合约价格波动、上交所黄金ETF份额价格波动及其他市场风险，包括但不限于以下情况：</w:t>
      </w:r>
      <w:r w:rsidRPr="00B47E08">
        <w:rPr>
          <w:rFonts w:ascii="仿宋_GB2312" w:eastAsia="仿宋_GB2312" w:hAnsi="Segoe UI" w:cs="Segoe UI" w:hint="eastAsia"/>
          <w:color w:val="4D4D4D"/>
          <w:kern w:val="0"/>
          <w:sz w:val="30"/>
          <w:szCs w:val="30"/>
        </w:rPr>
        <w:lastRenderedPageBreak/>
        <w:t>由于黄金现货合约涨跌幅为30%而黄金ETF为10%，当黄金现货合约涨跌幅超过10%后，黄金ETF可能进入涨跌停状态，基金净值和价格将会有较大折溢价出现。</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七、提示客户关注黄金ETF申赎业务中面临的各种操作风险，以及由此可能造成的损失，包括但不限于基金公司申赎清单错误、证券公司操作错误、投资者账户绑定及PBU变更等错误、通讯失效而不能及时完成相关业务等情况。</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八、提示客户关注黄金ETF申赎业务中面临的各种技术系统风险，以及由此可能造成的损失，包括但不限于因基金公司、上海黄金交易所会员、证券公司、交易所或证券登记结算机构的技术系统故障或差错而影响交易正常进行等。</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对黄金现货合约申赎，本所与金交所通过实时数据交换实现，可能存在数据链路突发故障或其它原因导致盘中实时记增可用基金份额(可以卖出或赎回)或黄金现货合约可用份额存在延时情况。投资者进行黄金现货合约申赎后，如果无法获得份额变动信息，应及时向代办券商、金交所代办会员、基金管理人等反映。</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九、提示客户关注黄金ETF申购赎回业务中面临的各种政策风险，以及由此可能造成的损失，包括但不限于因法律法规及政策变动须被动终止该业务。</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lastRenderedPageBreak/>
        <w:t>十、除上述各项风险提示外，各证券公司还可以根据具体情况在本公司制订的《黄金ETF申购赎回业务风险揭示书》中对黄金ETF申赎业务存在的风险作进一步列举。</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风险揭示书应以醒目的文字载明：“本风险揭示书的揭示事项仅为列举性质，未能详尽列明黄金ETF申购、赎回业务的所有风险。客户在参与黄金ETF申购、赎回业务前，应认真阅读相关业务规则及协议条款，对黄金ETF申购、赎回业务所特有的规则有所了解和掌握，并确信自己已做好足够的风险评估与财务安排，避免因参与黄金ETF申购、赎回业务而遭受难以承受的损失。”</w:t>
      </w:r>
    </w:p>
    <w:p w:rsidR="00B47E08" w:rsidRPr="00B47E08" w:rsidRDefault="00B47E08" w:rsidP="00B47E08">
      <w:pPr>
        <w:widowControl/>
        <w:shd w:val="clear" w:color="auto" w:fill="FFFFFF"/>
        <w:wordWrap w:val="0"/>
        <w:spacing w:after="150" w:line="540" w:lineRule="atLeast"/>
        <w:ind w:firstLine="600"/>
        <w:jc w:val="left"/>
        <w:rPr>
          <w:rFonts w:ascii="Segoe UI" w:eastAsia="宋体" w:hAnsi="Segoe UI" w:cs="Segoe UI"/>
          <w:color w:val="4D4D4D"/>
          <w:kern w:val="0"/>
          <w:sz w:val="24"/>
          <w:szCs w:val="24"/>
        </w:rPr>
      </w:pPr>
      <w:r w:rsidRPr="00B47E08">
        <w:rPr>
          <w:rFonts w:ascii="仿宋_GB2312" w:eastAsia="仿宋_GB2312" w:hAnsi="Segoe UI" w:cs="Segoe UI" w:hint="eastAsia"/>
          <w:color w:val="4D4D4D"/>
          <w:kern w:val="0"/>
          <w:sz w:val="30"/>
          <w:szCs w:val="30"/>
        </w:rPr>
        <w:t>各证券公司应要求每个客户在《黄金ETF申购、赎回业务风险揭示书》上签字，确认已知晓并理解《黄金ETF申购、赎回业务风险揭示书》的全部内容，愿意承担黄金ETF申赎业务的风险和损失。</w:t>
      </w:r>
    </w:p>
    <w:p w:rsidR="00BC04F4" w:rsidRPr="00B47E08" w:rsidRDefault="00BC04F4"/>
    <w:sectPr w:rsidR="00BC04F4" w:rsidRPr="00B47E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4F4" w:rsidRDefault="00BC04F4" w:rsidP="00B47E08">
      <w:r>
        <w:separator/>
      </w:r>
    </w:p>
  </w:endnote>
  <w:endnote w:type="continuationSeparator" w:id="1">
    <w:p w:rsidR="00BC04F4" w:rsidRDefault="00BC04F4" w:rsidP="00B47E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方正大标宋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4F4" w:rsidRDefault="00BC04F4" w:rsidP="00B47E08">
      <w:r>
        <w:separator/>
      </w:r>
    </w:p>
  </w:footnote>
  <w:footnote w:type="continuationSeparator" w:id="1">
    <w:p w:rsidR="00BC04F4" w:rsidRDefault="00BC04F4" w:rsidP="00B47E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E08"/>
    <w:rsid w:val="00B47E08"/>
    <w:rsid w:val="00BC0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7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7E08"/>
    <w:rPr>
      <w:sz w:val="18"/>
      <w:szCs w:val="18"/>
    </w:rPr>
  </w:style>
  <w:style w:type="paragraph" w:styleId="a4">
    <w:name w:val="footer"/>
    <w:basedOn w:val="a"/>
    <w:link w:val="Char0"/>
    <w:uiPriority w:val="99"/>
    <w:semiHidden/>
    <w:unhideWhenUsed/>
    <w:rsid w:val="00B47E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7E08"/>
    <w:rPr>
      <w:sz w:val="18"/>
      <w:szCs w:val="18"/>
    </w:rPr>
  </w:style>
  <w:style w:type="paragraph" w:customStyle="1" w:styleId="listparagraph">
    <w:name w:val="listparagraph"/>
    <w:basedOn w:val="a"/>
    <w:rsid w:val="00B47E0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1197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2025-05-19T06:17:00Z</dcterms:created>
  <dcterms:modified xsi:type="dcterms:W3CDTF">2025-05-19T06:17:00Z</dcterms:modified>
</cp:coreProperties>
</file>