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0"/>
        <w:rPr/>
      </w:pPr>
      <w:r>
        <w:rPr>
          <w:rFonts w:ascii="Times New Roman" w:hAnsi="Times New Roman" w:cs="黑体;SimHei" w:eastAsia="黑体;SimHei"/>
          <w:color w:val="0D0D0D"/>
          <w:kern w:val="0"/>
          <w:sz w:val="32"/>
          <w:szCs w:val="32"/>
        </w:rPr>
        <w:t>附件</w:t>
      </w:r>
      <w:r>
        <w:rPr>
          <w:rFonts w:eastAsia="黑体;SimHei" w:cs="Times New Roman" w:ascii="Times New Roman" w:hAnsi="Times New Roman"/>
          <w:color w:val="0D0D0D"/>
          <w:kern w:val="0"/>
          <w:sz w:val="32"/>
          <w:szCs w:val="32"/>
        </w:rPr>
        <w:t>2</w:t>
      </w:r>
    </w:p>
    <w:p>
      <w:pPr>
        <w:pStyle w:val="Normal"/>
        <w:spacing w:lineRule="exact" w:line="560"/>
        <w:rPr>
          <w:rFonts w:ascii="黑体;SimHei" w:hAnsi="黑体;SimHei" w:eastAsia="黑体;SimHei" w:cs="黑体;SimHei"/>
          <w:color w:val="0D0D0D"/>
          <w:kern w:val="0"/>
          <w:sz w:val="32"/>
          <w:szCs w:val="32"/>
        </w:rPr>
      </w:pPr>
      <w:r>
        <w:rPr>
          <w:rFonts w:eastAsia="黑体;SimHei" w:cs="黑体;SimHei" w:ascii="黑体;SimHei" w:hAnsi="黑体;SimHei"/>
          <w:color w:val="0D0D0D"/>
          <w:kern w:val="0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方正大标宋简体" w:hAnsi="方正大标宋简体" w:eastAsia="方正大标宋简体" w:cs="黑体;SimHei"/>
          <w:sz w:val="44"/>
          <w:szCs w:val="44"/>
        </w:rPr>
      </w:pPr>
      <w:r>
        <w:rPr>
          <w:rFonts w:ascii="方正大标宋简体" w:hAnsi="方正大标宋简体" w:cs="黑体;SimHei" w:eastAsia="方正大标宋简体"/>
          <w:sz w:val="44"/>
          <w:szCs w:val="44"/>
        </w:rPr>
        <w:t>《上海证券交易所资产支持证券业务规则》</w:t>
      </w:r>
    </w:p>
    <w:p>
      <w:pPr>
        <w:pStyle w:val="Normal"/>
        <w:spacing w:lineRule="exact" w:line="560"/>
        <w:jc w:val="center"/>
        <w:rPr>
          <w:rFonts w:ascii="方正大标宋简体" w:hAnsi="方正大标宋简体" w:eastAsia="方正大标宋简体" w:cs="黑体;SimHei"/>
          <w:sz w:val="44"/>
          <w:szCs w:val="44"/>
        </w:rPr>
      </w:pPr>
      <w:r>
        <w:rPr>
          <w:rFonts w:ascii="方正大标宋简体" w:hAnsi="方正大标宋简体" w:cs="黑体;SimHei" w:eastAsia="方正大标宋简体"/>
          <w:sz w:val="44"/>
          <w:szCs w:val="44"/>
        </w:rPr>
        <w:t>起草说明</w:t>
      </w:r>
    </w:p>
    <w:p>
      <w:pPr>
        <w:pStyle w:val="Normal"/>
        <w:spacing w:lineRule="exact" w:line="560"/>
        <w:rPr>
          <w:rFonts w:ascii="Times New Roman" w:hAnsi="Times New Roman" w:eastAsia="方正大标宋简体" w:cs="Times New Roman"/>
          <w:sz w:val="32"/>
          <w:szCs w:val="32"/>
        </w:rPr>
      </w:pPr>
      <w:r>
        <w:rPr>
          <w:rFonts w:eastAsia="方正大标宋简体" w:cs="Times New Roman" w:ascii="Times New Roman" w:hAnsi="Times New Roman"/>
          <w:sz w:val="32"/>
          <w:szCs w:val="32"/>
        </w:rPr>
      </w:r>
    </w:p>
    <w:p>
      <w:pPr>
        <w:pStyle w:val="Normal"/>
        <w:spacing w:lineRule="exact" w:line="560"/>
        <w:ind w:firstLine="640" w:end="0"/>
        <w:textAlignment w:val="baseline"/>
        <w:rPr>
          <w:rFonts w:ascii="Times New Roman" w:hAnsi="Times New Roman" w:eastAsia="黑体;SimHei" w:cs="Times New Roman"/>
          <w:sz w:val="32"/>
          <w:szCs w:val="32"/>
        </w:rPr>
      </w:pPr>
      <w:r>
        <w:rPr>
          <w:rFonts w:ascii="Times New Roman" w:hAnsi="Times New Roman" w:cs="黑体;SimHei" w:eastAsia="黑体;SimHei"/>
          <w:sz w:val="32"/>
          <w:szCs w:val="32"/>
        </w:rPr>
        <w:t>一、制定背景</w:t>
      </w:r>
    </w:p>
    <w:p>
      <w:pPr>
        <w:pStyle w:val="Normal"/>
        <w:spacing w:lineRule="exact" w:line="560"/>
        <w:ind w:firstLine="605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eastAsia="仿宋_GB2312;Arial Unicode MS" w:cs="Times New Roman" w:ascii="Times New Roman" w:hAnsi="Times New Roman"/>
          <w:sz w:val="32"/>
          <w:szCs w:val="32"/>
        </w:rPr>
        <w:t>2014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年，中国证监会发布实施《证券公司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及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基金</w:t>
      </w:r>
      <w:r>
        <w:rPr>
          <w:rFonts w:ascii="Times New Roman" w:hAnsi="Times New Roman" w:cs="Times New Roman" w:eastAsia="仿宋_GB2312;Arial Unicode MS"/>
          <w:sz w:val="32"/>
          <w:szCs w:val="32"/>
        </w:rPr>
        <w:t>管理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公司子公司资产证券化业务管理规定》，上海证券交易所（以下简称上交所）据此制定了《上海证券交易所资产证券化业务指引》及相关配套规则。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近年来，上交所资产证券化业务稳步发展，基础资产类型日益丰富，产品持续创新。截至</w:t>
      </w:r>
      <w:r>
        <w:rPr>
          <w:rFonts w:eastAsia="仿宋_GB2312;Arial Unicode MS" w:cs="Times New Roman" w:ascii="Times New Roman" w:hAnsi="Times New Roman"/>
          <w:sz w:val="32"/>
          <w:szCs w:val="32"/>
        </w:rPr>
        <w:t>2024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年</w:t>
      </w:r>
      <w:r>
        <w:rPr>
          <w:rFonts w:eastAsia="仿宋_GB2312;Arial Unicode MS" w:cs="Times New Roman" w:ascii="Times New Roman" w:hAnsi="Times New Roman"/>
          <w:sz w:val="32"/>
          <w:szCs w:val="32"/>
        </w:rPr>
        <w:t>2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月末，上交所资产支持证券累计发行</w:t>
      </w:r>
      <w:r>
        <w:rPr>
          <w:rFonts w:eastAsia="仿宋_GB2312;Arial Unicode MS" w:cs="Times New Roman" w:ascii="Times New Roman" w:hAnsi="Times New Roman"/>
          <w:sz w:val="32"/>
          <w:szCs w:val="32"/>
        </w:rPr>
        <w:t>6.58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万亿元，存量规模</w:t>
      </w:r>
      <w:r>
        <w:rPr>
          <w:rFonts w:eastAsia="仿宋_GB2312;Arial Unicode MS" w:cs="Times New Roman" w:ascii="Times New Roman" w:hAnsi="Times New Roman"/>
          <w:sz w:val="32"/>
          <w:szCs w:val="32"/>
        </w:rPr>
        <w:t>1.39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万亿元，在盘活存量资产、降低企业杠杆、拓宽融资渠道、服务实体经济、助力供给侧改革等方面发挥了重要作用。</w:t>
      </w:r>
    </w:p>
    <w:p>
      <w:pPr>
        <w:pStyle w:val="Normal"/>
        <w:spacing w:lineRule="exact" w:line="560"/>
        <w:ind w:firstLine="605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仿宋_GB2312;Arial Unicode MS" w:eastAsia="仿宋_GB2312;Arial Unicode MS"/>
          <w:sz w:val="32"/>
          <w:szCs w:val="32"/>
        </w:rPr>
        <w:t>随着资产证券化业务进入发展新阶段和市场形势的变化，现有业务规则不能充分适应业务发展的需要。为进一步夯实资产信用和破产隔离制度、加强投资者保护、明确自律监管要求，上交所在中国证监会统一部署下，结合日常监管实践，对</w:t>
      </w:r>
      <w:r>
        <w:rPr>
          <w:rFonts w:ascii="Times New Roman" w:hAnsi="Times New Roman" w:cs="Times New Roman" w:eastAsia="仿宋_GB2312;Arial Unicode MS"/>
          <w:sz w:val="32"/>
          <w:szCs w:val="32"/>
        </w:rPr>
        <w:t>《上海证券交易所资产证券化业务指引》《上海证券交易所资产支持证券挂牌条件确认业务指引》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进行了修订、整合，形成了《上海证券交易所资产支持证券业务规则》（以下简称《业务规则》）。</w:t>
      </w:r>
    </w:p>
    <w:p>
      <w:pPr>
        <w:pStyle w:val="Normal"/>
        <w:spacing w:lineRule="exact" w:line="560"/>
        <w:ind w:firstLine="605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仿宋_GB2312;Arial Unicode MS" w:eastAsia="仿宋_GB2312;Arial Unicode MS"/>
          <w:sz w:val="32"/>
          <w:szCs w:val="32"/>
        </w:rPr>
        <w:t>《业务规则》旨在建立覆盖资产支持证券全生命周期的业务规则体系和制度保障，作为上交所资产证券化业务基本规则，与前期已经发布的第</w:t>
      </w:r>
      <w:r>
        <w:rPr>
          <w:rFonts w:eastAsia="仿宋_GB2312;Arial Unicode MS" w:cs="Times New Roman" w:ascii="Times New Roman" w:hAnsi="Times New Roman"/>
          <w:sz w:val="32"/>
          <w:szCs w:val="32"/>
        </w:rPr>
        <w:t>1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号至第</w:t>
      </w:r>
      <w:r>
        <w:rPr>
          <w:rFonts w:eastAsia="仿宋_GB2312;Arial Unicode MS" w:cs="Times New Roman" w:ascii="Times New Roman" w:hAnsi="Times New Roman"/>
          <w:sz w:val="32"/>
          <w:szCs w:val="32"/>
        </w:rPr>
        <w:t>5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号资产支持证券挂牌条件确认规则适用指引等业务指引一起，共同构成上交所资产证券化业务规则体系，通过明确市场预期、引导相关主体归位尽责、促进自律管理转型升级，进一步激发市场活力，充分发挥资产证券化业务在落实新发展理念、构建新发展格局、推动高质量发展方面的功能，更好地服务于实体经济发展与金融风险防控相关要求。</w:t>
      </w:r>
    </w:p>
    <w:p>
      <w:pPr>
        <w:pStyle w:val="Normal"/>
        <w:spacing w:lineRule="exact" w:line="560"/>
        <w:ind w:firstLine="600" w:end="0"/>
        <w:rPr>
          <w:rFonts w:ascii="Times New Roman" w:hAnsi="Times New Roman" w:eastAsia="黑体;SimHei" w:cs="Times New Roman"/>
          <w:sz w:val="32"/>
          <w:szCs w:val="32"/>
        </w:rPr>
      </w:pPr>
      <w:r>
        <w:rPr>
          <w:rFonts w:ascii="Times New Roman" w:hAnsi="Times New Roman" w:cs="黑体;SimHei" w:eastAsia="黑体;SimHei"/>
          <w:sz w:val="32"/>
          <w:szCs w:val="32"/>
        </w:rPr>
        <w:t>二、主要内容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Times New Roman" w:eastAsia="仿宋_GB2312;Arial Unicode MS"/>
          <w:sz w:val="32"/>
          <w:szCs w:val="32"/>
        </w:rPr>
        <w:t>本次修订涉及挂牌条件及确认程序、发行和挂牌转让、信息披露、持有人权益保护、停复牌及终止挂牌、自律监管等环节和领域，对资产证券化业务全流程作出全面性、基础性的规范，主要包括以下几方面内容：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楷体_GB2312;Arial Unicode MS" w:cs="Times New Roman"/>
          <w:sz w:val="32"/>
          <w:szCs w:val="32"/>
        </w:rPr>
      </w:pPr>
      <w:r>
        <w:rPr>
          <w:rFonts w:ascii="Times New Roman" w:hAnsi="Times New Roman" w:cs="楷体_GB2312;Arial Unicode MS" w:eastAsia="楷体_GB2312;Arial Unicode MS"/>
          <w:sz w:val="32"/>
          <w:szCs w:val="32"/>
        </w:rPr>
        <w:t>（一）完善挂牌条件，明确挂牌条件确认程序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一是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聚焦资产支持证券的特点和规律，细化基础资产及现金流、交易结构、特定原始权益人及资产服务机构等方面的挂牌条件要求，推动审查要求公开透明；</w:t>
      </w: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二是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明确挂牌条件确认程序，确立发行前备案程序依据，强化对挂牌条件确认工作的约束和监督，加强廉洁风险防范。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楷体_GB2312;Arial Unicode MS" w:cs="Times New Roman"/>
          <w:sz w:val="32"/>
          <w:szCs w:val="32"/>
        </w:rPr>
      </w:pPr>
      <w:r>
        <w:rPr>
          <w:rFonts w:ascii="Times New Roman" w:hAnsi="Times New Roman" w:cs="楷体_GB2312;Arial Unicode MS" w:eastAsia="楷体_GB2312;Arial Unicode MS"/>
          <w:sz w:val="32"/>
          <w:szCs w:val="32"/>
        </w:rPr>
        <w:t>（二）补强信息披露要求，规范信息披露机制</w:t>
      </w:r>
    </w:p>
    <w:p>
      <w:pPr>
        <w:pStyle w:val="Normal"/>
        <w:spacing w:lineRule="exact" w:line="560"/>
        <w:ind w:firstLine="640" w:end="0"/>
        <w:rPr/>
      </w:pP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一是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新增信息披露基本原则、披露方式，强调信息披露义务人</w:t>
      </w:r>
      <w:r>
        <w:rPr>
          <w:rFonts w:ascii="Times New Roman" w:hAnsi="Times New Roman" w:cs="Times New Roman" w:eastAsia="仿宋_GB2312;Arial Unicode MS"/>
          <w:sz w:val="32"/>
          <w:szCs w:val="32"/>
        </w:rPr>
        <w:t>职责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，明确</w:t>
      </w:r>
      <w:r>
        <w:rPr>
          <w:rFonts w:ascii="Times New Roman" w:hAnsi="Times New Roman" w:cs="Times New Roman" w:eastAsia="仿宋_GB2312;Arial Unicode MS"/>
          <w:sz w:val="32"/>
          <w:szCs w:val="32"/>
        </w:rPr>
        <w:t>申报、发行、存续期间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计划说明书、定期报告、临时报告、评级报告等文件的信息披露要求；</w:t>
      </w: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二是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规范特殊情形信息披露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机制，明确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自愿披露、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暂缓或豁免披露、交易所主动公告、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重大事项临时报告</w:t>
      </w:r>
      <w:r>
        <w:rPr>
          <w:rFonts w:ascii="Times New Roman" w:hAnsi="Times New Roman" w:cs="Times New Roman" w:eastAsia="仿宋_GB2312;Arial Unicode MS"/>
          <w:sz w:val="32"/>
          <w:szCs w:val="32"/>
        </w:rPr>
        <w:t>等的适用情形和要求，提升信息披露的及时性和规范性。</w:t>
      </w:r>
    </w:p>
    <w:p>
      <w:pPr>
        <w:pStyle w:val="Normal"/>
        <w:spacing w:lineRule="exact" w:line="560"/>
        <w:ind w:firstLine="640" w:end="0"/>
        <w:rPr/>
      </w:pPr>
      <w:r>
        <w:rPr>
          <w:rFonts w:ascii="Times New Roman" w:hAnsi="Times New Roman" w:cs="楷体_GB2312;Arial Unicode MS" w:eastAsia="楷体_GB2312;Arial Unicode MS"/>
          <w:sz w:val="32"/>
          <w:szCs w:val="32"/>
        </w:rPr>
        <w:t>（三）完善持有人权益保护机制安排，强化风险管理责</w:t>
      </w:r>
      <w:r>
        <w:rPr>
          <w:rFonts w:ascii="Times New Roman" w:hAnsi="Times New Roman" w:cs="Times New Roman" w:eastAsia="仿宋_GB2312;Arial Unicode MS"/>
          <w:sz w:val="32"/>
          <w:szCs w:val="32"/>
        </w:rPr>
        <w:t>任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一是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新增资产支持证券持有人会议制度，明确持有人会议规则应当约定的事项、会议召集事项和召开程序、会议议案原则性要求、表决权和表决回避、持有人会议决议效力等，同时保留了自治约定的空间，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强化市场内生约束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；</w:t>
      </w: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二是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强调管理人主动管理和信用风险监测防范化解职责，强化原始权益人、资产服务机构和增信机构存续期规范运行职责。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楷体_GB2312;Arial Unicode MS" w:cs="Times New Roman"/>
          <w:sz w:val="32"/>
          <w:szCs w:val="32"/>
        </w:rPr>
      </w:pPr>
      <w:r>
        <w:rPr>
          <w:rFonts w:ascii="Times New Roman" w:hAnsi="Times New Roman" w:cs="楷体_GB2312;Arial Unicode MS" w:eastAsia="楷体_GB2312;Arial Unicode MS"/>
          <w:sz w:val="32"/>
          <w:szCs w:val="32"/>
        </w:rPr>
        <w:t>（四）完善停复牌监管，细化自律监管安排</w:t>
      </w:r>
    </w:p>
    <w:p>
      <w:pPr>
        <w:pStyle w:val="Normal"/>
        <w:spacing w:lineRule="exact" w:line="560"/>
        <w:ind w:firstLine="756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ascii="Times New Roman" w:hAnsi="Times New Roman" w:cs="仿宋_GB2312;Arial Unicode MS" w:eastAsia="仿宋_GB2312;Arial Unicode MS"/>
          <w:b/>
          <w:sz w:val="32"/>
          <w:szCs w:val="32"/>
        </w:rPr>
        <w:t>一是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细化资产支持证券停复牌和摘牌的情形，</w:t>
      </w:r>
      <w:r>
        <w:rPr>
          <w:rFonts w:ascii="Times New Roman" w:hAnsi="Times New Roman" w:cs="Times New Roman" w:eastAsia="仿宋_GB2312;Arial Unicode MS"/>
          <w:sz w:val="32"/>
          <w:szCs w:val="32"/>
        </w:rPr>
        <w:t>优化实施程序，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明确停复牌发起机制、停牌期间的信息披露安排，优化资产支持证券摘牌情形等</w:t>
      </w:r>
      <w:r>
        <w:rPr>
          <w:rFonts w:ascii="Times New Roman" w:hAnsi="Times New Roman" w:cs="Times New Roman" w:eastAsia="仿宋_GB2312;Arial Unicode MS"/>
          <w:sz w:val="32"/>
          <w:szCs w:val="32"/>
        </w:rPr>
        <w:t>；</w:t>
      </w:r>
      <w:r>
        <w:rPr>
          <w:rFonts w:ascii="Times New Roman" w:hAnsi="Times New Roman" w:cs="Times New Roman" w:eastAsia="仿宋_GB2312;Arial Unicode MS"/>
          <w:b/>
          <w:sz w:val="32"/>
          <w:szCs w:val="32"/>
        </w:rPr>
        <w:t>二是</w:t>
      </w:r>
      <w:r>
        <w:rPr>
          <w:rFonts w:ascii="Times New Roman" w:hAnsi="Times New Roman" w:cs="Times New Roman" w:eastAsia="仿宋_GB2312;Arial Unicode MS"/>
          <w:sz w:val="32"/>
          <w:szCs w:val="32"/>
        </w:rPr>
        <w:t>丰富细化了自律监管措施及适用情形，</w:t>
      </w:r>
      <w:r>
        <w:rPr>
          <w:rFonts w:ascii="Times New Roman" w:hAnsi="Times New Roman" w:cs="仿宋_GB2312;Arial Unicode MS" w:eastAsia="仿宋_GB2312;Arial Unicode MS"/>
          <w:sz w:val="32"/>
          <w:szCs w:val="32"/>
        </w:rPr>
        <w:t>引导相关主体归位尽责。</w:t>
      </w:r>
    </w:p>
    <w:p>
      <w:pPr>
        <w:pStyle w:val="Normal"/>
        <w:spacing w:lineRule="exact" w:line="560"/>
        <w:ind w:firstLine="600" w:end="0"/>
        <w:rPr>
          <w:rFonts w:ascii="Times New Roman" w:hAnsi="Times New Roman" w:eastAsia="黑体;SimHei" w:cs="Times New Roman"/>
          <w:sz w:val="32"/>
          <w:szCs w:val="32"/>
        </w:rPr>
      </w:pPr>
      <w:r>
        <w:rPr>
          <w:rFonts w:ascii="Times New Roman" w:hAnsi="Times New Roman" w:cs="黑体;SimHei" w:eastAsia="黑体;SimHei"/>
          <w:sz w:val="32"/>
          <w:szCs w:val="32"/>
        </w:rPr>
        <w:t>三、征求意见及采纳情况</w:t>
      </w:r>
    </w:p>
    <w:p>
      <w:pPr>
        <w:pStyle w:val="Normal"/>
        <w:spacing w:lineRule="exact" w:line="560"/>
        <w:ind w:firstLine="640" w:end="0"/>
        <w:rPr>
          <w:rFonts w:ascii="Times New Roman" w:hAnsi="Times New Roman" w:eastAsia="仿宋_GB2312;Arial Unicode MS" w:cs="Times New Roman"/>
          <w:sz w:val="32"/>
          <w:szCs w:val="32"/>
        </w:rPr>
      </w:pPr>
      <w:r>
        <w:rPr>
          <w:rFonts w:eastAsia="仿宋_GB2312;Arial Unicode MS" w:cs="Times New Roman" w:ascii="Times New Roman" w:hAnsi="Times New Roman"/>
          <w:sz w:val="32"/>
          <w:szCs w:val="32"/>
        </w:rPr>
        <w:t>2022</w:t>
      </w:r>
      <w:r>
        <w:rPr>
          <w:rFonts w:ascii="Times New Roman" w:hAnsi="Times New Roman" w:cs="Times New Roman" w:eastAsia="仿宋_GB2312;Arial Unicode MS"/>
          <w:sz w:val="32"/>
          <w:szCs w:val="32"/>
        </w:rPr>
        <w:t>年</w:t>
      </w:r>
      <w:r>
        <w:rPr>
          <w:rFonts w:eastAsia="仿宋_GB2312;Arial Unicode MS" w:cs="Times New Roman" w:ascii="Times New Roman" w:hAnsi="Times New Roman"/>
          <w:sz w:val="32"/>
          <w:szCs w:val="32"/>
        </w:rPr>
        <w:t>12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月</w:t>
      </w:r>
      <w:r>
        <w:rPr>
          <w:rFonts w:eastAsia="仿宋_GB2312;Arial Unicode MS" w:cs="Times New Roman" w:ascii="Times New Roman" w:hAnsi="Times New Roman"/>
          <w:sz w:val="32"/>
          <w:szCs w:val="32"/>
        </w:rPr>
        <w:t>2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日至</w:t>
      </w:r>
      <w:r>
        <w:rPr>
          <w:rFonts w:eastAsia="仿宋_GB2312;Arial Unicode MS" w:cs="Times New Roman" w:ascii="Times New Roman" w:hAnsi="Times New Roman"/>
          <w:sz w:val="32"/>
          <w:szCs w:val="32"/>
        </w:rPr>
        <w:t>12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月</w:t>
      </w:r>
      <w:r>
        <w:rPr>
          <w:rFonts w:eastAsia="仿宋_GB2312;Arial Unicode MS" w:cs="Times New Roman" w:ascii="Times New Roman" w:hAnsi="Times New Roman"/>
          <w:sz w:val="32"/>
          <w:szCs w:val="32"/>
        </w:rPr>
        <w:t>9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日，上交所就《业务规则》向社会公开征求意见。征求意见期间，共收到</w:t>
      </w:r>
      <w:r>
        <w:rPr>
          <w:rFonts w:eastAsia="仿宋_GB2312;Arial Unicode MS" w:cs="Times New Roman" w:ascii="Times New Roman" w:hAnsi="Times New Roman"/>
          <w:sz w:val="32"/>
          <w:szCs w:val="32"/>
        </w:rPr>
        <w:t>23</w:t>
      </w:r>
      <w:r>
        <w:rPr>
          <w:rFonts w:ascii="Times New Roman" w:hAnsi="Times New Roman" w:cs="Times New Roman" w:eastAsia="仿宋_GB2312;Arial Unicode MS"/>
          <w:sz w:val="32"/>
          <w:szCs w:val="32"/>
        </w:rPr>
        <w:t>条相关意见建议。上交所对此进行了认真研究梳理，并结合相关意见，从立法技术角度对若干条款的具体表述进行了适当优化，以增强具体规定的规范性和简明性。</w:t>
      </w:r>
    </w:p>
    <w:p>
      <w:pPr>
        <w:pStyle w:val="Normal"/>
        <w:spacing w:lineRule="exact" w:line="400"/>
        <w:rPr>
          <w:rFonts w:ascii="仿宋_GB2312;Arial Unicode MS" w:hAnsi="仿宋_GB2312;Arial Unicode MS" w:eastAsia="仿宋_GB2312;Arial Unicode MS" w:cs="Times New Roman"/>
          <w:bCs/>
          <w:color w:val="000000"/>
          <w:sz w:val="28"/>
          <w:szCs w:val="28"/>
        </w:rPr>
      </w:pPr>
      <w:r>
        <w:rPr>
          <w:rFonts w:eastAsia="仿宋_GB2312;Arial Unicode MS" w:cs="Times New Roman" w:ascii="仿宋_GB2312;Arial Unicode MS" w:hAnsi="仿宋_GB2312;Arial Unicode MS"/>
          <w:bCs/>
          <w:color w:val="000000"/>
          <w:sz w:val="28"/>
          <w:szCs w:val="28"/>
        </w:rPr>
      </w:r>
    </w:p>
    <w:sectPr>
      <w:footerReference w:type="even" r:id="rId2"/>
      <w:footerReference w:type="default" r:id="rId3"/>
      <w:type w:val="nextPage"/>
      <w:pgSz w:w="11906" w:h="16838"/>
      <w:pgMar w:left="1588" w:right="1474" w:gutter="0" w:header="0" w:top="2098" w:footer="1417" w:bottom="198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仿宋_GB2312">
    <w:altName w:val="Arial Unicode MS"/>
    <w:charset w:val="86"/>
    <w:family w:val="modern"/>
    <w:pitch w:val="default"/>
  </w:font>
  <w:font w:name="黑体">
    <w:altName w:val="SimHei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方正大标宋简体">
    <w:charset w:val="86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00" w:end="0"/>
      <w:rPr/>
    </w:pPr>
    <w:r>
      <w:rPr>
        <w:rFonts w:eastAsia="仿宋_GB2312;Arial Unicode MS" w:ascii="仿宋_GB2312;Arial Unicode MS" w:hAnsi="仿宋_GB2312;Arial Unicode MS"/>
        <w:sz w:val="30"/>
        <w:szCs w:val="30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2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eastAsia="仿宋_GB2312;Arial Unicode MS" w:ascii="仿宋_GB2312;Arial Unicode MS" w:hAnsi="仿宋_GB2312;Arial Unicode MS"/>
        <w:sz w:val="30"/>
        <w:szCs w:val="30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cs="宋体;SimSun" w:ascii="宋体;SimSun" w:hAnsi="宋体;SimSun"/>
        <w:sz w:val="28"/>
        <w:szCs w:val="28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3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28"/>
        <w:szCs w:val="28"/>
      </w:rPr>
      <w:t xml:space="preserve">-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华文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80" w:after="280"/>
      <w:jc w:val="start"/>
      <w:outlineLvl w:val="1"/>
    </w:pPr>
    <w:rPr>
      <w:rFonts w:ascii="宋体;SimSun" w:hAnsi="宋体;SimSun" w:cs="宋体;SimSun"/>
      <w:b/>
      <w:bCs/>
      <w:kern w:val="0"/>
      <w:sz w:val="36"/>
      <w:szCs w:val="36"/>
    </w:rPr>
  </w:style>
  <w:style w:type="character" w:styleId="WW8Num1z0">
    <w:name w:val="WW8Num1z0"/>
    <w:qFormat/>
    <w:rPr>
      <w:rFonts w:ascii="仿宋_GB2312;Arial Unicode MS" w:hAnsi="仿宋_GB2312;Arial Unicode MS" w:eastAsia="仿宋_GB2312;Arial Unicode MS" w:cs="黑体;SimHei"/>
      <w:b w:val="false"/>
      <w:bCs/>
      <w:shd w:fill="auto" w:val="clear"/>
      <w:lang w:val="en-US"/>
    </w:rPr>
  </w:style>
  <w:style w:type="character" w:styleId="WW8Num1z1">
    <w:name w:val="WW8Num1z1"/>
    <w:qFormat/>
    <w:rPr/>
  </w:style>
  <w:style w:type="character" w:styleId="Style12">
    <w:name w:val="默认段落字体"/>
    <w:qFormat/>
    <w:rPr/>
  </w:style>
  <w:style w:type="character" w:styleId="1Char">
    <w:name w:val="标题 1 Char"/>
    <w:basedOn w:val="Style12"/>
    <w:qFormat/>
    <w:rPr>
      <w:b/>
      <w:bCs/>
      <w:kern w:val="2"/>
      <w:sz w:val="44"/>
      <w:szCs w:val="44"/>
    </w:rPr>
  </w:style>
  <w:style w:type="character" w:styleId="2Char">
    <w:name w:val="标题 2 Char"/>
    <w:basedOn w:val="Style12"/>
    <w:qFormat/>
    <w:rPr>
      <w:rFonts w:ascii="宋体;SimSun" w:hAnsi="宋体;SimSun" w:cs="宋体;SimSun"/>
      <w:b/>
      <w:bCs/>
      <w:sz w:val="36"/>
      <w:szCs w:val="36"/>
    </w:rPr>
  </w:style>
  <w:style w:type="character" w:styleId="Char">
    <w:name w:val="正文文本缩进 Char"/>
    <w:basedOn w:val="Style12"/>
    <w:qFormat/>
    <w:rPr>
      <w:rFonts w:ascii="仿宋_GB2312;Arial Unicode MS" w:hAnsi="仿宋_GB2312;Arial Unicode MS" w:eastAsia="仿宋_GB2312;Arial Unicode MS" w:cs="Times New Roman"/>
      <w:sz w:val="30"/>
      <w:szCs w:val="24"/>
    </w:rPr>
  </w:style>
  <w:style w:type="character" w:styleId="Char1">
    <w:name w:val="日期 Char"/>
    <w:basedOn w:val="Style12"/>
    <w:qFormat/>
    <w:rPr>
      <w:rFonts w:ascii="Calibri" w:hAnsi="Calibri" w:eastAsia="宋体;SimSun" w:cs="Times New Roman"/>
    </w:rPr>
  </w:style>
  <w:style w:type="character" w:styleId="Char2">
    <w:name w:val="页脚 Char"/>
    <w:basedOn w:val="Style12"/>
    <w:qFormat/>
    <w:rPr>
      <w:rFonts w:ascii="Calibri" w:hAnsi="Calibri" w:eastAsia="宋体;SimSun" w:cs="Times New Roman"/>
      <w:sz w:val="18"/>
      <w:szCs w:val="18"/>
    </w:rPr>
  </w:style>
  <w:style w:type="character" w:styleId="Char3">
    <w:name w:val="页眉 Char"/>
    <w:basedOn w:val="Style12"/>
    <w:qFormat/>
    <w:rPr>
      <w:rFonts w:ascii="Calibri" w:hAnsi="Calibri" w:eastAsia="宋体;SimSun" w:cs="Times New Roman"/>
      <w:sz w:val="18"/>
      <w:szCs w:val="18"/>
    </w:rPr>
  </w:style>
  <w:style w:type="character" w:styleId="Char4">
    <w:name w:val="脚注文本 Char"/>
    <w:basedOn w:val="Style12"/>
    <w:qFormat/>
    <w:rPr>
      <w:kern w:val="2"/>
      <w:sz w:val="18"/>
      <w:szCs w:val="18"/>
    </w:rPr>
  </w:style>
  <w:style w:type="character" w:styleId="2Char1">
    <w:name w:val="正文文本 2 Char"/>
    <w:basedOn w:val="Style12"/>
    <w:qFormat/>
    <w:rPr>
      <w:kern w:val="2"/>
      <w:sz w:val="21"/>
      <w:szCs w:val="22"/>
    </w:rPr>
  </w:style>
  <w:style w:type="character" w:styleId="FootnoteCharacters">
    <w:name w:val="Footnote Characters"/>
    <w:basedOn w:val="Style12"/>
    <w:qFormat/>
    <w:rPr>
      <w:vertAlign w:val="superscript"/>
    </w:rPr>
  </w:style>
  <w:style w:type="character" w:styleId="Char11">
    <w:name w:val="正文文本缩进 Char1"/>
    <w:basedOn w:val="Style12"/>
    <w:qFormat/>
    <w:rPr>
      <w:kern w:val="2"/>
      <w:sz w:val="21"/>
      <w:szCs w:val="22"/>
    </w:rPr>
  </w:style>
  <w:style w:type="character" w:styleId="Char5">
    <w:name w:val="列出段落 Char"/>
    <w:qFormat/>
    <w:rPr>
      <w:kern w:val="2"/>
      <w:sz w:val="21"/>
      <w:szCs w:val="22"/>
    </w:rPr>
  </w:style>
  <w:style w:type="character" w:styleId="-1Char">
    <w:name w:val="彩色列表 - 强调文字颜色 1 Char"/>
    <w:qFormat/>
    <w:rPr>
      <w:kern w:val="2"/>
      <w:sz w:val="21"/>
      <w:szCs w:val="24"/>
    </w:rPr>
  </w:style>
  <w:style w:type="character" w:styleId="SSEChar">
    <w:name w:val="SSE正文 Char"/>
    <w:qFormat/>
    <w:rPr>
      <w:rFonts w:ascii="仿宋_GB2312;Arial Unicode MS" w:hAnsi="仿宋_GB2312;Arial Unicode MS" w:eastAsia="仿宋_GB2312;Arial Unicode MS" w:cs="Times New Roman"/>
      <w:kern w:val="2"/>
      <w:sz w:val="30"/>
      <w:szCs w:val="30"/>
    </w:rPr>
  </w:style>
  <w:style w:type="character" w:styleId="SSE1Char">
    <w:name w:val="SSE标题1 Char"/>
    <w:qFormat/>
    <w:rPr>
      <w:rFonts w:ascii="黑体;SimHei" w:hAnsi="黑体;SimHei" w:eastAsia="黑体;SimHei" w:cs="Times New Roman"/>
      <w:b/>
      <w:kern w:val="2"/>
      <w:sz w:val="30"/>
      <w:szCs w:val="30"/>
    </w:rPr>
  </w:style>
  <w:style w:type="character" w:styleId="fontstyle01">
    <w:name w:val="fontstyle01"/>
    <w:basedOn w:val="Style12"/>
    <w:qFormat/>
    <w:rPr>
      <w:rFonts w:ascii="宋体;SimSun" w:hAnsi="宋体;SimSun" w:eastAsia="宋体;SimSun" w:cs="宋体;SimSun"/>
      <w:color w:val="000000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pPr>
      <w:tabs>
        <w:tab w:val="clear" w:pos="420"/>
        <w:tab w:val="left" w:pos="7020" w:leader="none"/>
      </w:tabs>
      <w:spacing w:lineRule="exact" w:line="600"/>
      <w:ind w:firstLine="600" w:start="0" w:end="0"/>
    </w:pPr>
    <w:rPr>
      <w:rFonts w:ascii="仿宋_GB2312;Arial Unicode MS" w:hAnsi="仿宋_GB2312;Arial Unicode MS" w:eastAsia="仿宋_GB2312;Arial Unicode MS" w:cs="Times New Roman"/>
      <w:kern w:val="0"/>
      <w:sz w:val="30"/>
      <w:szCs w:val="24"/>
    </w:rPr>
  </w:style>
  <w:style w:type="paragraph" w:styleId="Style13">
    <w:name w:val="日期"/>
    <w:basedOn w:val="Normal"/>
    <w:next w:val="Normal"/>
    <w:qFormat/>
    <w:pPr>
      <w:ind w:hanging="0" w:start="10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noteText">
    <w:name w:val="footnote text"/>
    <w:basedOn w:val="Normal"/>
    <w:pPr>
      <w:snapToGrid w:val="false"/>
      <w:jc w:val="start"/>
    </w:pPr>
    <w:rPr>
      <w:rFonts w:ascii="Calibri" w:hAnsi="Calibri" w:cs="Calibri"/>
      <w:sz w:val="18"/>
      <w:szCs w:val="18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Style14">
    <w:name w:val="普通(网站)"/>
    <w:basedOn w:val="Normal"/>
    <w:qFormat/>
    <w:pPr>
      <w:spacing w:before="280" w:after="280"/>
      <w:jc w:val="start"/>
    </w:pPr>
    <w:rPr>
      <w:rFonts w:ascii="Calibri" w:hAnsi="Calibri" w:eastAsia="宋体;SimSun" w:cs="Calibri"/>
      <w:kern w:val="0"/>
      <w:sz w:val="24"/>
      <w:szCs w:val="24"/>
    </w:rPr>
  </w:style>
  <w:style w:type="paragraph" w:styleId="21">
    <w:name w:val="列出段落2"/>
    <w:basedOn w:val="Normal"/>
    <w:qFormat/>
    <w:pPr>
      <w:ind w:firstLine="420" w:start="0" w:end="0"/>
    </w:pPr>
    <w:rPr>
      <w:rFonts w:ascii="Calibri" w:hAnsi="Calibri" w:cs="Calibri"/>
      <w:szCs w:val="22"/>
    </w:rPr>
  </w:style>
  <w:style w:type="paragraph" w:styleId="Style15">
    <w:name w:val="列出段落"/>
    <w:basedOn w:val="Normal"/>
    <w:qFormat/>
    <w:pPr>
      <w:ind w:firstLine="420" w:start="0" w:end="0"/>
    </w:pPr>
    <w:rPr>
      <w:lang w:val="zh-CN"/>
    </w:rPr>
  </w:style>
  <w:style w:type="paragraph" w:styleId="-11">
    <w:name w:val="彩色列表 - 强调文字颜色 11"/>
    <w:basedOn w:val="Normal"/>
    <w:qFormat/>
    <w:pPr>
      <w:ind w:firstLine="420" w:start="0" w:end="0"/>
    </w:pPr>
    <w:rPr>
      <w:szCs w:val="24"/>
      <w:lang w:val="zh-CN"/>
    </w:rPr>
  </w:style>
  <w:style w:type="paragraph" w:styleId="SSE">
    <w:name w:val="SSE正文"/>
    <w:basedOn w:val="Normal"/>
    <w:qFormat/>
    <w:pPr>
      <w:spacing w:lineRule="exact" w:line="600"/>
      <w:ind w:firstLine="600" w:start="0" w:end="0"/>
    </w:pPr>
    <w:rPr>
      <w:rFonts w:ascii="仿宋_GB2312;Arial Unicode MS" w:hAnsi="仿宋_GB2312;Arial Unicode MS" w:eastAsia="仿宋_GB2312;Arial Unicode MS" w:cs="Times New Roman"/>
      <w:sz w:val="30"/>
      <w:szCs w:val="30"/>
      <w:lang w:val="zh-CN"/>
    </w:rPr>
  </w:style>
  <w:style w:type="paragraph" w:styleId="SSE1">
    <w:name w:val="SSE标题1"/>
    <w:basedOn w:val="Normal"/>
    <w:qFormat/>
    <w:pPr>
      <w:spacing w:lineRule="exact" w:line="600"/>
      <w:ind w:firstLine="602" w:start="0" w:end="0"/>
      <w:outlineLvl w:val="0"/>
    </w:pPr>
    <w:rPr>
      <w:rFonts w:ascii="黑体;SimHei" w:hAnsi="黑体;SimHei" w:eastAsia="黑体;SimHei" w:cs="黑体;SimHei"/>
      <w:b/>
      <w:sz w:val="30"/>
      <w:szCs w:val="30"/>
      <w:lang w:val="zh-CN"/>
    </w:rPr>
  </w:style>
  <w:style w:type="paragraph" w:styleId="Style16">
    <w:name w:val="签报正文"/>
    <w:basedOn w:val="Normal"/>
    <w:qFormat/>
    <w:pPr>
      <w:spacing w:lineRule="exact" w:line="600"/>
      <w:jc w:val="center"/>
    </w:pPr>
    <w:rPr>
      <w:rFonts w:ascii="仿宋_GB2312;Arial Unicode MS" w:hAnsi="仿宋_GB2312;Arial Unicode MS" w:eastAsia="仿宋_GB2312;Arial Unicode MS" w:cs="Times New Roman"/>
      <w:sz w:val="30"/>
      <w:szCs w:val="3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LibreOffice/25.2.3.2$MacOSX_AARCH64 LibreOffice_project/bbb074479178df812d175f709636b368952c2ce3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2024-03-29T17:30:00Z</dcterms:created>
  <dc:creator>whxu</dc:creator>
  <dc:description/>
  <dc:language>zh-CN</dc:language>
  <cp:lastModifiedBy>user</cp:lastModifiedBy>
  <cp:lastPrinted>2024-03-29T08:56:00Z</cp:lastPrinted>
  <dcterms:modified xsi:type="dcterms:W3CDTF">2024-03-29T17:30:00Z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DEA856AEC0E64501A3AD51BF740A98AF</vt:lpwstr>
  </property>
  <property fmtid="{D5CDD505-2E9C-101B-9397-08002B2CF9AE}" pid="3" name="KSOProductBuildVer">
    <vt:lpwstr>2052-11.8.2.11813</vt:lpwstr>
  </property>
</Properties>
</file>