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1A" w:rsidRDefault="00EB3D1A" w:rsidP="00EB3D1A">
      <w:pPr>
        <w:jc w:val="left"/>
        <w:rPr>
          <w:rFonts w:ascii="仿宋_GB2312" w:eastAsia="仿宋_GB2312" w:hAnsi="黑体"/>
          <w:sz w:val="30"/>
          <w:szCs w:val="30"/>
        </w:rPr>
      </w:pPr>
      <w:bookmarkStart w:id="0" w:name="_GoBack"/>
      <w:bookmarkEnd w:id="0"/>
      <w:r w:rsidRPr="00A92ED0">
        <w:rPr>
          <w:rFonts w:ascii="仿宋_GB2312" w:eastAsia="仿宋_GB2312" w:hAnsi="黑体" w:hint="eastAsia"/>
          <w:sz w:val="30"/>
          <w:szCs w:val="30"/>
        </w:rPr>
        <w:t>附件</w:t>
      </w:r>
      <w:r w:rsidR="0091329F">
        <w:rPr>
          <w:rFonts w:ascii="仿宋_GB2312" w:eastAsia="仿宋_GB2312" w:hAnsi="黑体" w:hint="eastAsia"/>
          <w:sz w:val="30"/>
          <w:szCs w:val="30"/>
        </w:rPr>
        <w:t>2</w:t>
      </w:r>
    </w:p>
    <w:p w:rsidR="00EB3D1A" w:rsidRPr="00A92ED0" w:rsidRDefault="00EB3D1A" w:rsidP="00EB3D1A">
      <w:pPr>
        <w:jc w:val="left"/>
        <w:rPr>
          <w:rFonts w:ascii="仿宋_GB2312" w:eastAsia="仿宋_GB2312" w:hAnsi="黑体"/>
          <w:sz w:val="30"/>
          <w:szCs w:val="30"/>
        </w:rPr>
      </w:pPr>
    </w:p>
    <w:p w:rsidR="00EB3D1A" w:rsidRDefault="00EB3D1A" w:rsidP="00EB3D1A">
      <w:pPr>
        <w:jc w:val="center"/>
        <w:rPr>
          <w:rFonts w:ascii="黑体" w:eastAsia="黑体" w:hAnsi="黑体"/>
          <w:b/>
          <w:sz w:val="44"/>
          <w:szCs w:val="44"/>
        </w:rPr>
      </w:pPr>
      <w:r>
        <w:rPr>
          <w:rFonts w:ascii="黑体" w:eastAsia="黑体" w:hAnsi="黑体" w:hint="eastAsia"/>
          <w:b/>
          <w:sz w:val="44"/>
          <w:szCs w:val="44"/>
        </w:rPr>
        <w:t>《</w:t>
      </w:r>
      <w:r w:rsidRPr="009F7118">
        <w:rPr>
          <w:rFonts w:ascii="黑体" w:eastAsia="黑体" w:hAnsi="黑体" w:hint="eastAsia"/>
          <w:b/>
          <w:sz w:val="44"/>
          <w:szCs w:val="44"/>
        </w:rPr>
        <w:t>上海证券交易所债券交易规则</w:t>
      </w:r>
      <w:r>
        <w:rPr>
          <w:rFonts w:ascii="黑体" w:eastAsia="黑体" w:hAnsi="黑体" w:hint="eastAsia"/>
          <w:b/>
          <w:sz w:val="44"/>
          <w:szCs w:val="44"/>
        </w:rPr>
        <w:t>》</w:t>
      </w:r>
    </w:p>
    <w:p w:rsidR="00EB3D1A" w:rsidRDefault="00EB3D1A" w:rsidP="00EB3D1A">
      <w:pPr>
        <w:jc w:val="center"/>
        <w:rPr>
          <w:rFonts w:ascii="黑体" w:eastAsia="黑体" w:hAnsi="黑体"/>
          <w:b/>
          <w:sz w:val="44"/>
          <w:szCs w:val="44"/>
        </w:rPr>
      </w:pPr>
      <w:r w:rsidRPr="002013EE">
        <w:rPr>
          <w:rFonts w:ascii="黑体" w:eastAsia="黑体" w:hAnsi="黑体" w:hint="eastAsia"/>
          <w:b/>
          <w:sz w:val="44"/>
          <w:szCs w:val="44"/>
        </w:rPr>
        <w:t>暂缓实施条款</w:t>
      </w:r>
    </w:p>
    <w:p w:rsidR="00EB3D1A" w:rsidRDefault="00EB3D1A" w:rsidP="00EB3D1A">
      <w:pPr>
        <w:jc w:val="center"/>
        <w:rPr>
          <w:rFonts w:ascii="黑体" w:eastAsia="黑体" w:hAnsi="黑体"/>
          <w:b/>
          <w:sz w:val="44"/>
          <w:szCs w:val="44"/>
        </w:rPr>
      </w:pPr>
    </w:p>
    <w:tbl>
      <w:tblPr>
        <w:tblStyle w:val="a3"/>
        <w:tblW w:w="13921" w:type="dxa"/>
        <w:tblInd w:w="-34" w:type="dxa"/>
        <w:tblLook w:val="04A0"/>
      </w:tblPr>
      <w:tblGrid>
        <w:gridCol w:w="718"/>
        <w:gridCol w:w="1721"/>
        <w:gridCol w:w="8222"/>
        <w:gridCol w:w="3260"/>
      </w:tblGrid>
      <w:tr w:rsidR="00EB3D1A" w:rsidRPr="008B5D0C" w:rsidTr="00840A0A">
        <w:tc>
          <w:tcPr>
            <w:tcW w:w="718" w:type="dxa"/>
          </w:tcPr>
          <w:p w:rsidR="00EB3D1A" w:rsidRPr="002C3F89" w:rsidRDefault="00EB3D1A" w:rsidP="00401482">
            <w:pPr>
              <w:jc w:val="center"/>
              <w:rPr>
                <w:rFonts w:ascii="仿宋_GB2312" w:eastAsia="仿宋_GB2312" w:hAnsi="黑体"/>
                <w:b/>
                <w:sz w:val="24"/>
                <w:szCs w:val="24"/>
              </w:rPr>
            </w:pPr>
            <w:r w:rsidRPr="002C3F89">
              <w:rPr>
                <w:rFonts w:ascii="仿宋_GB2312" w:eastAsia="仿宋_GB2312" w:hAnsi="黑体" w:hint="eastAsia"/>
                <w:b/>
                <w:sz w:val="24"/>
                <w:szCs w:val="24"/>
              </w:rPr>
              <w:t>序号</w:t>
            </w:r>
          </w:p>
        </w:tc>
        <w:tc>
          <w:tcPr>
            <w:tcW w:w="1721" w:type="dxa"/>
          </w:tcPr>
          <w:p w:rsidR="00EB3D1A" w:rsidRPr="002C3F89" w:rsidRDefault="00EB3D1A" w:rsidP="00EB3D1A">
            <w:pPr>
              <w:jc w:val="center"/>
              <w:rPr>
                <w:rFonts w:ascii="仿宋_GB2312" w:eastAsia="仿宋_GB2312" w:hAnsi="黑体"/>
                <w:b/>
                <w:sz w:val="24"/>
                <w:szCs w:val="24"/>
              </w:rPr>
            </w:pPr>
            <w:r>
              <w:rPr>
                <w:rFonts w:ascii="仿宋_GB2312" w:eastAsia="仿宋_GB2312" w:hAnsi="黑体" w:hint="eastAsia"/>
                <w:b/>
                <w:sz w:val="24"/>
                <w:szCs w:val="24"/>
              </w:rPr>
              <w:t>暂缓实施事项</w:t>
            </w:r>
          </w:p>
        </w:tc>
        <w:tc>
          <w:tcPr>
            <w:tcW w:w="8222" w:type="dxa"/>
          </w:tcPr>
          <w:p w:rsidR="00EB3D1A" w:rsidRDefault="00EB3D1A" w:rsidP="00EB3D1A">
            <w:pPr>
              <w:jc w:val="center"/>
              <w:rPr>
                <w:rFonts w:ascii="仿宋_GB2312" w:eastAsia="仿宋_GB2312" w:hAnsi="黑体"/>
                <w:b/>
                <w:sz w:val="24"/>
                <w:szCs w:val="24"/>
              </w:rPr>
            </w:pPr>
            <w:r>
              <w:rPr>
                <w:rFonts w:ascii="仿宋_GB2312" w:eastAsia="仿宋_GB2312" w:hAnsi="黑体" w:hint="eastAsia"/>
                <w:b/>
                <w:sz w:val="24"/>
                <w:szCs w:val="24"/>
              </w:rPr>
              <w:t>暂缓</w:t>
            </w:r>
            <w:r>
              <w:rPr>
                <w:rFonts w:ascii="仿宋_GB2312" w:eastAsia="仿宋_GB2312" w:hAnsi="黑体"/>
                <w:b/>
                <w:sz w:val="24"/>
                <w:szCs w:val="24"/>
              </w:rPr>
              <w:t>实施条款</w:t>
            </w:r>
          </w:p>
        </w:tc>
        <w:tc>
          <w:tcPr>
            <w:tcW w:w="3260" w:type="dxa"/>
          </w:tcPr>
          <w:p w:rsidR="00EB3D1A" w:rsidRPr="002C3F89" w:rsidRDefault="00EB3D1A" w:rsidP="00EB3D1A">
            <w:pPr>
              <w:jc w:val="center"/>
              <w:rPr>
                <w:rFonts w:ascii="仿宋_GB2312" w:eastAsia="仿宋_GB2312" w:hAnsi="黑体"/>
                <w:b/>
                <w:sz w:val="24"/>
                <w:szCs w:val="24"/>
              </w:rPr>
            </w:pPr>
            <w:r>
              <w:rPr>
                <w:rFonts w:ascii="仿宋_GB2312" w:eastAsia="仿宋_GB2312" w:hAnsi="黑体" w:hint="eastAsia"/>
                <w:b/>
                <w:sz w:val="24"/>
                <w:szCs w:val="24"/>
              </w:rPr>
              <w:t>暂缓</w:t>
            </w:r>
            <w:r>
              <w:rPr>
                <w:rFonts w:ascii="仿宋_GB2312" w:eastAsia="仿宋_GB2312" w:hAnsi="黑体"/>
                <w:b/>
                <w:sz w:val="24"/>
                <w:szCs w:val="24"/>
              </w:rPr>
              <w:t>实施</w:t>
            </w:r>
            <w:r>
              <w:rPr>
                <w:rFonts w:ascii="仿宋_GB2312" w:eastAsia="仿宋_GB2312" w:hAnsi="黑体" w:hint="eastAsia"/>
                <w:b/>
                <w:sz w:val="24"/>
                <w:szCs w:val="24"/>
              </w:rPr>
              <w:t>内容</w:t>
            </w:r>
          </w:p>
        </w:tc>
      </w:tr>
      <w:tr w:rsidR="00EB3D1A" w:rsidRPr="00175CB6" w:rsidTr="00840A0A">
        <w:tc>
          <w:tcPr>
            <w:tcW w:w="718" w:type="dxa"/>
          </w:tcPr>
          <w:p w:rsidR="00EB3D1A" w:rsidRDefault="00EB3D1A" w:rsidP="00EB3D1A">
            <w:pPr>
              <w:jc w:val="center"/>
              <w:rPr>
                <w:rFonts w:ascii="仿宋_GB2312" w:eastAsia="仿宋_GB2312" w:hAnsi="黑体"/>
                <w:szCs w:val="24"/>
              </w:rPr>
            </w:pPr>
            <w:r>
              <w:rPr>
                <w:rFonts w:ascii="仿宋_GB2312" w:eastAsia="仿宋_GB2312" w:hAnsi="黑体" w:hint="eastAsia"/>
                <w:szCs w:val="24"/>
              </w:rPr>
              <w:t>1</w:t>
            </w:r>
          </w:p>
        </w:tc>
        <w:tc>
          <w:tcPr>
            <w:tcW w:w="1721" w:type="dxa"/>
          </w:tcPr>
          <w:p w:rsidR="00EB3D1A" w:rsidRPr="007421E4" w:rsidRDefault="008519E4" w:rsidP="00EB3D1A">
            <w:pPr>
              <w:rPr>
                <w:rFonts w:ascii="仿宋_GB2312" w:eastAsia="仿宋_GB2312" w:hAnsi="黑体"/>
                <w:szCs w:val="24"/>
              </w:rPr>
            </w:pPr>
            <w:r>
              <w:rPr>
                <w:rFonts w:ascii="仿宋_GB2312" w:eastAsia="仿宋_GB2312" w:hAnsi="黑体" w:hint="eastAsia"/>
                <w:szCs w:val="24"/>
              </w:rPr>
              <w:t>15:30-20</w:t>
            </w:r>
            <w:r w:rsidR="00496548">
              <w:rPr>
                <w:rFonts w:ascii="仿宋_GB2312" w:eastAsia="仿宋_GB2312" w:hAnsi="黑体" w:hint="eastAsia"/>
                <w:szCs w:val="24"/>
              </w:rPr>
              <w:t>:</w:t>
            </w:r>
            <w:r>
              <w:rPr>
                <w:rFonts w:ascii="仿宋_GB2312" w:eastAsia="仿宋_GB2312" w:hAnsi="黑体" w:hint="eastAsia"/>
                <w:szCs w:val="24"/>
              </w:rPr>
              <w:t>00</w:t>
            </w:r>
            <w:r w:rsidRPr="006642D3">
              <w:rPr>
                <w:rFonts w:ascii="仿宋_GB2312" w:eastAsia="仿宋_GB2312" w:hAnsi="黑体" w:hint="eastAsia"/>
                <w:szCs w:val="24"/>
              </w:rPr>
              <w:t>交易时段</w:t>
            </w:r>
          </w:p>
        </w:tc>
        <w:tc>
          <w:tcPr>
            <w:tcW w:w="8222" w:type="dxa"/>
          </w:tcPr>
          <w:p w:rsidR="00EB3D1A" w:rsidRPr="007421E4" w:rsidRDefault="00EB3D1A" w:rsidP="00EB3D1A">
            <w:pPr>
              <w:rPr>
                <w:rFonts w:ascii="仿宋_GB2312" w:eastAsia="仿宋_GB2312" w:hAnsi="黑体"/>
                <w:szCs w:val="24"/>
              </w:rPr>
            </w:pPr>
            <w:r w:rsidRPr="007421E4">
              <w:rPr>
                <w:rFonts w:ascii="仿宋_GB2312" w:eastAsia="仿宋_GB2312" w:hAnsi="黑体" w:hint="eastAsia"/>
                <w:szCs w:val="24"/>
              </w:rPr>
              <w:t>第四十三条</w:t>
            </w:r>
            <w:r>
              <w:rPr>
                <w:rFonts w:ascii="仿宋_GB2312" w:eastAsia="仿宋_GB2312" w:hAnsi="黑体" w:hint="eastAsia"/>
                <w:szCs w:val="24"/>
              </w:rPr>
              <w:t xml:space="preserve"> </w:t>
            </w:r>
            <w:r w:rsidRPr="007421E4">
              <w:rPr>
                <w:rFonts w:ascii="仿宋_GB2312" w:eastAsia="仿宋_GB2312" w:hAnsi="黑体" w:hint="eastAsia"/>
                <w:szCs w:val="24"/>
              </w:rPr>
              <w:t>采用匹配成交方式的，每个交易日的9:15至9:25为集合匹配时间，9:30至11:30、13:00至15:30为连续匹配时间，本所另有规定的除外。</w:t>
            </w:r>
          </w:p>
          <w:p w:rsidR="00EB3D1A" w:rsidRPr="007421E4" w:rsidRDefault="00EB3D1A" w:rsidP="00EB3D1A">
            <w:pPr>
              <w:ind w:firstLineChars="200" w:firstLine="420"/>
              <w:rPr>
                <w:rFonts w:ascii="仿宋_GB2312" w:eastAsia="仿宋_GB2312" w:hAnsi="黑体"/>
                <w:szCs w:val="24"/>
              </w:rPr>
            </w:pPr>
            <w:r w:rsidRPr="007421E4">
              <w:rPr>
                <w:rFonts w:ascii="仿宋_GB2312" w:eastAsia="仿宋_GB2312" w:hAnsi="黑体" w:hint="eastAsia"/>
                <w:szCs w:val="24"/>
              </w:rPr>
              <w:t>采用点击成交、询价成交、协商成交方式的，每个交易日的9:00至11:30、13:00至20:00为交易时间，本所另有规定的除外。</w:t>
            </w:r>
          </w:p>
          <w:p w:rsidR="00EB3D1A" w:rsidRPr="007421E4" w:rsidRDefault="00EB3D1A" w:rsidP="00EB3D1A">
            <w:pPr>
              <w:ind w:firstLineChars="200" w:firstLine="420"/>
              <w:rPr>
                <w:rFonts w:ascii="仿宋_GB2312" w:eastAsia="仿宋_GB2312" w:hAnsi="黑体"/>
                <w:szCs w:val="24"/>
              </w:rPr>
            </w:pPr>
            <w:r w:rsidRPr="007421E4">
              <w:rPr>
                <w:rFonts w:ascii="仿宋_GB2312" w:eastAsia="仿宋_GB2312" w:hAnsi="黑体" w:hint="eastAsia"/>
                <w:szCs w:val="24"/>
              </w:rPr>
              <w:t>采用竞买成交方式的，每个交易日的9:00至10:00为卖方提交竞买发起申报时间，10:00至11:30为应价方提交应价申报时间。</w:t>
            </w:r>
          </w:p>
          <w:p w:rsidR="00EB3D1A" w:rsidRPr="007421E4" w:rsidRDefault="00EB3D1A" w:rsidP="00EB3D1A">
            <w:pPr>
              <w:ind w:firstLineChars="200" w:firstLine="420"/>
              <w:rPr>
                <w:rFonts w:ascii="仿宋_GB2312" w:eastAsia="仿宋_GB2312" w:hAnsi="黑体"/>
                <w:szCs w:val="24"/>
              </w:rPr>
            </w:pPr>
            <w:r w:rsidRPr="007421E4">
              <w:rPr>
                <w:rFonts w:ascii="仿宋_GB2312" w:eastAsia="仿宋_GB2312" w:hAnsi="黑体" w:hint="eastAsia"/>
                <w:szCs w:val="24"/>
              </w:rPr>
              <w:t>交易时间内因故停市</w:t>
            </w:r>
            <w:r w:rsidR="00224A17">
              <w:rPr>
                <w:rFonts w:ascii="仿宋_GB2312" w:eastAsia="仿宋_GB2312" w:hAnsi="黑体" w:hint="eastAsia"/>
                <w:szCs w:val="24"/>
              </w:rPr>
              <w:t>的</w:t>
            </w:r>
            <w:r w:rsidRPr="007421E4">
              <w:rPr>
                <w:rFonts w:ascii="仿宋_GB2312" w:eastAsia="仿宋_GB2312" w:hAnsi="黑体" w:hint="eastAsia"/>
                <w:szCs w:val="24"/>
              </w:rPr>
              <w:t>，交易时间不作顺延。</w:t>
            </w:r>
          </w:p>
          <w:p w:rsidR="00EB3D1A" w:rsidRPr="007421E4" w:rsidRDefault="00EB3D1A" w:rsidP="00EB3D1A">
            <w:pPr>
              <w:ind w:firstLineChars="200" w:firstLine="420"/>
              <w:rPr>
                <w:rFonts w:ascii="仿宋_GB2312" w:eastAsia="仿宋_GB2312" w:hAnsi="黑体"/>
                <w:szCs w:val="24"/>
              </w:rPr>
            </w:pPr>
            <w:r w:rsidRPr="007421E4">
              <w:rPr>
                <w:rFonts w:ascii="仿宋_GB2312" w:eastAsia="仿宋_GB2312" w:hAnsi="黑体" w:hint="eastAsia"/>
                <w:szCs w:val="24"/>
              </w:rPr>
              <w:t>根据市场发展需要，本所可以调整债券交易时间。</w:t>
            </w:r>
          </w:p>
        </w:tc>
        <w:tc>
          <w:tcPr>
            <w:tcW w:w="3260" w:type="dxa"/>
          </w:tcPr>
          <w:p w:rsidR="00EB3D1A" w:rsidRDefault="00EB3D1A" w:rsidP="00EB3D1A">
            <w:pPr>
              <w:ind w:firstLineChars="200" w:firstLine="420"/>
              <w:rPr>
                <w:rFonts w:ascii="仿宋_GB2312" w:eastAsia="仿宋_GB2312" w:hAnsi="黑体"/>
                <w:szCs w:val="24"/>
              </w:rPr>
            </w:pPr>
            <w:r>
              <w:rPr>
                <w:rFonts w:ascii="仿宋_GB2312" w:eastAsia="仿宋_GB2312" w:hAnsi="黑体" w:hint="eastAsia"/>
                <w:szCs w:val="24"/>
              </w:rPr>
              <w:t>本条第二</w:t>
            </w:r>
            <w:r w:rsidRPr="006642D3">
              <w:rPr>
                <w:rFonts w:ascii="仿宋_GB2312" w:eastAsia="仿宋_GB2312" w:hAnsi="黑体" w:hint="eastAsia"/>
                <w:szCs w:val="24"/>
              </w:rPr>
              <w:t>款“</w:t>
            </w:r>
            <w:r w:rsidRPr="007421E4">
              <w:rPr>
                <w:rFonts w:ascii="仿宋_GB2312" w:eastAsia="仿宋_GB2312" w:hAnsi="黑体" w:hint="eastAsia"/>
                <w:szCs w:val="24"/>
              </w:rPr>
              <w:t>采用点击成交、询价成交、协商成交方式的，每个交易日的9:00至11:30、13:00至20:00</w:t>
            </w:r>
            <w:r>
              <w:rPr>
                <w:rFonts w:ascii="仿宋_GB2312" w:eastAsia="仿宋_GB2312" w:hAnsi="黑体" w:hint="eastAsia"/>
                <w:szCs w:val="24"/>
              </w:rPr>
              <w:t>为交易时间</w:t>
            </w:r>
            <w:r w:rsidRPr="006642D3">
              <w:rPr>
                <w:rFonts w:ascii="仿宋_GB2312" w:eastAsia="仿宋_GB2312" w:hAnsi="黑体" w:hint="eastAsia"/>
                <w:szCs w:val="24"/>
              </w:rPr>
              <w:t>”中</w:t>
            </w:r>
            <w:r>
              <w:rPr>
                <w:rFonts w:ascii="仿宋_GB2312" w:eastAsia="仿宋_GB2312" w:hAnsi="黑体" w:hint="eastAsia"/>
                <w:szCs w:val="24"/>
              </w:rPr>
              <w:t>15:30-20</w:t>
            </w:r>
            <w:r w:rsidR="00496548">
              <w:rPr>
                <w:rFonts w:ascii="仿宋_GB2312" w:eastAsia="仿宋_GB2312" w:hAnsi="黑体" w:hint="eastAsia"/>
                <w:szCs w:val="24"/>
              </w:rPr>
              <w:t>:</w:t>
            </w:r>
            <w:r>
              <w:rPr>
                <w:rFonts w:ascii="仿宋_GB2312" w:eastAsia="仿宋_GB2312" w:hAnsi="黑体" w:hint="eastAsia"/>
                <w:szCs w:val="24"/>
              </w:rPr>
              <w:t>00</w:t>
            </w:r>
            <w:r w:rsidRPr="006642D3">
              <w:rPr>
                <w:rFonts w:ascii="仿宋_GB2312" w:eastAsia="仿宋_GB2312" w:hAnsi="黑体" w:hint="eastAsia"/>
                <w:szCs w:val="24"/>
              </w:rPr>
              <w:t>交易时段的实施时间另行通知。</w:t>
            </w:r>
          </w:p>
          <w:p w:rsidR="00EB3D1A" w:rsidRPr="007421E4" w:rsidRDefault="00EB3D1A" w:rsidP="00F9687E">
            <w:pPr>
              <w:ind w:firstLineChars="200" w:firstLine="420"/>
              <w:rPr>
                <w:rFonts w:ascii="仿宋_GB2312" w:eastAsia="仿宋_GB2312" w:hAnsi="黑体"/>
                <w:szCs w:val="24"/>
              </w:rPr>
            </w:pPr>
            <w:r w:rsidRPr="00F850FD">
              <w:rPr>
                <w:rFonts w:ascii="仿宋_GB2312" w:eastAsia="仿宋_GB2312" w:hAnsi="黑体" w:hint="eastAsia"/>
                <w:szCs w:val="24"/>
              </w:rPr>
              <w:t>采用点击成交、询价成交、协商成交方式的，每个交易日的9:00至11:30、13:00至</w:t>
            </w:r>
            <w:r>
              <w:rPr>
                <w:rFonts w:ascii="仿宋_GB2312" w:eastAsia="仿宋_GB2312" w:hAnsi="黑体" w:hint="eastAsia"/>
                <w:szCs w:val="24"/>
              </w:rPr>
              <w:t>15</w:t>
            </w:r>
            <w:r w:rsidRPr="00F850FD">
              <w:rPr>
                <w:rFonts w:ascii="仿宋_GB2312" w:eastAsia="仿宋_GB2312" w:hAnsi="黑体" w:hint="eastAsia"/>
                <w:szCs w:val="24"/>
              </w:rPr>
              <w:t>:30</w:t>
            </w:r>
            <w:r>
              <w:rPr>
                <w:rFonts w:ascii="仿宋_GB2312" w:eastAsia="仿宋_GB2312" w:hAnsi="黑体" w:hint="eastAsia"/>
                <w:szCs w:val="24"/>
              </w:rPr>
              <w:t>为交易时间。</w:t>
            </w:r>
          </w:p>
        </w:tc>
      </w:tr>
      <w:tr w:rsidR="00EB3D1A" w:rsidRPr="00175CB6" w:rsidTr="00840A0A">
        <w:tc>
          <w:tcPr>
            <w:tcW w:w="718" w:type="dxa"/>
          </w:tcPr>
          <w:p w:rsidR="00EB3D1A" w:rsidRDefault="00EB3D1A" w:rsidP="00EB3D1A">
            <w:pPr>
              <w:jc w:val="center"/>
              <w:rPr>
                <w:rFonts w:ascii="仿宋_GB2312" w:eastAsia="仿宋_GB2312" w:hAnsi="黑体"/>
                <w:szCs w:val="24"/>
              </w:rPr>
            </w:pPr>
            <w:r>
              <w:rPr>
                <w:rFonts w:ascii="仿宋_GB2312" w:eastAsia="仿宋_GB2312" w:hAnsi="黑体" w:hint="eastAsia"/>
                <w:szCs w:val="24"/>
              </w:rPr>
              <w:t>2</w:t>
            </w:r>
          </w:p>
        </w:tc>
        <w:tc>
          <w:tcPr>
            <w:tcW w:w="1721" w:type="dxa"/>
          </w:tcPr>
          <w:p w:rsidR="00EB3D1A" w:rsidRPr="00F35CFD" w:rsidRDefault="002E161C" w:rsidP="00A456B5">
            <w:pPr>
              <w:rPr>
                <w:rFonts w:ascii="仿宋_GB2312" w:eastAsia="仿宋_GB2312" w:hAnsi="黑体"/>
                <w:szCs w:val="24"/>
              </w:rPr>
            </w:pPr>
            <w:r>
              <w:rPr>
                <w:rFonts w:ascii="仿宋_GB2312" w:eastAsia="仿宋_GB2312" w:hAnsi="黑体" w:hint="eastAsia"/>
                <w:szCs w:val="24"/>
              </w:rPr>
              <w:t>现券</w:t>
            </w:r>
            <w:r w:rsidR="00A456B5">
              <w:rPr>
                <w:rFonts w:ascii="仿宋_GB2312" w:eastAsia="仿宋_GB2312" w:hAnsi="黑体" w:hint="eastAsia"/>
                <w:szCs w:val="24"/>
              </w:rPr>
              <w:t>协商成交</w:t>
            </w:r>
            <w:r w:rsidR="00A456B5">
              <w:rPr>
                <w:rFonts w:ascii="仿宋_GB2312" w:eastAsia="仿宋_GB2312" w:hAnsi="黑体"/>
                <w:szCs w:val="24"/>
              </w:rPr>
              <w:t>申报数量</w:t>
            </w:r>
          </w:p>
        </w:tc>
        <w:tc>
          <w:tcPr>
            <w:tcW w:w="8222" w:type="dxa"/>
          </w:tcPr>
          <w:p w:rsidR="00EB3D1A" w:rsidRPr="002D6C65" w:rsidRDefault="00EB3D1A" w:rsidP="00EB3D1A">
            <w:pPr>
              <w:pStyle w:val="a4"/>
              <w:widowControl w:val="0"/>
              <w:shd w:val="clear" w:color="auto" w:fill="FFFFFF"/>
              <w:adjustRightInd w:val="0"/>
              <w:snapToGrid w:val="0"/>
              <w:spacing w:before="0" w:beforeAutospacing="0" w:after="0" w:afterAutospacing="0"/>
              <w:jc w:val="both"/>
              <w:rPr>
                <w:rFonts w:ascii="仿宋_GB2312" w:eastAsia="仿宋_GB2312" w:hAnsi="黑体" w:cstheme="minorBidi"/>
                <w:kern w:val="2"/>
                <w:sz w:val="21"/>
              </w:rPr>
            </w:pPr>
            <w:r w:rsidRPr="002D6C65">
              <w:rPr>
                <w:rFonts w:ascii="仿宋_GB2312" w:eastAsia="仿宋_GB2312" w:hAnsi="黑体" w:cstheme="minorBidi" w:hint="eastAsia"/>
                <w:kern w:val="2"/>
                <w:sz w:val="21"/>
              </w:rPr>
              <w:t>第五十三条</w:t>
            </w:r>
            <w:r w:rsidRPr="002D6C65">
              <w:rPr>
                <w:rFonts w:ascii="仿宋_GB2312" w:eastAsia="仿宋_GB2312" w:hAnsi="黑体" w:cstheme="minorBidi"/>
                <w:kern w:val="2"/>
                <w:sz w:val="21"/>
              </w:rPr>
              <w:t xml:space="preserve"> </w:t>
            </w:r>
            <w:r w:rsidRPr="002D6C65">
              <w:rPr>
                <w:rFonts w:ascii="仿宋_GB2312" w:eastAsia="仿宋_GB2312" w:hAnsi="黑体" w:cstheme="minorBidi" w:hint="eastAsia"/>
                <w:kern w:val="2"/>
                <w:sz w:val="21"/>
              </w:rPr>
              <w:t>除本所另有规定外，债券交易申报数量应当符合以下要求：</w:t>
            </w:r>
          </w:p>
          <w:p w:rsidR="00EB3D1A" w:rsidRPr="002D6C65" w:rsidRDefault="00EB3D1A" w:rsidP="00EB3D1A">
            <w:pPr>
              <w:pStyle w:val="a6"/>
              <w:numPr>
                <w:ilvl w:val="1"/>
                <w:numId w:val="1"/>
              </w:numPr>
              <w:spacing w:line="240" w:lineRule="auto"/>
              <w:ind w:firstLine="420"/>
              <w:rPr>
                <w:rFonts w:hAnsi="黑体" w:cstheme="minorBidi"/>
                <w:sz w:val="21"/>
                <w:szCs w:val="24"/>
              </w:rPr>
            </w:pPr>
            <w:r w:rsidRPr="002D6C65">
              <w:rPr>
                <w:rFonts w:hAnsi="黑体" w:cstheme="minorBidi" w:hint="eastAsia"/>
                <w:sz w:val="21"/>
                <w:szCs w:val="24"/>
              </w:rPr>
              <w:t>采用匹配成交方式的，债券现券的申报数量应当为</w:t>
            </w:r>
            <w:r w:rsidRPr="002D6C65">
              <w:rPr>
                <w:rFonts w:hAnsi="黑体" w:cstheme="minorBidi"/>
                <w:sz w:val="21"/>
                <w:szCs w:val="24"/>
              </w:rPr>
              <w:t>10</w:t>
            </w:r>
            <w:r w:rsidRPr="002D6C65">
              <w:rPr>
                <w:rFonts w:hAnsi="黑体" w:cstheme="minorBidi" w:hint="eastAsia"/>
                <w:sz w:val="21"/>
                <w:szCs w:val="24"/>
              </w:rPr>
              <w:t>万元面额或者其整数倍，卖出时不足10万元面额的部分，应当一次性申报；债券通用质押式回购的申报数量应当为1000元面额或者其整数倍；</w:t>
            </w:r>
          </w:p>
          <w:p w:rsidR="00EB3D1A" w:rsidRPr="002D6C65" w:rsidRDefault="00EB3D1A" w:rsidP="00EB3D1A">
            <w:pPr>
              <w:pStyle w:val="a6"/>
              <w:numPr>
                <w:ilvl w:val="1"/>
                <w:numId w:val="1"/>
              </w:numPr>
              <w:spacing w:line="240" w:lineRule="auto"/>
              <w:ind w:firstLine="420"/>
              <w:rPr>
                <w:rFonts w:hAnsi="黑体" w:cstheme="minorBidi"/>
                <w:sz w:val="21"/>
                <w:szCs w:val="24"/>
              </w:rPr>
            </w:pPr>
            <w:r w:rsidRPr="002D6C65">
              <w:rPr>
                <w:rFonts w:hAnsi="黑体" w:cstheme="minorBidi" w:hint="eastAsia"/>
                <w:sz w:val="21"/>
                <w:szCs w:val="24"/>
              </w:rPr>
              <w:t>采用点击成交方式的，申报数量应当为10万元面额或者其整数倍；</w:t>
            </w:r>
          </w:p>
          <w:p w:rsidR="00EB3D1A" w:rsidRPr="002D6C65" w:rsidRDefault="00EB3D1A" w:rsidP="00EB3D1A">
            <w:pPr>
              <w:pStyle w:val="a6"/>
              <w:numPr>
                <w:ilvl w:val="1"/>
                <w:numId w:val="1"/>
              </w:numPr>
              <w:spacing w:line="240" w:lineRule="auto"/>
              <w:ind w:firstLine="420"/>
              <w:rPr>
                <w:rFonts w:hAnsi="黑体" w:cstheme="minorBidi"/>
                <w:sz w:val="21"/>
                <w:szCs w:val="24"/>
              </w:rPr>
            </w:pPr>
            <w:r w:rsidRPr="002D6C65">
              <w:rPr>
                <w:rFonts w:hAnsi="黑体" w:cstheme="minorBidi" w:hint="eastAsia"/>
                <w:sz w:val="21"/>
                <w:szCs w:val="24"/>
              </w:rPr>
              <w:lastRenderedPageBreak/>
              <w:t>采用询价成交、竞买成交方式的，申报数量应当不低于10万元面额，且为1000元面额的整数倍；</w:t>
            </w:r>
          </w:p>
          <w:p w:rsidR="00EB3D1A" w:rsidRPr="002D6C65" w:rsidRDefault="00EB3D1A" w:rsidP="00EB3D1A">
            <w:pPr>
              <w:pStyle w:val="a6"/>
              <w:numPr>
                <w:ilvl w:val="1"/>
                <w:numId w:val="1"/>
              </w:numPr>
              <w:spacing w:line="240" w:lineRule="auto"/>
              <w:ind w:firstLine="420"/>
              <w:rPr>
                <w:rFonts w:hAnsi="黑体" w:cstheme="minorBidi"/>
                <w:sz w:val="21"/>
                <w:szCs w:val="24"/>
              </w:rPr>
            </w:pPr>
            <w:r w:rsidRPr="002D6C65">
              <w:rPr>
                <w:rFonts w:hAnsi="黑体" w:cstheme="minorBidi" w:hint="eastAsia"/>
                <w:sz w:val="21"/>
                <w:szCs w:val="24"/>
              </w:rPr>
              <w:t>采用协商成交方式的，债券现券申报数量应当不低于1000元面额，且为100元面额整数倍。债券通用质押式回购的申报数量应当为1000元面额或者其整数倍；</w:t>
            </w:r>
          </w:p>
          <w:p w:rsidR="00EB3D1A" w:rsidRPr="002D6C65" w:rsidRDefault="00EB3D1A" w:rsidP="00EB3D1A">
            <w:pPr>
              <w:pStyle w:val="a6"/>
              <w:numPr>
                <w:ilvl w:val="1"/>
                <w:numId w:val="1"/>
              </w:numPr>
              <w:spacing w:line="240" w:lineRule="auto"/>
              <w:ind w:firstLine="420"/>
              <w:rPr>
                <w:rFonts w:hAnsi="黑体"/>
                <w:sz w:val="21"/>
                <w:szCs w:val="24"/>
              </w:rPr>
            </w:pPr>
            <w:r w:rsidRPr="002D6C65">
              <w:rPr>
                <w:rFonts w:hAnsi="黑体" w:cstheme="minorBidi" w:hint="eastAsia"/>
                <w:sz w:val="21"/>
                <w:szCs w:val="24"/>
              </w:rPr>
              <w:t>债券交易的单笔最大申报数量不得超过</w:t>
            </w:r>
            <w:r w:rsidRPr="002D6C65">
              <w:rPr>
                <w:rFonts w:hAnsi="黑体" w:cstheme="minorBidi"/>
                <w:sz w:val="21"/>
                <w:szCs w:val="24"/>
              </w:rPr>
              <w:t>100</w:t>
            </w:r>
            <w:r w:rsidRPr="002D6C65">
              <w:rPr>
                <w:rFonts w:hAnsi="黑体" w:cstheme="minorBidi" w:hint="eastAsia"/>
                <w:sz w:val="21"/>
                <w:szCs w:val="24"/>
              </w:rPr>
              <w:t>亿元面额。</w:t>
            </w:r>
          </w:p>
          <w:p w:rsidR="00EB3D1A" w:rsidRPr="00F35CFD" w:rsidRDefault="00EB3D1A" w:rsidP="00EB3D1A">
            <w:pPr>
              <w:ind w:firstLineChars="150" w:firstLine="315"/>
              <w:rPr>
                <w:rFonts w:ascii="仿宋_GB2312" w:eastAsia="仿宋_GB2312" w:hAnsi="黑体"/>
                <w:szCs w:val="24"/>
              </w:rPr>
            </w:pPr>
            <w:r w:rsidRPr="002D6C65">
              <w:rPr>
                <w:rFonts w:ascii="仿宋_GB2312" w:eastAsia="仿宋_GB2312" w:hAnsi="黑体" w:hint="eastAsia"/>
                <w:szCs w:val="24"/>
              </w:rPr>
              <w:t>本所可以根据市场发展需要，调整债券交易申报数量要求。</w:t>
            </w:r>
          </w:p>
        </w:tc>
        <w:tc>
          <w:tcPr>
            <w:tcW w:w="3260" w:type="dxa"/>
          </w:tcPr>
          <w:p w:rsidR="00EB3D1A" w:rsidRDefault="00EB3D1A" w:rsidP="00EB3D1A">
            <w:pPr>
              <w:ind w:firstLineChars="200" w:firstLine="420"/>
              <w:rPr>
                <w:rFonts w:ascii="仿宋_GB2312" w:eastAsia="仿宋_GB2312" w:hAnsi="黑体"/>
                <w:szCs w:val="24"/>
              </w:rPr>
            </w:pPr>
            <w:r>
              <w:rPr>
                <w:rFonts w:ascii="仿宋_GB2312" w:eastAsia="仿宋_GB2312" w:hAnsi="黑体" w:hint="eastAsia"/>
                <w:szCs w:val="24"/>
              </w:rPr>
              <w:lastRenderedPageBreak/>
              <w:t>本条第四</w:t>
            </w:r>
            <w:r w:rsidRPr="006642D3">
              <w:rPr>
                <w:rFonts w:ascii="仿宋_GB2312" w:eastAsia="仿宋_GB2312" w:hAnsi="黑体" w:hint="eastAsia"/>
                <w:szCs w:val="24"/>
              </w:rPr>
              <w:t>款</w:t>
            </w:r>
            <w:r>
              <w:rPr>
                <w:rFonts w:ascii="仿宋_GB2312" w:eastAsia="仿宋_GB2312" w:hAnsi="黑体" w:hint="eastAsia"/>
                <w:szCs w:val="24"/>
              </w:rPr>
              <w:t>中</w:t>
            </w:r>
            <w:r w:rsidRPr="006642D3">
              <w:rPr>
                <w:rFonts w:ascii="仿宋_GB2312" w:eastAsia="仿宋_GB2312" w:hAnsi="黑体" w:hint="eastAsia"/>
                <w:szCs w:val="24"/>
              </w:rPr>
              <w:t>“</w:t>
            </w:r>
            <w:r w:rsidRPr="002D6C65">
              <w:rPr>
                <w:rFonts w:ascii="仿宋_GB2312" w:eastAsia="仿宋_GB2312" w:hAnsi="黑体" w:hint="eastAsia"/>
                <w:szCs w:val="24"/>
              </w:rPr>
              <w:t>采用协商成交方式的，债券现券申报数量应当不低于</w:t>
            </w:r>
            <w:r w:rsidRPr="002D6C65">
              <w:rPr>
                <w:rFonts w:ascii="仿宋_GB2312" w:eastAsia="仿宋_GB2312" w:hAnsi="黑体"/>
                <w:szCs w:val="24"/>
              </w:rPr>
              <w:t>1000</w:t>
            </w:r>
            <w:r w:rsidRPr="002D6C65">
              <w:rPr>
                <w:rFonts w:ascii="仿宋_GB2312" w:eastAsia="仿宋_GB2312" w:hAnsi="黑体" w:hint="eastAsia"/>
                <w:szCs w:val="24"/>
              </w:rPr>
              <w:t>元面额，且为</w:t>
            </w:r>
            <w:r w:rsidRPr="002D6C65">
              <w:rPr>
                <w:rFonts w:ascii="仿宋_GB2312" w:eastAsia="仿宋_GB2312" w:hAnsi="黑体"/>
                <w:szCs w:val="24"/>
              </w:rPr>
              <w:t>100</w:t>
            </w:r>
            <w:r w:rsidRPr="002D6C65">
              <w:rPr>
                <w:rFonts w:ascii="仿宋_GB2312" w:eastAsia="仿宋_GB2312" w:hAnsi="黑体" w:hint="eastAsia"/>
                <w:szCs w:val="24"/>
              </w:rPr>
              <w:t>元面额整数倍</w:t>
            </w:r>
            <w:r w:rsidRPr="006642D3">
              <w:rPr>
                <w:rFonts w:ascii="仿宋_GB2312" w:eastAsia="仿宋_GB2312" w:hAnsi="黑体" w:hint="eastAsia"/>
                <w:szCs w:val="24"/>
              </w:rPr>
              <w:t>”的实施时间另行通知。</w:t>
            </w:r>
          </w:p>
          <w:p w:rsidR="00EB3D1A" w:rsidRDefault="00EB3D1A" w:rsidP="00EB3D1A">
            <w:pPr>
              <w:ind w:firstLineChars="200" w:firstLine="420"/>
              <w:rPr>
                <w:rFonts w:ascii="仿宋_GB2312" w:eastAsia="仿宋_GB2312" w:hAnsi="黑体"/>
                <w:szCs w:val="24"/>
              </w:rPr>
            </w:pPr>
            <w:r w:rsidRPr="00596B72">
              <w:rPr>
                <w:rFonts w:ascii="仿宋_GB2312" w:eastAsia="仿宋_GB2312" w:hAnsi="黑体" w:hint="eastAsia"/>
                <w:szCs w:val="24"/>
              </w:rPr>
              <w:lastRenderedPageBreak/>
              <w:t>采用协商成</w:t>
            </w:r>
            <w:r w:rsidRPr="000C6D59">
              <w:rPr>
                <w:rFonts w:ascii="仿宋_GB2312" w:eastAsia="仿宋_GB2312" w:hAnsi="黑体" w:hint="eastAsia"/>
                <w:szCs w:val="24"/>
              </w:rPr>
              <w:t>交方式的，债券现券</w:t>
            </w:r>
            <w:r w:rsidRPr="002D6C65">
              <w:rPr>
                <w:rFonts w:ascii="仿宋_GB2312" w:eastAsia="仿宋_GB2312" w:hAnsi="黑体" w:hint="eastAsia"/>
                <w:szCs w:val="24"/>
              </w:rPr>
              <w:t>申报数量应当为</w:t>
            </w:r>
            <w:r w:rsidRPr="002D6C65">
              <w:rPr>
                <w:rFonts w:ascii="仿宋_GB2312" w:eastAsia="仿宋_GB2312" w:hAnsi="黑体"/>
                <w:szCs w:val="24"/>
              </w:rPr>
              <w:t>1000</w:t>
            </w:r>
            <w:r w:rsidRPr="002D6C65">
              <w:rPr>
                <w:rFonts w:ascii="仿宋_GB2312" w:eastAsia="仿宋_GB2312" w:hAnsi="黑体" w:hint="eastAsia"/>
                <w:szCs w:val="24"/>
              </w:rPr>
              <w:t>元面额或者其整数倍</w:t>
            </w:r>
            <w:r>
              <w:rPr>
                <w:rFonts w:ascii="仿宋_GB2312" w:eastAsia="仿宋_GB2312" w:hAnsi="黑体" w:hint="eastAsia"/>
                <w:szCs w:val="24"/>
              </w:rPr>
              <w:t>。</w:t>
            </w:r>
          </w:p>
        </w:tc>
      </w:tr>
      <w:tr w:rsidR="00EB3D1A" w:rsidRPr="00175CB6" w:rsidTr="00840A0A">
        <w:tc>
          <w:tcPr>
            <w:tcW w:w="718" w:type="dxa"/>
          </w:tcPr>
          <w:p w:rsidR="00EB3D1A" w:rsidRDefault="00EB3D1A" w:rsidP="00EB3D1A">
            <w:pPr>
              <w:jc w:val="center"/>
              <w:rPr>
                <w:rFonts w:ascii="仿宋_GB2312" w:eastAsia="仿宋_GB2312" w:hAnsi="黑体"/>
                <w:szCs w:val="24"/>
              </w:rPr>
            </w:pPr>
            <w:r>
              <w:rPr>
                <w:rFonts w:ascii="仿宋_GB2312" w:eastAsia="仿宋_GB2312" w:hAnsi="黑体"/>
                <w:szCs w:val="24"/>
              </w:rPr>
              <w:lastRenderedPageBreak/>
              <w:t>3</w:t>
            </w:r>
          </w:p>
        </w:tc>
        <w:tc>
          <w:tcPr>
            <w:tcW w:w="1721" w:type="dxa"/>
          </w:tcPr>
          <w:p w:rsidR="00EB3D1A" w:rsidRPr="006642D3" w:rsidRDefault="00A456B5" w:rsidP="00A456B5">
            <w:pPr>
              <w:rPr>
                <w:rFonts w:ascii="仿宋_GB2312" w:eastAsia="仿宋_GB2312" w:hAnsi="黑体"/>
                <w:szCs w:val="24"/>
              </w:rPr>
            </w:pPr>
            <w:r>
              <w:rPr>
                <w:rFonts w:ascii="仿宋_GB2312" w:eastAsia="仿宋_GB2312" w:hAnsi="黑体" w:hint="eastAsia"/>
                <w:szCs w:val="24"/>
              </w:rPr>
              <w:t>匹配成交以外</w:t>
            </w:r>
            <w:r>
              <w:rPr>
                <w:rFonts w:ascii="仿宋_GB2312" w:eastAsia="仿宋_GB2312" w:hAnsi="黑体"/>
                <w:szCs w:val="24"/>
              </w:rPr>
              <w:t>交易方式</w:t>
            </w:r>
            <w:r>
              <w:rPr>
                <w:rFonts w:ascii="仿宋_GB2312" w:eastAsia="仿宋_GB2312" w:hAnsi="黑体" w:hint="eastAsia"/>
                <w:szCs w:val="24"/>
              </w:rPr>
              <w:t>的</w:t>
            </w:r>
            <w:r>
              <w:rPr>
                <w:rFonts w:ascii="仿宋_GB2312" w:eastAsia="仿宋_GB2312" w:hAnsi="黑体"/>
                <w:szCs w:val="24"/>
              </w:rPr>
              <w:t>申报价格最小变动单位</w:t>
            </w:r>
          </w:p>
        </w:tc>
        <w:tc>
          <w:tcPr>
            <w:tcW w:w="8222" w:type="dxa"/>
          </w:tcPr>
          <w:p w:rsidR="00EB3D1A" w:rsidRPr="00F35CFD" w:rsidRDefault="00EB3D1A" w:rsidP="00EB3D1A">
            <w:pPr>
              <w:rPr>
                <w:rFonts w:ascii="仿宋_GB2312" w:eastAsia="仿宋_GB2312" w:hAnsi="黑体"/>
                <w:szCs w:val="24"/>
              </w:rPr>
            </w:pPr>
            <w:r w:rsidRPr="00F35CFD">
              <w:rPr>
                <w:rFonts w:ascii="仿宋_GB2312" w:eastAsia="仿宋_GB2312" w:hAnsi="黑体" w:hint="eastAsia"/>
                <w:szCs w:val="24"/>
              </w:rPr>
              <w:t>第五十五条</w:t>
            </w:r>
            <w:r>
              <w:rPr>
                <w:rFonts w:ascii="仿宋_GB2312" w:eastAsia="仿宋_GB2312" w:hAnsi="黑体" w:hint="eastAsia"/>
                <w:szCs w:val="24"/>
              </w:rPr>
              <w:t xml:space="preserve"> </w:t>
            </w:r>
            <w:r w:rsidRPr="00F35CFD">
              <w:rPr>
                <w:rFonts w:ascii="仿宋_GB2312" w:eastAsia="仿宋_GB2312" w:hAnsi="黑体" w:hint="eastAsia"/>
                <w:szCs w:val="24"/>
              </w:rPr>
              <w:t>采用匹配成交方式的，债券现券的申报价格最小变动单位为0.001元，债券通用质押式回购的申报价格最小变动单位为0.005元；采用其他交易方式的，债券交易的申报价格最小变动单位为0.0001元。本所另有规定的除外。</w:t>
            </w:r>
          </w:p>
          <w:p w:rsidR="00EB3D1A" w:rsidRPr="00F35CFD" w:rsidRDefault="00EB3D1A" w:rsidP="00EB3D1A">
            <w:pPr>
              <w:ind w:firstLineChars="200" w:firstLine="420"/>
              <w:rPr>
                <w:rFonts w:ascii="仿宋_GB2312" w:eastAsia="仿宋_GB2312" w:hAnsi="黑体"/>
                <w:szCs w:val="24"/>
              </w:rPr>
            </w:pPr>
            <w:r w:rsidRPr="00F35CFD">
              <w:rPr>
                <w:rFonts w:ascii="仿宋_GB2312" w:eastAsia="仿宋_GB2312" w:hAnsi="黑体" w:hint="eastAsia"/>
                <w:szCs w:val="24"/>
              </w:rPr>
              <w:t>有效申报价格范围或者按照成交原则达成的价格不在价格最小变动单位范围内的，按照四舍五入原则取至相应的价格最小变动单位。</w:t>
            </w:r>
          </w:p>
          <w:p w:rsidR="00EB3D1A" w:rsidRPr="00F35CFD" w:rsidRDefault="00EB3D1A" w:rsidP="00EB3D1A">
            <w:pPr>
              <w:ind w:firstLineChars="200" w:firstLine="420"/>
              <w:rPr>
                <w:rFonts w:ascii="仿宋_GB2312" w:eastAsia="仿宋_GB2312" w:hAnsi="黑体"/>
                <w:szCs w:val="24"/>
              </w:rPr>
            </w:pPr>
            <w:r w:rsidRPr="00F35CFD">
              <w:rPr>
                <w:rFonts w:ascii="仿宋_GB2312" w:eastAsia="仿宋_GB2312" w:hAnsi="黑体" w:hint="eastAsia"/>
                <w:szCs w:val="24"/>
              </w:rPr>
              <w:t>本所可以根据市场发展需要，调整申报价格最小变动单位。</w:t>
            </w:r>
          </w:p>
          <w:p w:rsidR="00EB3D1A" w:rsidRPr="006642D3" w:rsidRDefault="00EB3D1A" w:rsidP="00EB3D1A">
            <w:pPr>
              <w:ind w:firstLineChars="200" w:firstLine="420"/>
              <w:rPr>
                <w:rFonts w:ascii="仿宋_GB2312" w:eastAsia="仿宋_GB2312" w:hAnsi="黑体"/>
                <w:szCs w:val="24"/>
              </w:rPr>
            </w:pPr>
          </w:p>
        </w:tc>
        <w:tc>
          <w:tcPr>
            <w:tcW w:w="3260" w:type="dxa"/>
          </w:tcPr>
          <w:p w:rsidR="00EB3D1A" w:rsidRDefault="00EB3D1A" w:rsidP="00EB3D1A">
            <w:pPr>
              <w:ind w:firstLineChars="200" w:firstLine="420"/>
              <w:rPr>
                <w:rFonts w:ascii="仿宋_GB2312" w:eastAsia="仿宋_GB2312" w:hAnsi="黑体"/>
                <w:szCs w:val="24"/>
              </w:rPr>
            </w:pPr>
            <w:r>
              <w:rPr>
                <w:rFonts w:ascii="仿宋_GB2312" w:eastAsia="仿宋_GB2312" w:hAnsi="黑体" w:hint="eastAsia"/>
                <w:szCs w:val="24"/>
              </w:rPr>
              <w:t>本条中“</w:t>
            </w:r>
            <w:r w:rsidRPr="005C1AA1">
              <w:rPr>
                <w:rFonts w:ascii="仿宋_GB2312" w:eastAsia="仿宋_GB2312" w:hAnsi="黑体" w:hint="eastAsia"/>
                <w:szCs w:val="24"/>
              </w:rPr>
              <w:t>采用其他交易方式的，债券交易的申报价格最小变动单位为0.0001</w:t>
            </w:r>
            <w:r>
              <w:rPr>
                <w:rFonts w:ascii="仿宋_GB2312" w:eastAsia="仿宋_GB2312" w:hAnsi="黑体" w:hint="eastAsia"/>
                <w:szCs w:val="24"/>
              </w:rPr>
              <w:t>元”实施时间另行通知。</w:t>
            </w:r>
          </w:p>
          <w:p w:rsidR="00EB3D1A" w:rsidRPr="005C1AA1" w:rsidRDefault="00EB3D1A" w:rsidP="00EB3D1A">
            <w:pPr>
              <w:ind w:firstLineChars="200" w:firstLine="420"/>
              <w:rPr>
                <w:rFonts w:ascii="仿宋_GB2312" w:eastAsia="仿宋_GB2312" w:hAnsi="黑体"/>
                <w:szCs w:val="24"/>
              </w:rPr>
            </w:pPr>
            <w:r w:rsidRPr="005C1AA1">
              <w:rPr>
                <w:rFonts w:ascii="仿宋_GB2312" w:eastAsia="仿宋_GB2312" w:hAnsi="黑体" w:hint="eastAsia"/>
                <w:szCs w:val="24"/>
              </w:rPr>
              <w:t>采用其他交易方式的，债券交易的申报价格最小变动单位为</w:t>
            </w:r>
            <w:r>
              <w:rPr>
                <w:rFonts w:ascii="仿宋_GB2312" w:eastAsia="仿宋_GB2312" w:hAnsi="黑体" w:hint="eastAsia"/>
                <w:szCs w:val="24"/>
              </w:rPr>
              <w:t>0.00</w:t>
            </w:r>
            <w:r w:rsidRPr="005C1AA1">
              <w:rPr>
                <w:rFonts w:ascii="仿宋_GB2312" w:eastAsia="仿宋_GB2312" w:hAnsi="黑体" w:hint="eastAsia"/>
                <w:szCs w:val="24"/>
              </w:rPr>
              <w:t>1</w:t>
            </w:r>
            <w:r>
              <w:rPr>
                <w:rFonts w:ascii="仿宋_GB2312" w:eastAsia="仿宋_GB2312" w:hAnsi="黑体" w:hint="eastAsia"/>
                <w:szCs w:val="24"/>
              </w:rPr>
              <w:t>元。</w:t>
            </w:r>
          </w:p>
        </w:tc>
      </w:tr>
      <w:tr w:rsidR="00B2785A" w:rsidRPr="00175CB6" w:rsidTr="00840A0A">
        <w:tc>
          <w:tcPr>
            <w:tcW w:w="718" w:type="dxa"/>
            <w:vMerge w:val="restart"/>
          </w:tcPr>
          <w:p w:rsidR="00B2785A" w:rsidRDefault="00B2785A" w:rsidP="00EB3D1A">
            <w:pPr>
              <w:jc w:val="center"/>
              <w:rPr>
                <w:rFonts w:ascii="仿宋_GB2312" w:eastAsia="仿宋_GB2312" w:hAnsi="黑体"/>
                <w:szCs w:val="24"/>
              </w:rPr>
            </w:pPr>
            <w:r>
              <w:rPr>
                <w:rFonts w:ascii="仿宋_GB2312" w:eastAsia="仿宋_GB2312" w:hAnsi="黑体"/>
                <w:szCs w:val="24"/>
              </w:rPr>
              <w:t>4</w:t>
            </w:r>
          </w:p>
        </w:tc>
        <w:tc>
          <w:tcPr>
            <w:tcW w:w="1721" w:type="dxa"/>
            <w:vMerge w:val="restart"/>
          </w:tcPr>
          <w:p w:rsidR="00B2785A" w:rsidRPr="00F35CFD" w:rsidRDefault="00B2785A" w:rsidP="00A456B5">
            <w:pPr>
              <w:rPr>
                <w:rFonts w:ascii="仿宋_GB2312" w:eastAsia="仿宋_GB2312" w:hAnsi="黑体"/>
                <w:szCs w:val="24"/>
              </w:rPr>
            </w:pPr>
            <w:r>
              <w:rPr>
                <w:rFonts w:ascii="仿宋_GB2312" w:eastAsia="仿宋_GB2312" w:hAnsi="黑体" w:hint="eastAsia"/>
                <w:szCs w:val="24"/>
              </w:rPr>
              <w:t>结算周期</w:t>
            </w:r>
            <w:r>
              <w:rPr>
                <w:rFonts w:ascii="仿宋_GB2312" w:eastAsia="仿宋_GB2312" w:hAnsi="黑体"/>
                <w:szCs w:val="24"/>
              </w:rPr>
              <w:t>选择</w:t>
            </w:r>
          </w:p>
        </w:tc>
        <w:tc>
          <w:tcPr>
            <w:tcW w:w="8222" w:type="dxa"/>
          </w:tcPr>
          <w:p w:rsidR="00B2785A" w:rsidRPr="006B55E3" w:rsidRDefault="00B2785A" w:rsidP="00EB3D1A">
            <w:pPr>
              <w:rPr>
                <w:rFonts w:ascii="仿宋_GB2312" w:eastAsia="仿宋_GB2312" w:hAnsi="黑体"/>
                <w:szCs w:val="24"/>
              </w:rPr>
            </w:pPr>
            <w:r w:rsidRPr="006B55E3">
              <w:rPr>
                <w:rFonts w:ascii="仿宋_GB2312" w:eastAsia="仿宋_GB2312" w:hAnsi="黑体" w:hint="eastAsia"/>
                <w:szCs w:val="24"/>
              </w:rPr>
              <w:t xml:space="preserve">第五十八条 </w:t>
            </w:r>
            <w:r>
              <w:rPr>
                <w:rFonts w:ascii="仿宋_GB2312" w:eastAsia="仿宋_GB2312" w:hAnsi="黑体" w:hint="eastAsia"/>
                <w:szCs w:val="24"/>
              </w:rPr>
              <w:t xml:space="preserve"> </w:t>
            </w:r>
            <w:r w:rsidRPr="006B55E3">
              <w:rPr>
                <w:rFonts w:ascii="仿宋_GB2312" w:eastAsia="仿宋_GB2312" w:hAnsi="黑体" w:hint="eastAsia"/>
                <w:szCs w:val="24"/>
              </w:rPr>
              <w:t>债券交易的结算方式包括多边净额结算和逐笔全额结算等。</w:t>
            </w:r>
            <w:r w:rsidR="00224A17">
              <w:rPr>
                <w:rFonts w:ascii="仿宋_GB2312" w:eastAsia="仿宋_GB2312" w:hAnsi="黑体" w:hint="eastAsia"/>
                <w:szCs w:val="24"/>
              </w:rPr>
              <w:t>债券</w:t>
            </w:r>
            <w:r>
              <w:rPr>
                <w:rFonts w:ascii="仿宋_GB2312" w:eastAsia="仿宋_GB2312" w:hAnsi="黑体" w:hint="eastAsia"/>
                <w:szCs w:val="24"/>
              </w:rPr>
              <w:t>投资者</w:t>
            </w:r>
            <w:r w:rsidRPr="006B55E3">
              <w:rPr>
                <w:rFonts w:ascii="仿宋_GB2312" w:eastAsia="仿宋_GB2312" w:hAnsi="黑体" w:hint="eastAsia"/>
                <w:szCs w:val="24"/>
              </w:rPr>
              <w:t>选择结算方式及结算周期的，应当符合本所和登记结算机构的规定及要求。</w:t>
            </w:r>
          </w:p>
          <w:p w:rsidR="00B2785A" w:rsidRPr="006B55E3" w:rsidRDefault="00B2785A" w:rsidP="00EB3D1A">
            <w:pPr>
              <w:ind w:firstLineChars="200" w:firstLine="420"/>
              <w:rPr>
                <w:rFonts w:ascii="仿宋_GB2312" w:eastAsia="仿宋_GB2312" w:hAnsi="黑体"/>
                <w:szCs w:val="24"/>
              </w:rPr>
            </w:pPr>
            <w:r w:rsidRPr="006B55E3">
              <w:rPr>
                <w:rFonts w:ascii="仿宋_GB2312" w:eastAsia="仿宋_GB2312" w:hAnsi="黑体" w:hint="eastAsia"/>
                <w:szCs w:val="24"/>
              </w:rPr>
              <w:t>债券交易申报中采用逐笔全额结算方式的，</w:t>
            </w:r>
            <w:r w:rsidR="00224A17">
              <w:rPr>
                <w:rFonts w:ascii="仿宋_GB2312" w:eastAsia="仿宋_GB2312" w:hAnsi="黑体" w:hint="eastAsia"/>
                <w:szCs w:val="24"/>
              </w:rPr>
              <w:t>债券</w:t>
            </w:r>
            <w:r>
              <w:rPr>
                <w:rFonts w:ascii="仿宋_GB2312" w:eastAsia="仿宋_GB2312" w:hAnsi="黑体" w:hint="eastAsia"/>
                <w:szCs w:val="24"/>
              </w:rPr>
              <w:t>投资者</w:t>
            </w:r>
            <w:r w:rsidRPr="006B55E3">
              <w:rPr>
                <w:rFonts w:ascii="仿宋_GB2312" w:eastAsia="仿宋_GB2312" w:hAnsi="黑体" w:hint="eastAsia"/>
                <w:szCs w:val="24"/>
              </w:rPr>
              <w:t>可以选择结算周期，债券现券交易结算日（或者债券回购交易的首次结算日）不得晚于交易当日后的第三个交易日（含），本所另有规定的除外。</w:t>
            </w:r>
          </w:p>
          <w:p w:rsidR="00B2785A" w:rsidRPr="008B75D7" w:rsidRDefault="00B2785A" w:rsidP="00C37F57">
            <w:pPr>
              <w:ind w:firstLineChars="200" w:firstLine="420"/>
              <w:rPr>
                <w:rFonts w:ascii="仿宋_GB2312" w:eastAsia="仿宋_GB2312" w:hAnsi="黑体"/>
                <w:szCs w:val="24"/>
              </w:rPr>
            </w:pPr>
            <w:r w:rsidRPr="006B55E3">
              <w:rPr>
                <w:rFonts w:ascii="仿宋_GB2312" w:eastAsia="仿宋_GB2312" w:hAnsi="黑体" w:hint="eastAsia"/>
                <w:szCs w:val="24"/>
              </w:rPr>
              <w:t>15:30至20:00申报的债券交易，结算方式应当为逐笔全额结算，且债券现券交易结算日（或者债券回购交易的首次结算日）不得为交易当日。</w:t>
            </w:r>
          </w:p>
        </w:tc>
        <w:tc>
          <w:tcPr>
            <w:tcW w:w="3260" w:type="dxa"/>
          </w:tcPr>
          <w:p w:rsidR="00B2785A" w:rsidRDefault="00B2785A" w:rsidP="00EB3D1A">
            <w:pPr>
              <w:ind w:firstLineChars="200" w:firstLine="420"/>
              <w:rPr>
                <w:rFonts w:ascii="仿宋_GB2312" w:eastAsia="仿宋_GB2312" w:hAnsi="黑体"/>
                <w:szCs w:val="24"/>
              </w:rPr>
            </w:pPr>
            <w:r>
              <w:rPr>
                <w:rFonts w:ascii="仿宋_GB2312" w:eastAsia="仿宋_GB2312" w:hAnsi="黑体" w:hint="eastAsia"/>
                <w:szCs w:val="24"/>
              </w:rPr>
              <w:t>本条第二款和第三款实施时间另行通知。</w:t>
            </w:r>
          </w:p>
          <w:p w:rsidR="00B2785A" w:rsidRDefault="00B2785A" w:rsidP="00EB3D1A">
            <w:pPr>
              <w:ind w:firstLineChars="200" w:firstLine="420"/>
              <w:rPr>
                <w:rFonts w:ascii="仿宋_GB2312" w:eastAsia="仿宋_GB2312" w:hAnsi="黑体"/>
                <w:szCs w:val="24"/>
              </w:rPr>
            </w:pPr>
            <w:r>
              <w:rPr>
                <w:rFonts w:ascii="仿宋_GB2312" w:eastAsia="仿宋_GB2312" w:hAnsi="黑体" w:hint="eastAsia"/>
                <w:szCs w:val="24"/>
              </w:rPr>
              <w:t>债券交易</w:t>
            </w:r>
            <w:r>
              <w:rPr>
                <w:rFonts w:ascii="仿宋_GB2312" w:eastAsia="仿宋_GB2312" w:hAnsi="黑体"/>
                <w:szCs w:val="24"/>
              </w:rPr>
              <w:t>申报</w:t>
            </w:r>
            <w:r w:rsidRPr="006B55E3">
              <w:rPr>
                <w:rFonts w:ascii="仿宋_GB2312" w:eastAsia="仿宋_GB2312" w:hAnsi="黑体" w:hint="eastAsia"/>
                <w:szCs w:val="24"/>
              </w:rPr>
              <w:t>中采用逐笔全额结算方式的，</w:t>
            </w:r>
            <w:r>
              <w:rPr>
                <w:rFonts w:ascii="仿宋_GB2312" w:eastAsia="仿宋_GB2312" w:hAnsi="黑体" w:hint="eastAsia"/>
                <w:szCs w:val="24"/>
              </w:rPr>
              <w:t>采用</w:t>
            </w:r>
            <w:r>
              <w:rPr>
                <w:rFonts w:ascii="仿宋_GB2312" w:eastAsia="仿宋_GB2312" w:hAnsi="黑体"/>
                <w:szCs w:val="24"/>
              </w:rPr>
              <w:t>T+0</w:t>
            </w:r>
            <w:r>
              <w:rPr>
                <w:rFonts w:ascii="仿宋_GB2312" w:eastAsia="仿宋_GB2312" w:hAnsi="黑体" w:hint="eastAsia"/>
                <w:szCs w:val="24"/>
              </w:rPr>
              <w:t>结算</w:t>
            </w:r>
            <w:r>
              <w:rPr>
                <w:rFonts w:ascii="仿宋_GB2312" w:eastAsia="仿宋_GB2312" w:hAnsi="黑体"/>
                <w:szCs w:val="24"/>
              </w:rPr>
              <w:t>周期。</w:t>
            </w:r>
          </w:p>
          <w:p w:rsidR="00B2785A" w:rsidRDefault="00B2785A" w:rsidP="00EB3D1A">
            <w:pPr>
              <w:ind w:firstLineChars="200" w:firstLine="420"/>
              <w:rPr>
                <w:rFonts w:ascii="仿宋_GB2312" w:eastAsia="仿宋_GB2312" w:hAnsi="黑体"/>
                <w:szCs w:val="24"/>
              </w:rPr>
            </w:pPr>
          </w:p>
        </w:tc>
      </w:tr>
      <w:tr w:rsidR="00B2785A" w:rsidRPr="00175CB6" w:rsidTr="00840A0A">
        <w:tc>
          <w:tcPr>
            <w:tcW w:w="718" w:type="dxa"/>
            <w:vMerge/>
          </w:tcPr>
          <w:p w:rsidR="00B2785A" w:rsidRDefault="00B2785A" w:rsidP="00EB3D1A">
            <w:pPr>
              <w:jc w:val="center"/>
              <w:rPr>
                <w:rFonts w:ascii="仿宋_GB2312" w:eastAsia="仿宋_GB2312" w:hAnsi="黑体"/>
                <w:szCs w:val="24"/>
              </w:rPr>
            </w:pPr>
          </w:p>
        </w:tc>
        <w:tc>
          <w:tcPr>
            <w:tcW w:w="1721" w:type="dxa"/>
            <w:vMerge/>
          </w:tcPr>
          <w:p w:rsidR="00B2785A" w:rsidRDefault="00B2785A" w:rsidP="00A456B5">
            <w:pPr>
              <w:rPr>
                <w:rFonts w:ascii="仿宋_GB2312" w:eastAsia="仿宋_GB2312" w:hAnsi="黑体"/>
                <w:szCs w:val="24"/>
              </w:rPr>
            </w:pPr>
          </w:p>
        </w:tc>
        <w:tc>
          <w:tcPr>
            <w:tcW w:w="8222" w:type="dxa"/>
          </w:tcPr>
          <w:p w:rsidR="00B2785A" w:rsidRPr="006B55E3" w:rsidRDefault="00B2785A" w:rsidP="00EB3D1A">
            <w:pPr>
              <w:rPr>
                <w:rFonts w:ascii="仿宋_GB2312" w:eastAsia="仿宋_GB2312" w:hAnsi="黑体"/>
                <w:szCs w:val="24"/>
              </w:rPr>
            </w:pPr>
            <w:r>
              <w:rPr>
                <w:rFonts w:ascii="仿宋_GB2312" w:eastAsia="仿宋_GB2312" w:hAnsi="黑体" w:hint="eastAsia"/>
                <w:szCs w:val="24"/>
              </w:rPr>
              <w:t>第七十八</w:t>
            </w:r>
            <w:r>
              <w:rPr>
                <w:rFonts w:ascii="仿宋_GB2312" w:eastAsia="仿宋_GB2312" w:hAnsi="黑体"/>
                <w:szCs w:val="24"/>
              </w:rPr>
              <w:t>条、</w:t>
            </w:r>
            <w:r>
              <w:rPr>
                <w:rFonts w:ascii="仿宋_GB2312" w:eastAsia="仿宋_GB2312" w:hAnsi="黑体" w:hint="eastAsia"/>
                <w:szCs w:val="24"/>
              </w:rPr>
              <w:t>八十一</w:t>
            </w:r>
            <w:r>
              <w:rPr>
                <w:rFonts w:ascii="仿宋_GB2312" w:eastAsia="仿宋_GB2312" w:hAnsi="黑体"/>
                <w:szCs w:val="24"/>
              </w:rPr>
              <w:t>条、</w:t>
            </w:r>
            <w:r>
              <w:rPr>
                <w:rFonts w:ascii="仿宋_GB2312" w:eastAsia="仿宋_GB2312" w:hAnsi="黑体" w:hint="eastAsia"/>
                <w:szCs w:val="24"/>
              </w:rPr>
              <w:t>八十五</w:t>
            </w:r>
            <w:r>
              <w:rPr>
                <w:rFonts w:ascii="仿宋_GB2312" w:eastAsia="仿宋_GB2312" w:hAnsi="黑体"/>
                <w:szCs w:val="24"/>
              </w:rPr>
              <w:t>条、</w:t>
            </w:r>
            <w:r>
              <w:rPr>
                <w:rFonts w:ascii="仿宋_GB2312" w:eastAsia="仿宋_GB2312" w:hAnsi="黑体" w:hint="eastAsia"/>
                <w:szCs w:val="24"/>
              </w:rPr>
              <w:t>八十七</w:t>
            </w:r>
            <w:r>
              <w:rPr>
                <w:rFonts w:ascii="仿宋_GB2312" w:eastAsia="仿宋_GB2312" w:hAnsi="黑体"/>
                <w:szCs w:val="24"/>
              </w:rPr>
              <w:t>条、</w:t>
            </w:r>
            <w:r>
              <w:rPr>
                <w:rFonts w:ascii="仿宋_GB2312" w:eastAsia="仿宋_GB2312" w:hAnsi="黑体" w:hint="eastAsia"/>
                <w:szCs w:val="24"/>
              </w:rPr>
              <w:t>九十三</w:t>
            </w:r>
            <w:r>
              <w:rPr>
                <w:rFonts w:ascii="仿宋_GB2312" w:eastAsia="仿宋_GB2312" w:hAnsi="黑体"/>
                <w:szCs w:val="24"/>
              </w:rPr>
              <w:t>条、</w:t>
            </w:r>
            <w:r>
              <w:rPr>
                <w:rFonts w:ascii="仿宋_GB2312" w:eastAsia="仿宋_GB2312" w:hAnsi="黑体" w:hint="eastAsia"/>
                <w:szCs w:val="24"/>
              </w:rPr>
              <w:t>一百</w:t>
            </w:r>
            <w:r>
              <w:rPr>
                <w:rFonts w:ascii="仿宋_GB2312" w:eastAsia="仿宋_GB2312" w:hAnsi="黑体"/>
                <w:szCs w:val="24"/>
              </w:rPr>
              <w:t>条</w:t>
            </w:r>
            <w:r>
              <w:rPr>
                <w:rFonts w:ascii="仿宋_GB2312" w:eastAsia="仿宋_GB2312" w:hAnsi="黑体" w:hint="eastAsia"/>
                <w:szCs w:val="24"/>
              </w:rPr>
              <w:t>、一百〇一</w:t>
            </w:r>
            <w:r>
              <w:rPr>
                <w:rFonts w:ascii="仿宋_GB2312" w:eastAsia="仿宋_GB2312" w:hAnsi="黑体"/>
                <w:szCs w:val="24"/>
              </w:rPr>
              <w:t>条</w:t>
            </w:r>
            <w:r>
              <w:rPr>
                <w:rFonts w:ascii="仿宋_GB2312" w:eastAsia="仿宋_GB2312" w:hAnsi="黑体" w:hint="eastAsia"/>
                <w:szCs w:val="24"/>
              </w:rPr>
              <w:t>中</w:t>
            </w:r>
            <w:r>
              <w:rPr>
                <w:rFonts w:ascii="仿宋_GB2312" w:eastAsia="仿宋_GB2312" w:hAnsi="黑体"/>
                <w:szCs w:val="24"/>
              </w:rPr>
              <w:t>涉及</w:t>
            </w:r>
            <w:r>
              <w:rPr>
                <w:rFonts w:ascii="仿宋_GB2312" w:eastAsia="仿宋_GB2312" w:hAnsi="黑体"/>
                <w:szCs w:val="24"/>
              </w:rPr>
              <w:t>“</w:t>
            </w:r>
            <w:r>
              <w:rPr>
                <w:rFonts w:ascii="仿宋_GB2312" w:eastAsia="仿宋_GB2312" w:hAnsi="黑体"/>
                <w:szCs w:val="24"/>
              </w:rPr>
              <w:t>结算周期</w:t>
            </w:r>
            <w:r>
              <w:rPr>
                <w:rFonts w:ascii="仿宋_GB2312" w:eastAsia="仿宋_GB2312" w:hAnsi="黑体"/>
                <w:szCs w:val="24"/>
              </w:rPr>
              <w:t>”</w:t>
            </w:r>
            <w:r>
              <w:rPr>
                <w:rFonts w:ascii="仿宋_GB2312" w:eastAsia="仿宋_GB2312" w:hAnsi="黑体" w:hint="eastAsia"/>
                <w:szCs w:val="24"/>
              </w:rPr>
              <w:t>的</w:t>
            </w:r>
            <w:r>
              <w:rPr>
                <w:rFonts w:ascii="仿宋_GB2312" w:eastAsia="仿宋_GB2312" w:hAnsi="黑体"/>
                <w:szCs w:val="24"/>
              </w:rPr>
              <w:t>内容</w:t>
            </w:r>
          </w:p>
        </w:tc>
        <w:tc>
          <w:tcPr>
            <w:tcW w:w="3260" w:type="dxa"/>
          </w:tcPr>
          <w:p w:rsidR="00B2785A" w:rsidRDefault="00B2785A" w:rsidP="00EB3D1A">
            <w:pPr>
              <w:ind w:firstLineChars="200" w:firstLine="420"/>
              <w:rPr>
                <w:rFonts w:ascii="仿宋_GB2312" w:eastAsia="仿宋_GB2312" w:hAnsi="黑体"/>
                <w:szCs w:val="24"/>
              </w:rPr>
            </w:pPr>
            <w:r>
              <w:rPr>
                <w:rFonts w:ascii="仿宋_GB2312" w:eastAsia="仿宋_GB2312" w:hAnsi="黑体" w:hint="eastAsia"/>
                <w:szCs w:val="24"/>
              </w:rPr>
              <w:t>前述条款中</w:t>
            </w:r>
            <w:r>
              <w:rPr>
                <w:rFonts w:ascii="仿宋_GB2312" w:eastAsia="仿宋_GB2312" w:hAnsi="黑体"/>
                <w:szCs w:val="24"/>
              </w:rPr>
              <w:t>涉及</w:t>
            </w:r>
            <w:r>
              <w:rPr>
                <w:rFonts w:ascii="仿宋_GB2312" w:eastAsia="仿宋_GB2312" w:hAnsi="黑体"/>
                <w:szCs w:val="24"/>
              </w:rPr>
              <w:t>“</w:t>
            </w:r>
            <w:r>
              <w:rPr>
                <w:rFonts w:ascii="仿宋_GB2312" w:eastAsia="仿宋_GB2312" w:hAnsi="黑体"/>
                <w:szCs w:val="24"/>
              </w:rPr>
              <w:t>结算周期</w:t>
            </w:r>
            <w:r>
              <w:rPr>
                <w:rFonts w:ascii="仿宋_GB2312" w:eastAsia="仿宋_GB2312" w:hAnsi="黑体"/>
                <w:szCs w:val="24"/>
              </w:rPr>
              <w:t>”</w:t>
            </w:r>
            <w:r>
              <w:rPr>
                <w:rFonts w:ascii="仿宋_GB2312" w:eastAsia="仿宋_GB2312" w:hAnsi="黑体" w:hint="eastAsia"/>
                <w:szCs w:val="24"/>
              </w:rPr>
              <w:t>的</w:t>
            </w:r>
            <w:r>
              <w:rPr>
                <w:rFonts w:ascii="仿宋_GB2312" w:eastAsia="仿宋_GB2312" w:hAnsi="黑体"/>
                <w:szCs w:val="24"/>
              </w:rPr>
              <w:t>内容实施时间</w:t>
            </w:r>
            <w:r>
              <w:rPr>
                <w:rFonts w:ascii="仿宋_GB2312" w:eastAsia="仿宋_GB2312" w:hAnsi="黑体" w:hint="eastAsia"/>
                <w:szCs w:val="24"/>
              </w:rPr>
              <w:t>另行</w:t>
            </w:r>
            <w:r>
              <w:rPr>
                <w:rFonts w:ascii="仿宋_GB2312" w:eastAsia="仿宋_GB2312" w:hAnsi="黑体"/>
                <w:szCs w:val="24"/>
              </w:rPr>
              <w:t>通知。</w:t>
            </w:r>
          </w:p>
        </w:tc>
      </w:tr>
      <w:tr w:rsidR="00EB3D1A" w:rsidRPr="006642D3" w:rsidTr="00840A0A">
        <w:tc>
          <w:tcPr>
            <w:tcW w:w="718" w:type="dxa"/>
          </w:tcPr>
          <w:p w:rsidR="00EB3D1A" w:rsidRPr="006642D3" w:rsidRDefault="00E30F48" w:rsidP="00EB3D1A">
            <w:pPr>
              <w:jc w:val="center"/>
              <w:rPr>
                <w:rFonts w:ascii="仿宋_GB2312" w:eastAsia="仿宋_GB2312" w:hAnsi="黑体"/>
                <w:szCs w:val="24"/>
              </w:rPr>
            </w:pPr>
            <w:r>
              <w:rPr>
                <w:rFonts w:ascii="仿宋_GB2312" w:eastAsia="仿宋_GB2312" w:hAnsi="黑体"/>
                <w:szCs w:val="24"/>
              </w:rPr>
              <w:t>5</w:t>
            </w:r>
          </w:p>
        </w:tc>
        <w:tc>
          <w:tcPr>
            <w:tcW w:w="1721" w:type="dxa"/>
          </w:tcPr>
          <w:p w:rsidR="00EB3D1A" w:rsidRPr="006642D3" w:rsidRDefault="00A456B5" w:rsidP="00EB3D1A">
            <w:pPr>
              <w:rPr>
                <w:rFonts w:ascii="仿宋_GB2312" w:eastAsia="仿宋_GB2312" w:hAnsi="黑体"/>
                <w:szCs w:val="24"/>
              </w:rPr>
            </w:pPr>
            <w:r>
              <w:rPr>
                <w:rFonts w:ascii="仿宋_GB2312" w:eastAsia="仿宋_GB2312" w:hAnsi="黑体" w:hint="eastAsia"/>
                <w:szCs w:val="24"/>
              </w:rPr>
              <w:t>报价参与</w:t>
            </w:r>
            <w:r w:rsidRPr="00626C4E">
              <w:rPr>
                <w:rFonts w:ascii="仿宋_GB2312" w:eastAsia="仿宋_GB2312" w:hAnsi="黑体" w:hint="eastAsia"/>
                <w:szCs w:val="24"/>
              </w:rPr>
              <w:t>整时点</w:t>
            </w:r>
            <w:r>
              <w:rPr>
                <w:rFonts w:ascii="仿宋_GB2312" w:eastAsia="仿宋_GB2312" w:hAnsi="黑体" w:hint="eastAsia"/>
                <w:szCs w:val="24"/>
              </w:rPr>
              <w:t>匹配成交</w:t>
            </w:r>
          </w:p>
        </w:tc>
        <w:tc>
          <w:tcPr>
            <w:tcW w:w="8222" w:type="dxa"/>
          </w:tcPr>
          <w:p w:rsidR="00EB3D1A" w:rsidRPr="00626C4E" w:rsidRDefault="00EB3D1A" w:rsidP="00EB3D1A">
            <w:pPr>
              <w:rPr>
                <w:rFonts w:ascii="仿宋_GB2312" w:eastAsia="仿宋_GB2312" w:hAnsi="黑体"/>
                <w:szCs w:val="24"/>
              </w:rPr>
            </w:pPr>
            <w:r w:rsidRPr="00626C4E">
              <w:rPr>
                <w:rFonts w:ascii="仿宋_GB2312" w:eastAsia="仿宋_GB2312" w:hAnsi="黑体" w:hint="eastAsia"/>
                <w:szCs w:val="24"/>
              </w:rPr>
              <w:t xml:space="preserve">第八十三条 </w:t>
            </w:r>
            <w:r>
              <w:rPr>
                <w:rFonts w:ascii="仿宋_GB2312" w:eastAsia="仿宋_GB2312" w:hAnsi="黑体" w:hint="eastAsia"/>
                <w:szCs w:val="24"/>
              </w:rPr>
              <w:t xml:space="preserve"> </w:t>
            </w:r>
            <w:r w:rsidRPr="00626C4E">
              <w:rPr>
                <w:rFonts w:ascii="仿宋_GB2312" w:eastAsia="仿宋_GB2312" w:hAnsi="黑体" w:hint="eastAsia"/>
                <w:szCs w:val="24"/>
              </w:rPr>
              <w:t>结算方式为多边净额结算，并且符合以下条件的报价，报价方可以选择在本所连续匹配阶段的整时点按照连续匹配的相关规定参与限价申报的匹配成交：</w:t>
            </w:r>
          </w:p>
          <w:p w:rsidR="00EB3D1A" w:rsidRPr="00626C4E" w:rsidRDefault="00EB3D1A" w:rsidP="00EB3D1A">
            <w:pPr>
              <w:rPr>
                <w:rFonts w:ascii="仿宋_GB2312" w:eastAsia="仿宋_GB2312" w:hAnsi="黑体"/>
                <w:szCs w:val="24"/>
              </w:rPr>
            </w:pPr>
            <w:r w:rsidRPr="00626C4E">
              <w:rPr>
                <w:rFonts w:ascii="仿宋_GB2312" w:eastAsia="仿宋_GB2312" w:hAnsi="黑体" w:hint="eastAsia"/>
                <w:szCs w:val="24"/>
              </w:rPr>
              <w:t>（一）</w:t>
            </w:r>
            <w:r w:rsidRPr="00626C4E">
              <w:rPr>
                <w:rFonts w:ascii="仿宋_GB2312" w:eastAsia="仿宋_GB2312" w:hAnsi="黑体" w:hint="eastAsia"/>
                <w:szCs w:val="24"/>
              </w:rPr>
              <w:tab/>
              <w:t>报价面向全市场发送；</w:t>
            </w:r>
          </w:p>
          <w:p w:rsidR="00EB3D1A" w:rsidRPr="00626C4E" w:rsidRDefault="00EB3D1A" w:rsidP="00EB3D1A">
            <w:pPr>
              <w:rPr>
                <w:rFonts w:ascii="仿宋_GB2312" w:eastAsia="仿宋_GB2312" w:hAnsi="黑体"/>
                <w:szCs w:val="24"/>
              </w:rPr>
            </w:pPr>
            <w:r w:rsidRPr="00626C4E">
              <w:rPr>
                <w:rFonts w:ascii="仿宋_GB2312" w:eastAsia="仿宋_GB2312" w:hAnsi="黑体" w:hint="eastAsia"/>
                <w:szCs w:val="24"/>
              </w:rPr>
              <w:t>（二）</w:t>
            </w:r>
            <w:r w:rsidRPr="00626C4E">
              <w:rPr>
                <w:rFonts w:ascii="仿宋_GB2312" w:eastAsia="仿宋_GB2312" w:hAnsi="黑体" w:hint="eastAsia"/>
                <w:szCs w:val="24"/>
              </w:rPr>
              <w:tab/>
              <w:t>申报价格、申报数量符合匹配成交的相关规定；</w:t>
            </w:r>
          </w:p>
          <w:p w:rsidR="00EB3D1A" w:rsidRPr="00626C4E" w:rsidRDefault="00EB3D1A" w:rsidP="00EB3D1A">
            <w:pPr>
              <w:rPr>
                <w:rFonts w:ascii="仿宋_GB2312" w:eastAsia="仿宋_GB2312" w:hAnsi="黑体"/>
                <w:szCs w:val="24"/>
              </w:rPr>
            </w:pPr>
            <w:r w:rsidRPr="00626C4E">
              <w:rPr>
                <w:rFonts w:ascii="仿宋_GB2312" w:eastAsia="仿宋_GB2312" w:hAnsi="黑体" w:hint="eastAsia"/>
                <w:szCs w:val="24"/>
              </w:rPr>
              <w:lastRenderedPageBreak/>
              <w:t>（三）</w:t>
            </w:r>
            <w:r w:rsidRPr="00626C4E">
              <w:rPr>
                <w:rFonts w:ascii="仿宋_GB2312" w:eastAsia="仿宋_GB2312" w:hAnsi="黑体" w:hint="eastAsia"/>
                <w:szCs w:val="24"/>
              </w:rPr>
              <w:tab/>
              <w:t>未设置全额成交要求；</w:t>
            </w:r>
          </w:p>
          <w:p w:rsidR="00EB3D1A" w:rsidRPr="006642D3" w:rsidRDefault="00EB3D1A" w:rsidP="00EB3D1A">
            <w:pPr>
              <w:rPr>
                <w:rFonts w:ascii="仿宋_GB2312" w:eastAsia="仿宋_GB2312" w:hAnsi="黑体"/>
                <w:szCs w:val="24"/>
              </w:rPr>
            </w:pPr>
            <w:r w:rsidRPr="00626C4E">
              <w:rPr>
                <w:rFonts w:ascii="仿宋_GB2312" w:eastAsia="仿宋_GB2312" w:hAnsi="黑体" w:hint="eastAsia"/>
                <w:szCs w:val="24"/>
              </w:rPr>
              <w:t>（四）</w:t>
            </w:r>
            <w:r w:rsidRPr="00626C4E">
              <w:rPr>
                <w:rFonts w:ascii="仿宋_GB2312" w:eastAsia="仿宋_GB2312" w:hAnsi="黑体" w:hint="eastAsia"/>
                <w:szCs w:val="24"/>
              </w:rPr>
              <w:tab/>
              <w:t>本所规定的其他条件。</w:t>
            </w:r>
          </w:p>
        </w:tc>
        <w:tc>
          <w:tcPr>
            <w:tcW w:w="3260" w:type="dxa"/>
          </w:tcPr>
          <w:p w:rsidR="00EB3D1A" w:rsidRPr="006642D3" w:rsidRDefault="00EB3D1A" w:rsidP="00EB3D1A">
            <w:pPr>
              <w:ind w:firstLineChars="200" w:firstLine="420"/>
              <w:rPr>
                <w:rFonts w:ascii="仿宋_GB2312" w:eastAsia="仿宋_GB2312" w:hAnsi="黑体"/>
                <w:szCs w:val="24"/>
              </w:rPr>
            </w:pPr>
            <w:r>
              <w:rPr>
                <w:rFonts w:ascii="仿宋_GB2312" w:eastAsia="仿宋_GB2312" w:hAnsi="黑体" w:hint="eastAsia"/>
                <w:szCs w:val="24"/>
              </w:rPr>
              <w:lastRenderedPageBreak/>
              <w:t>本条</w:t>
            </w:r>
            <w:r w:rsidRPr="006642D3">
              <w:rPr>
                <w:rFonts w:ascii="仿宋_GB2312" w:eastAsia="仿宋_GB2312" w:hAnsi="黑体" w:hint="eastAsia"/>
                <w:szCs w:val="24"/>
              </w:rPr>
              <w:t>实施时间另行通知。</w:t>
            </w:r>
          </w:p>
        </w:tc>
      </w:tr>
      <w:tr w:rsidR="00A456B5" w:rsidRPr="006642D3" w:rsidTr="00840A0A">
        <w:tc>
          <w:tcPr>
            <w:tcW w:w="718" w:type="dxa"/>
            <w:vMerge w:val="restart"/>
          </w:tcPr>
          <w:p w:rsidR="00A456B5" w:rsidRDefault="00E30F48" w:rsidP="00EB3D1A">
            <w:pPr>
              <w:jc w:val="center"/>
              <w:rPr>
                <w:rFonts w:ascii="仿宋_GB2312" w:eastAsia="仿宋_GB2312" w:hAnsi="黑体"/>
                <w:szCs w:val="24"/>
              </w:rPr>
            </w:pPr>
            <w:r>
              <w:rPr>
                <w:rFonts w:ascii="仿宋_GB2312" w:eastAsia="仿宋_GB2312" w:hAnsi="黑体"/>
                <w:szCs w:val="24"/>
              </w:rPr>
              <w:lastRenderedPageBreak/>
              <w:t>6</w:t>
            </w:r>
          </w:p>
          <w:p w:rsidR="00A456B5" w:rsidRDefault="00A456B5" w:rsidP="00EB3D1A">
            <w:pPr>
              <w:jc w:val="center"/>
              <w:rPr>
                <w:rFonts w:ascii="仿宋_GB2312" w:eastAsia="仿宋_GB2312" w:hAnsi="黑体"/>
                <w:szCs w:val="24"/>
              </w:rPr>
            </w:pPr>
          </w:p>
        </w:tc>
        <w:tc>
          <w:tcPr>
            <w:tcW w:w="1721" w:type="dxa"/>
            <w:vMerge w:val="restart"/>
          </w:tcPr>
          <w:p w:rsidR="00A456B5" w:rsidRPr="00AC3BAF" w:rsidRDefault="00A456B5" w:rsidP="00A456B5">
            <w:pPr>
              <w:rPr>
                <w:rFonts w:ascii="仿宋_GB2312" w:eastAsia="仿宋_GB2312" w:hAnsi="黑体"/>
                <w:szCs w:val="24"/>
              </w:rPr>
            </w:pPr>
            <w:r>
              <w:rPr>
                <w:rFonts w:ascii="仿宋_GB2312" w:eastAsia="仿宋_GB2312" w:hAnsi="黑体" w:hint="eastAsia"/>
                <w:szCs w:val="24"/>
              </w:rPr>
              <w:t>多主体</w:t>
            </w:r>
            <w:r>
              <w:rPr>
                <w:rFonts w:ascii="仿宋_GB2312" w:eastAsia="仿宋_GB2312" w:hAnsi="黑体"/>
                <w:szCs w:val="24"/>
              </w:rPr>
              <w:t>中标方式竞买成交</w:t>
            </w:r>
          </w:p>
        </w:tc>
        <w:tc>
          <w:tcPr>
            <w:tcW w:w="8222" w:type="dxa"/>
          </w:tcPr>
          <w:p w:rsidR="00A456B5" w:rsidRPr="00AC3BAF" w:rsidRDefault="00A456B5" w:rsidP="00EB3D1A">
            <w:pPr>
              <w:rPr>
                <w:rFonts w:ascii="仿宋_GB2312" w:eastAsia="仿宋_GB2312" w:hAnsi="黑体"/>
                <w:szCs w:val="24"/>
              </w:rPr>
            </w:pPr>
            <w:r w:rsidRPr="00AC3BAF">
              <w:rPr>
                <w:rFonts w:ascii="仿宋_GB2312" w:eastAsia="仿宋_GB2312" w:hAnsi="黑体" w:hint="eastAsia"/>
                <w:szCs w:val="24"/>
              </w:rPr>
              <w:t xml:space="preserve">第九十一条 </w:t>
            </w:r>
            <w:r>
              <w:rPr>
                <w:rFonts w:ascii="仿宋_GB2312" w:eastAsia="仿宋_GB2312" w:hAnsi="黑体" w:hint="eastAsia"/>
                <w:szCs w:val="24"/>
              </w:rPr>
              <w:t xml:space="preserve"> </w:t>
            </w:r>
            <w:r w:rsidRPr="00AC3BAF">
              <w:rPr>
                <w:rFonts w:ascii="仿宋_GB2312" w:eastAsia="仿宋_GB2312" w:hAnsi="黑体" w:hint="eastAsia"/>
                <w:szCs w:val="24"/>
              </w:rPr>
              <w:t>竞买成交可以采用单一主体中标、多主体中标等方式。</w:t>
            </w:r>
          </w:p>
          <w:p w:rsidR="00A456B5" w:rsidRPr="00AC3BAF" w:rsidRDefault="00A456B5" w:rsidP="00EB3D1A">
            <w:pPr>
              <w:ind w:firstLineChars="200" w:firstLine="420"/>
              <w:rPr>
                <w:rFonts w:ascii="仿宋_GB2312" w:eastAsia="仿宋_GB2312" w:hAnsi="黑体"/>
                <w:szCs w:val="24"/>
              </w:rPr>
            </w:pPr>
            <w:r w:rsidRPr="00AC3BAF">
              <w:rPr>
                <w:rFonts w:ascii="仿宋_GB2312" w:eastAsia="仿宋_GB2312" w:hAnsi="黑体" w:hint="eastAsia"/>
                <w:szCs w:val="24"/>
              </w:rPr>
              <w:t>采用单一主体中标方式的，由最优出价的应价方按照其应价价格、该笔竞买的全部申报数量成交。</w:t>
            </w:r>
          </w:p>
          <w:p w:rsidR="00A456B5" w:rsidRPr="00AC3BAF" w:rsidRDefault="00A456B5" w:rsidP="00EB3D1A">
            <w:pPr>
              <w:ind w:firstLineChars="200" w:firstLine="420"/>
              <w:rPr>
                <w:rFonts w:ascii="仿宋_GB2312" w:eastAsia="仿宋_GB2312" w:hAnsi="黑体"/>
                <w:szCs w:val="24"/>
              </w:rPr>
            </w:pPr>
            <w:r w:rsidRPr="00AC3BAF">
              <w:rPr>
                <w:rFonts w:ascii="仿宋_GB2312" w:eastAsia="仿宋_GB2312" w:hAnsi="黑体" w:hint="eastAsia"/>
                <w:szCs w:val="24"/>
              </w:rPr>
              <w:t>多主体中标方式包括单一价格中标、多重价格中标等方式。采用单一价格中标方式的，所有中标的应价申报都以边际价格成交。采用多重价格中标方式的，所有中标的应价申报都以其各自的应价价格成交。</w:t>
            </w:r>
          </w:p>
        </w:tc>
        <w:tc>
          <w:tcPr>
            <w:tcW w:w="3260" w:type="dxa"/>
            <w:vMerge w:val="restart"/>
          </w:tcPr>
          <w:p w:rsidR="00A456B5" w:rsidRDefault="00A456B5" w:rsidP="00A456B5">
            <w:pPr>
              <w:ind w:firstLineChars="200" w:firstLine="420"/>
              <w:rPr>
                <w:rFonts w:ascii="仿宋_GB2312" w:eastAsia="仿宋_GB2312" w:hAnsi="黑体"/>
                <w:szCs w:val="24"/>
              </w:rPr>
            </w:pPr>
            <w:r>
              <w:rPr>
                <w:rFonts w:ascii="仿宋_GB2312" w:eastAsia="仿宋_GB2312" w:hAnsi="黑体" w:hint="eastAsia"/>
                <w:szCs w:val="24"/>
              </w:rPr>
              <w:t>第</w:t>
            </w:r>
            <w:r w:rsidR="00A359DF">
              <w:rPr>
                <w:rFonts w:ascii="仿宋_GB2312" w:eastAsia="仿宋_GB2312" w:hAnsi="黑体" w:hint="eastAsia"/>
                <w:szCs w:val="24"/>
              </w:rPr>
              <w:t>九十一</w:t>
            </w:r>
            <w:r>
              <w:rPr>
                <w:rFonts w:ascii="仿宋_GB2312" w:eastAsia="仿宋_GB2312" w:hAnsi="黑体"/>
                <w:szCs w:val="24"/>
              </w:rPr>
              <w:t>条</w:t>
            </w:r>
            <w:r>
              <w:rPr>
                <w:rFonts w:ascii="仿宋_GB2312" w:eastAsia="仿宋_GB2312" w:hAnsi="黑体" w:hint="eastAsia"/>
                <w:szCs w:val="24"/>
              </w:rPr>
              <w:t>、</w:t>
            </w:r>
            <w:r w:rsidR="00A359DF">
              <w:rPr>
                <w:rFonts w:ascii="仿宋_GB2312" w:eastAsia="仿宋_GB2312" w:hAnsi="黑体" w:hint="eastAsia"/>
                <w:szCs w:val="24"/>
              </w:rPr>
              <w:t>九十五</w:t>
            </w:r>
            <w:r>
              <w:rPr>
                <w:rFonts w:ascii="仿宋_GB2312" w:eastAsia="仿宋_GB2312" w:hAnsi="黑体"/>
                <w:szCs w:val="24"/>
              </w:rPr>
              <w:t>条</w:t>
            </w:r>
            <w:r>
              <w:rPr>
                <w:rFonts w:ascii="仿宋_GB2312" w:eastAsia="仿宋_GB2312" w:hAnsi="黑体" w:hint="eastAsia"/>
                <w:szCs w:val="24"/>
              </w:rPr>
              <w:t>、</w:t>
            </w:r>
            <w:r w:rsidR="00A359DF">
              <w:rPr>
                <w:rFonts w:ascii="仿宋_GB2312" w:eastAsia="仿宋_GB2312" w:hAnsi="黑体" w:hint="eastAsia"/>
                <w:szCs w:val="24"/>
              </w:rPr>
              <w:t>九十六</w:t>
            </w:r>
            <w:r>
              <w:rPr>
                <w:rFonts w:ascii="仿宋_GB2312" w:eastAsia="仿宋_GB2312" w:hAnsi="黑体"/>
                <w:szCs w:val="24"/>
              </w:rPr>
              <w:t>条、</w:t>
            </w:r>
            <w:r w:rsidR="00A359DF">
              <w:rPr>
                <w:rFonts w:ascii="仿宋_GB2312" w:eastAsia="仿宋_GB2312" w:hAnsi="黑体" w:hint="eastAsia"/>
                <w:szCs w:val="24"/>
              </w:rPr>
              <w:t>九十七</w:t>
            </w:r>
            <w:r>
              <w:rPr>
                <w:rFonts w:ascii="仿宋_GB2312" w:eastAsia="仿宋_GB2312" w:hAnsi="黑体"/>
                <w:szCs w:val="24"/>
              </w:rPr>
              <w:t>条中</w:t>
            </w:r>
            <w:r>
              <w:rPr>
                <w:rFonts w:ascii="仿宋_GB2312" w:eastAsia="仿宋_GB2312" w:hAnsi="黑体" w:hint="eastAsia"/>
                <w:szCs w:val="24"/>
              </w:rPr>
              <w:t>涉及多主体</w:t>
            </w:r>
            <w:r>
              <w:rPr>
                <w:rFonts w:ascii="仿宋_GB2312" w:eastAsia="仿宋_GB2312" w:hAnsi="黑体"/>
                <w:szCs w:val="24"/>
              </w:rPr>
              <w:t>中标方式竞买成交</w:t>
            </w:r>
            <w:r>
              <w:rPr>
                <w:rFonts w:ascii="仿宋_GB2312" w:eastAsia="仿宋_GB2312" w:hAnsi="黑体" w:hint="eastAsia"/>
                <w:szCs w:val="24"/>
              </w:rPr>
              <w:t>的</w:t>
            </w:r>
            <w:r>
              <w:rPr>
                <w:rFonts w:ascii="仿宋_GB2312" w:eastAsia="仿宋_GB2312" w:hAnsi="黑体"/>
                <w:szCs w:val="24"/>
              </w:rPr>
              <w:t>有关规定</w:t>
            </w:r>
            <w:r>
              <w:rPr>
                <w:rFonts w:ascii="仿宋_GB2312" w:eastAsia="仿宋_GB2312" w:hAnsi="黑体" w:hint="eastAsia"/>
                <w:szCs w:val="24"/>
              </w:rPr>
              <w:t>实施</w:t>
            </w:r>
            <w:r>
              <w:rPr>
                <w:rFonts w:ascii="仿宋_GB2312" w:eastAsia="仿宋_GB2312" w:hAnsi="黑体"/>
                <w:szCs w:val="24"/>
              </w:rPr>
              <w:t>时间另行通知。</w:t>
            </w:r>
          </w:p>
          <w:p w:rsidR="00A456B5" w:rsidRDefault="00A456B5" w:rsidP="00EB3D1A">
            <w:pPr>
              <w:ind w:firstLineChars="200" w:firstLine="420"/>
              <w:rPr>
                <w:rFonts w:ascii="仿宋_GB2312" w:eastAsia="仿宋_GB2312" w:hAnsi="黑体"/>
                <w:szCs w:val="24"/>
              </w:rPr>
            </w:pPr>
          </w:p>
        </w:tc>
      </w:tr>
      <w:tr w:rsidR="00A456B5" w:rsidRPr="006642D3" w:rsidTr="00840A0A">
        <w:tc>
          <w:tcPr>
            <w:tcW w:w="718" w:type="dxa"/>
            <w:vMerge/>
          </w:tcPr>
          <w:p w:rsidR="00A456B5" w:rsidRDefault="00A456B5" w:rsidP="00EB3D1A">
            <w:pPr>
              <w:jc w:val="center"/>
              <w:rPr>
                <w:rFonts w:ascii="仿宋_GB2312" w:eastAsia="仿宋_GB2312" w:hAnsi="黑体"/>
                <w:szCs w:val="24"/>
              </w:rPr>
            </w:pPr>
          </w:p>
        </w:tc>
        <w:tc>
          <w:tcPr>
            <w:tcW w:w="1721" w:type="dxa"/>
            <w:vMerge/>
          </w:tcPr>
          <w:p w:rsidR="00A456B5" w:rsidRPr="00AC3BAF" w:rsidRDefault="00A456B5" w:rsidP="00A456B5">
            <w:pPr>
              <w:rPr>
                <w:rFonts w:ascii="仿宋_GB2312" w:eastAsia="仿宋_GB2312" w:hAnsi="黑体"/>
                <w:szCs w:val="24"/>
              </w:rPr>
            </w:pPr>
          </w:p>
        </w:tc>
        <w:tc>
          <w:tcPr>
            <w:tcW w:w="8222" w:type="dxa"/>
          </w:tcPr>
          <w:p w:rsidR="00A456B5" w:rsidRPr="00AC3BAF" w:rsidRDefault="00A456B5" w:rsidP="00EB3D1A">
            <w:pPr>
              <w:rPr>
                <w:rFonts w:ascii="仿宋_GB2312" w:eastAsia="仿宋_GB2312" w:hAnsi="黑体"/>
                <w:szCs w:val="24"/>
              </w:rPr>
            </w:pPr>
            <w:r w:rsidRPr="00AC3BAF">
              <w:rPr>
                <w:rFonts w:ascii="仿宋_GB2312" w:eastAsia="仿宋_GB2312" w:hAnsi="黑体" w:hint="eastAsia"/>
                <w:szCs w:val="24"/>
              </w:rPr>
              <w:t xml:space="preserve">第九十五条 </w:t>
            </w:r>
            <w:r>
              <w:rPr>
                <w:rFonts w:ascii="仿宋_GB2312" w:eastAsia="仿宋_GB2312" w:hAnsi="黑体" w:hint="eastAsia"/>
                <w:szCs w:val="24"/>
              </w:rPr>
              <w:t xml:space="preserve"> </w:t>
            </w:r>
            <w:r w:rsidRPr="00AC3BAF">
              <w:rPr>
                <w:rFonts w:ascii="仿宋_GB2312" w:eastAsia="仿宋_GB2312" w:hAnsi="黑体" w:hint="eastAsia"/>
                <w:szCs w:val="24"/>
              </w:rPr>
              <w:t>在应价申报时间截止后，交易系统按照竞买方式对应的成交规则计算成交价格和成交数量，生成成交信息。</w:t>
            </w:r>
          </w:p>
          <w:p w:rsidR="00A456B5" w:rsidRPr="00AC3BAF" w:rsidRDefault="00A456B5" w:rsidP="00EB3D1A">
            <w:pPr>
              <w:ind w:firstLineChars="200" w:firstLine="420"/>
              <w:rPr>
                <w:rFonts w:ascii="仿宋_GB2312" w:eastAsia="仿宋_GB2312" w:hAnsi="黑体"/>
                <w:szCs w:val="24"/>
              </w:rPr>
            </w:pPr>
            <w:r w:rsidRPr="00AC3BAF">
              <w:rPr>
                <w:rFonts w:ascii="仿宋_GB2312" w:eastAsia="仿宋_GB2312" w:hAnsi="黑体" w:hint="eastAsia"/>
                <w:szCs w:val="24"/>
              </w:rPr>
              <w:t>采用单一主体中标方式的，由最优出价的应价方按照该笔竞买的全部数量成交。若最优出价存在多笔应价申报的，按照时间优先原则成交。</w:t>
            </w:r>
          </w:p>
          <w:p w:rsidR="00A456B5" w:rsidRPr="00AC3BAF" w:rsidRDefault="00A456B5" w:rsidP="00EB3D1A">
            <w:pPr>
              <w:ind w:firstLineChars="200" w:firstLine="420"/>
              <w:rPr>
                <w:rFonts w:ascii="仿宋_GB2312" w:eastAsia="仿宋_GB2312" w:hAnsi="黑体"/>
                <w:szCs w:val="24"/>
              </w:rPr>
            </w:pPr>
            <w:r w:rsidRPr="00AC3BAF">
              <w:rPr>
                <w:rFonts w:ascii="仿宋_GB2312" w:eastAsia="仿宋_GB2312" w:hAnsi="黑体" w:hint="eastAsia"/>
                <w:szCs w:val="24"/>
              </w:rPr>
              <w:t>采用多主体中标方式的，交易系统将各有效应价申报按照价格从优到劣排序，并汇总应价申报累计数量。应价申报累计数量未达到最低成交总量的，所有应价申报均不能成交。应价申报累计数量不低于最低成交总量但未达到竞买总量的，应价申报的最低价格为边际价格，全部应价申报均按照其申报数量成交。应价申报累计数量达到竞买总量的，以达到竞买总量的价格为边际价格。价格优于边际价格的应价申报全部成交，成交数量为相关应价申报数量。价格等于边际价格的应价申报部分或者全部成交，成交数量以各应价申报数量为权重按照舍去法进行边际中标量的初次分配；初次分配完成后，若有剩余尾量，则遵循时间优先原则进行尾量分配。</w:t>
            </w:r>
          </w:p>
        </w:tc>
        <w:tc>
          <w:tcPr>
            <w:tcW w:w="3260" w:type="dxa"/>
            <w:vMerge/>
          </w:tcPr>
          <w:p w:rsidR="00A456B5" w:rsidRDefault="00A456B5" w:rsidP="00EB3D1A">
            <w:pPr>
              <w:ind w:firstLineChars="200" w:firstLine="420"/>
              <w:rPr>
                <w:rFonts w:ascii="仿宋_GB2312" w:eastAsia="仿宋_GB2312" w:hAnsi="黑体"/>
                <w:szCs w:val="24"/>
              </w:rPr>
            </w:pPr>
          </w:p>
        </w:tc>
      </w:tr>
      <w:tr w:rsidR="00A456B5" w:rsidRPr="006642D3" w:rsidTr="00840A0A">
        <w:tc>
          <w:tcPr>
            <w:tcW w:w="718" w:type="dxa"/>
            <w:vMerge/>
          </w:tcPr>
          <w:p w:rsidR="00A456B5" w:rsidRDefault="00A456B5" w:rsidP="00EB3D1A">
            <w:pPr>
              <w:jc w:val="center"/>
              <w:rPr>
                <w:rFonts w:ascii="仿宋_GB2312" w:eastAsia="仿宋_GB2312" w:hAnsi="黑体"/>
                <w:szCs w:val="24"/>
              </w:rPr>
            </w:pPr>
          </w:p>
        </w:tc>
        <w:tc>
          <w:tcPr>
            <w:tcW w:w="1721" w:type="dxa"/>
            <w:vMerge/>
          </w:tcPr>
          <w:p w:rsidR="00A456B5" w:rsidRPr="00952736" w:rsidRDefault="00A456B5" w:rsidP="00EB3D1A">
            <w:pPr>
              <w:ind w:firstLineChars="200" w:firstLine="420"/>
              <w:rPr>
                <w:rFonts w:ascii="仿宋_GB2312" w:eastAsia="仿宋_GB2312" w:hAnsi="黑体"/>
                <w:szCs w:val="24"/>
              </w:rPr>
            </w:pPr>
          </w:p>
        </w:tc>
        <w:tc>
          <w:tcPr>
            <w:tcW w:w="8222" w:type="dxa"/>
          </w:tcPr>
          <w:p w:rsidR="00A456B5" w:rsidRPr="00952736" w:rsidRDefault="00A456B5" w:rsidP="00EB3D1A">
            <w:pPr>
              <w:rPr>
                <w:rFonts w:ascii="仿宋_GB2312" w:eastAsia="仿宋_GB2312" w:hAnsi="黑体"/>
                <w:szCs w:val="24"/>
              </w:rPr>
            </w:pPr>
            <w:r w:rsidRPr="00952736">
              <w:rPr>
                <w:rFonts w:ascii="仿宋_GB2312" w:eastAsia="仿宋_GB2312" w:hAnsi="黑体" w:hint="eastAsia"/>
                <w:szCs w:val="24"/>
              </w:rPr>
              <w:t xml:space="preserve">第九十六条 </w:t>
            </w:r>
            <w:r>
              <w:rPr>
                <w:rFonts w:ascii="仿宋_GB2312" w:eastAsia="仿宋_GB2312" w:hAnsi="黑体" w:hint="eastAsia"/>
                <w:szCs w:val="24"/>
              </w:rPr>
              <w:t xml:space="preserve"> </w:t>
            </w:r>
            <w:r w:rsidRPr="00952736">
              <w:rPr>
                <w:rFonts w:ascii="仿宋_GB2312" w:eastAsia="仿宋_GB2312" w:hAnsi="黑体" w:hint="eastAsia"/>
                <w:szCs w:val="24"/>
              </w:rPr>
              <w:t>竞买完成后，本所及时发布竞买结果信息。</w:t>
            </w:r>
          </w:p>
          <w:p w:rsidR="00A456B5" w:rsidRPr="00952736" w:rsidRDefault="00A456B5" w:rsidP="00EB3D1A">
            <w:pPr>
              <w:ind w:firstLineChars="200" w:firstLine="420"/>
              <w:rPr>
                <w:rFonts w:ascii="仿宋_GB2312" w:eastAsia="仿宋_GB2312" w:hAnsi="黑体"/>
                <w:szCs w:val="24"/>
              </w:rPr>
            </w:pPr>
            <w:r w:rsidRPr="00952736">
              <w:rPr>
                <w:rFonts w:ascii="仿宋_GB2312" w:eastAsia="仿宋_GB2312" w:hAnsi="黑体" w:hint="eastAsia"/>
                <w:szCs w:val="24"/>
              </w:rPr>
              <w:t>采用单一主体中标方式的，发布中标量、中标价格等信息。</w:t>
            </w:r>
          </w:p>
          <w:p w:rsidR="00A456B5" w:rsidRPr="00952736" w:rsidRDefault="00A456B5" w:rsidP="00EB3D1A">
            <w:pPr>
              <w:ind w:firstLineChars="200" w:firstLine="420"/>
              <w:rPr>
                <w:rFonts w:ascii="仿宋_GB2312" w:eastAsia="仿宋_GB2312" w:hAnsi="黑体"/>
                <w:szCs w:val="24"/>
              </w:rPr>
            </w:pPr>
            <w:r w:rsidRPr="00952736">
              <w:rPr>
                <w:rFonts w:ascii="仿宋_GB2312" w:eastAsia="仿宋_GB2312" w:hAnsi="黑体" w:hint="eastAsia"/>
                <w:szCs w:val="24"/>
              </w:rPr>
              <w:t>采用多主体中标方式的，发布中标量、边际价格等信息。</w:t>
            </w:r>
          </w:p>
        </w:tc>
        <w:tc>
          <w:tcPr>
            <w:tcW w:w="3260" w:type="dxa"/>
            <w:vMerge/>
          </w:tcPr>
          <w:p w:rsidR="00A456B5" w:rsidRDefault="00A456B5" w:rsidP="00EB3D1A">
            <w:pPr>
              <w:ind w:firstLineChars="200" w:firstLine="420"/>
              <w:rPr>
                <w:rFonts w:ascii="仿宋_GB2312" w:eastAsia="仿宋_GB2312" w:hAnsi="黑体"/>
                <w:szCs w:val="24"/>
              </w:rPr>
            </w:pPr>
          </w:p>
        </w:tc>
      </w:tr>
      <w:tr w:rsidR="00A456B5" w:rsidRPr="006642D3" w:rsidTr="00840A0A">
        <w:tc>
          <w:tcPr>
            <w:tcW w:w="718" w:type="dxa"/>
            <w:vMerge/>
          </w:tcPr>
          <w:p w:rsidR="00A456B5" w:rsidRDefault="00A456B5" w:rsidP="00EB3D1A">
            <w:pPr>
              <w:jc w:val="center"/>
              <w:rPr>
                <w:rFonts w:ascii="仿宋_GB2312" w:eastAsia="仿宋_GB2312" w:hAnsi="黑体"/>
                <w:szCs w:val="24"/>
              </w:rPr>
            </w:pPr>
          </w:p>
        </w:tc>
        <w:tc>
          <w:tcPr>
            <w:tcW w:w="1721" w:type="dxa"/>
            <w:vMerge/>
          </w:tcPr>
          <w:p w:rsidR="00A456B5" w:rsidRPr="002178C4" w:rsidRDefault="00A456B5" w:rsidP="00EB3D1A">
            <w:pPr>
              <w:ind w:firstLineChars="200" w:firstLine="420"/>
              <w:rPr>
                <w:rFonts w:ascii="仿宋_GB2312" w:eastAsia="仿宋_GB2312" w:hAnsi="黑体"/>
                <w:szCs w:val="24"/>
              </w:rPr>
            </w:pPr>
          </w:p>
        </w:tc>
        <w:tc>
          <w:tcPr>
            <w:tcW w:w="8222" w:type="dxa"/>
          </w:tcPr>
          <w:p w:rsidR="00A456B5" w:rsidRPr="00952736" w:rsidRDefault="00A456B5" w:rsidP="00EB3D1A">
            <w:pPr>
              <w:rPr>
                <w:rFonts w:ascii="仿宋_GB2312" w:eastAsia="仿宋_GB2312" w:hAnsi="黑体"/>
                <w:szCs w:val="24"/>
              </w:rPr>
            </w:pPr>
            <w:r w:rsidRPr="00952736">
              <w:rPr>
                <w:rFonts w:ascii="仿宋_GB2312" w:eastAsia="仿宋_GB2312" w:hAnsi="黑体" w:hint="eastAsia"/>
                <w:szCs w:val="24"/>
              </w:rPr>
              <w:t xml:space="preserve">第九十七条 </w:t>
            </w:r>
            <w:r>
              <w:rPr>
                <w:rFonts w:ascii="仿宋_GB2312" w:eastAsia="仿宋_GB2312" w:hAnsi="黑体" w:hint="eastAsia"/>
                <w:szCs w:val="24"/>
              </w:rPr>
              <w:t xml:space="preserve"> </w:t>
            </w:r>
            <w:r w:rsidRPr="00952736">
              <w:rPr>
                <w:rFonts w:ascii="仿宋_GB2312" w:eastAsia="仿宋_GB2312" w:hAnsi="黑体" w:hint="eastAsia"/>
                <w:szCs w:val="24"/>
              </w:rPr>
              <w:t>在应价方提交有效的应价申报前，卖方申请并经本所认可后，可以撤销竞买发起申报。</w:t>
            </w:r>
          </w:p>
          <w:p w:rsidR="00A456B5" w:rsidRPr="002178C4" w:rsidRDefault="00A456B5" w:rsidP="00EB3D1A">
            <w:pPr>
              <w:ind w:firstLineChars="200" w:firstLine="420"/>
              <w:rPr>
                <w:rFonts w:ascii="仿宋_GB2312" w:eastAsia="仿宋_GB2312" w:hAnsi="黑体"/>
                <w:szCs w:val="24"/>
              </w:rPr>
            </w:pPr>
            <w:r w:rsidRPr="00952736">
              <w:rPr>
                <w:rFonts w:ascii="仿宋_GB2312" w:eastAsia="仿宋_GB2312" w:hAnsi="黑体" w:hint="eastAsia"/>
                <w:szCs w:val="24"/>
              </w:rPr>
              <w:t>采用单一主体中标方式的，应价申报不可撤销。采用多主体中标方式的，应价申报</w:t>
            </w:r>
            <w:r w:rsidRPr="00952736">
              <w:rPr>
                <w:rFonts w:ascii="仿宋_GB2312" w:eastAsia="仿宋_GB2312" w:hAnsi="黑体" w:hint="eastAsia"/>
                <w:szCs w:val="24"/>
              </w:rPr>
              <w:lastRenderedPageBreak/>
              <w:t>可以在应价申报时间截止前撤销。</w:t>
            </w:r>
          </w:p>
        </w:tc>
        <w:tc>
          <w:tcPr>
            <w:tcW w:w="3260" w:type="dxa"/>
            <w:vMerge/>
          </w:tcPr>
          <w:p w:rsidR="00A456B5" w:rsidRDefault="00A456B5" w:rsidP="00EB3D1A">
            <w:pPr>
              <w:ind w:firstLineChars="200" w:firstLine="420"/>
              <w:rPr>
                <w:rFonts w:ascii="仿宋_GB2312" w:eastAsia="仿宋_GB2312" w:hAnsi="黑体"/>
                <w:szCs w:val="24"/>
              </w:rPr>
            </w:pPr>
          </w:p>
        </w:tc>
      </w:tr>
      <w:tr w:rsidR="00A456B5" w:rsidRPr="006642D3" w:rsidTr="00840A0A">
        <w:tc>
          <w:tcPr>
            <w:tcW w:w="718" w:type="dxa"/>
            <w:vMerge w:val="restart"/>
          </w:tcPr>
          <w:p w:rsidR="00A456B5" w:rsidRPr="006642D3" w:rsidRDefault="00E30F48" w:rsidP="00EB3D1A">
            <w:pPr>
              <w:jc w:val="center"/>
              <w:rPr>
                <w:rFonts w:ascii="仿宋_GB2312" w:eastAsia="仿宋_GB2312" w:hAnsi="黑体"/>
                <w:szCs w:val="24"/>
              </w:rPr>
            </w:pPr>
            <w:r>
              <w:rPr>
                <w:rFonts w:ascii="仿宋_GB2312" w:eastAsia="仿宋_GB2312" w:hAnsi="黑体"/>
                <w:szCs w:val="24"/>
              </w:rPr>
              <w:lastRenderedPageBreak/>
              <w:t>7</w:t>
            </w:r>
          </w:p>
          <w:p w:rsidR="00A456B5" w:rsidRPr="006642D3" w:rsidRDefault="00A456B5" w:rsidP="00EB3D1A">
            <w:pPr>
              <w:jc w:val="center"/>
              <w:rPr>
                <w:rFonts w:ascii="仿宋_GB2312" w:eastAsia="仿宋_GB2312" w:hAnsi="黑体"/>
                <w:szCs w:val="24"/>
              </w:rPr>
            </w:pPr>
          </w:p>
        </w:tc>
        <w:tc>
          <w:tcPr>
            <w:tcW w:w="1721" w:type="dxa"/>
            <w:vMerge w:val="restart"/>
          </w:tcPr>
          <w:p w:rsidR="00A456B5" w:rsidRPr="002178C4" w:rsidRDefault="00A456B5" w:rsidP="00A456B5">
            <w:pPr>
              <w:rPr>
                <w:rFonts w:ascii="仿宋_GB2312" w:eastAsia="仿宋_GB2312" w:hAnsi="黑体"/>
                <w:szCs w:val="24"/>
              </w:rPr>
            </w:pPr>
            <w:r>
              <w:rPr>
                <w:rFonts w:ascii="仿宋_GB2312" w:eastAsia="仿宋_GB2312" w:hAnsi="黑体"/>
                <w:szCs w:val="24"/>
              </w:rPr>
              <w:t>发布</w:t>
            </w:r>
            <w:r w:rsidR="0026593F" w:rsidRPr="002178C4">
              <w:rPr>
                <w:rFonts w:ascii="仿宋_GB2312" w:eastAsia="仿宋_GB2312" w:hAnsi="黑体" w:hint="eastAsia"/>
                <w:szCs w:val="24"/>
              </w:rPr>
              <w:t>债券现券</w:t>
            </w:r>
            <w:r w:rsidRPr="002178C4">
              <w:rPr>
                <w:rFonts w:ascii="仿宋_GB2312" w:eastAsia="仿宋_GB2312" w:hAnsi="黑体" w:hint="eastAsia"/>
                <w:szCs w:val="24"/>
              </w:rPr>
              <w:t>匹配成交大额</w:t>
            </w:r>
            <w:r w:rsidR="0026593F">
              <w:rPr>
                <w:rFonts w:ascii="仿宋_GB2312" w:eastAsia="仿宋_GB2312" w:hAnsi="黑体" w:hint="eastAsia"/>
                <w:szCs w:val="24"/>
              </w:rPr>
              <w:t>逐笔</w:t>
            </w:r>
            <w:r w:rsidRPr="002178C4">
              <w:rPr>
                <w:rFonts w:ascii="仿宋_GB2312" w:eastAsia="仿宋_GB2312" w:hAnsi="黑体" w:hint="eastAsia"/>
                <w:szCs w:val="24"/>
              </w:rPr>
              <w:t>买卖申报</w:t>
            </w:r>
            <w:r>
              <w:rPr>
                <w:rFonts w:ascii="仿宋_GB2312" w:eastAsia="仿宋_GB2312" w:hAnsi="黑体" w:hint="eastAsia"/>
                <w:szCs w:val="24"/>
              </w:rPr>
              <w:t>信息</w:t>
            </w:r>
            <w:r w:rsidR="0026593F">
              <w:rPr>
                <w:rFonts w:ascii="仿宋_GB2312" w:eastAsia="仿宋_GB2312" w:hAnsi="黑体" w:hint="eastAsia"/>
                <w:szCs w:val="24"/>
              </w:rPr>
              <w:t>与</w:t>
            </w:r>
            <w:r w:rsidRPr="002178C4">
              <w:rPr>
                <w:rFonts w:ascii="仿宋_GB2312" w:eastAsia="仿宋_GB2312" w:hAnsi="黑体" w:hint="eastAsia"/>
                <w:szCs w:val="24"/>
              </w:rPr>
              <w:t>大额逐笔成交行情</w:t>
            </w:r>
            <w:r w:rsidR="00F72362">
              <w:rPr>
                <w:rFonts w:ascii="仿宋_GB2312" w:eastAsia="仿宋_GB2312" w:hAnsi="黑体" w:hint="eastAsia"/>
                <w:szCs w:val="24"/>
              </w:rPr>
              <w:t>等</w:t>
            </w:r>
          </w:p>
          <w:p w:rsidR="00A456B5" w:rsidRPr="002178C4" w:rsidRDefault="00A456B5" w:rsidP="00A456B5">
            <w:pPr>
              <w:rPr>
                <w:rFonts w:ascii="仿宋_GB2312" w:eastAsia="仿宋_GB2312" w:hAnsi="黑体"/>
                <w:szCs w:val="24"/>
              </w:rPr>
            </w:pPr>
          </w:p>
        </w:tc>
        <w:tc>
          <w:tcPr>
            <w:tcW w:w="8222" w:type="dxa"/>
          </w:tcPr>
          <w:p w:rsidR="00A456B5" w:rsidRPr="002178C4" w:rsidRDefault="00A456B5" w:rsidP="00EB3D1A">
            <w:pPr>
              <w:rPr>
                <w:rFonts w:ascii="仿宋_GB2312" w:eastAsia="仿宋_GB2312" w:hAnsi="黑体"/>
                <w:szCs w:val="24"/>
              </w:rPr>
            </w:pPr>
            <w:r w:rsidRPr="002178C4">
              <w:rPr>
                <w:rFonts w:ascii="仿宋_GB2312" w:eastAsia="仿宋_GB2312" w:hAnsi="黑体" w:hint="eastAsia"/>
                <w:szCs w:val="24"/>
              </w:rPr>
              <w:t xml:space="preserve">第一百一十六条 </w:t>
            </w:r>
            <w:r>
              <w:rPr>
                <w:rFonts w:ascii="仿宋_GB2312" w:eastAsia="仿宋_GB2312" w:hAnsi="黑体" w:hint="eastAsia"/>
                <w:szCs w:val="24"/>
              </w:rPr>
              <w:t xml:space="preserve"> </w:t>
            </w:r>
            <w:r w:rsidRPr="002178C4">
              <w:rPr>
                <w:rFonts w:ascii="仿宋_GB2312" w:eastAsia="仿宋_GB2312" w:hAnsi="黑体" w:hint="eastAsia"/>
                <w:szCs w:val="24"/>
              </w:rPr>
              <w:t>本所向市场实时发布债券交易申报信息。</w:t>
            </w:r>
          </w:p>
          <w:p w:rsidR="00A456B5" w:rsidRPr="002178C4" w:rsidRDefault="00A456B5" w:rsidP="00EB3D1A">
            <w:pPr>
              <w:ind w:firstLineChars="200" w:firstLine="420"/>
              <w:rPr>
                <w:rFonts w:ascii="仿宋_GB2312" w:eastAsia="仿宋_GB2312" w:hAnsi="黑体"/>
                <w:szCs w:val="24"/>
              </w:rPr>
            </w:pPr>
            <w:r w:rsidRPr="002178C4">
              <w:rPr>
                <w:rFonts w:ascii="仿宋_GB2312" w:eastAsia="仿宋_GB2312" w:hAnsi="黑体" w:hint="eastAsia"/>
                <w:szCs w:val="24"/>
              </w:rPr>
              <w:t>本所在集合匹配阶段发布参考价格、虚拟匹配量、虚拟未匹配量等信息，在连续匹配阶段发布最优五档买卖申报时间、价格、数量等信息。</w:t>
            </w:r>
          </w:p>
          <w:p w:rsidR="00A456B5" w:rsidRPr="002178C4" w:rsidRDefault="00A456B5" w:rsidP="00EB3D1A">
            <w:pPr>
              <w:ind w:firstLineChars="200" w:firstLine="420"/>
              <w:rPr>
                <w:rFonts w:ascii="仿宋_GB2312" w:eastAsia="仿宋_GB2312" w:hAnsi="黑体"/>
                <w:szCs w:val="24"/>
              </w:rPr>
            </w:pPr>
            <w:r w:rsidRPr="002178C4">
              <w:rPr>
                <w:rFonts w:ascii="仿宋_GB2312" w:eastAsia="仿宋_GB2312" w:hAnsi="黑体" w:hint="eastAsia"/>
                <w:szCs w:val="24"/>
              </w:rPr>
              <w:t>除本所另有规定外，本所逐笔发布</w:t>
            </w:r>
            <w:r w:rsidR="00224A17">
              <w:rPr>
                <w:rFonts w:ascii="仿宋_GB2312" w:eastAsia="仿宋_GB2312" w:hAnsi="黑体" w:hint="eastAsia"/>
                <w:szCs w:val="24"/>
              </w:rPr>
              <w:t>债券</w:t>
            </w:r>
            <w:r>
              <w:rPr>
                <w:rFonts w:ascii="仿宋_GB2312" w:eastAsia="仿宋_GB2312" w:hAnsi="黑体" w:hint="eastAsia"/>
                <w:szCs w:val="24"/>
              </w:rPr>
              <w:t>投资者</w:t>
            </w:r>
            <w:r w:rsidRPr="002178C4">
              <w:rPr>
                <w:rFonts w:ascii="仿宋_GB2312" w:eastAsia="仿宋_GB2312" w:hAnsi="黑体" w:hint="eastAsia"/>
                <w:szCs w:val="24"/>
              </w:rPr>
              <w:t>向全市场发送的以下信息：</w:t>
            </w:r>
          </w:p>
          <w:p w:rsidR="00A456B5" w:rsidRPr="002178C4" w:rsidRDefault="00A456B5" w:rsidP="00EB3D1A">
            <w:pPr>
              <w:ind w:firstLineChars="150" w:firstLine="315"/>
              <w:rPr>
                <w:rFonts w:ascii="仿宋_GB2312" w:eastAsia="仿宋_GB2312" w:hAnsi="黑体"/>
                <w:szCs w:val="24"/>
              </w:rPr>
            </w:pPr>
            <w:r w:rsidRPr="002178C4">
              <w:rPr>
                <w:rFonts w:ascii="仿宋_GB2312" w:eastAsia="仿宋_GB2312" w:hAnsi="黑体" w:hint="eastAsia"/>
                <w:szCs w:val="24"/>
              </w:rPr>
              <w:t>（一）匹配成交债券现券大额买卖申报时间、价格、数量等信息；</w:t>
            </w:r>
          </w:p>
          <w:p w:rsidR="00A456B5" w:rsidRPr="002178C4" w:rsidRDefault="00A456B5" w:rsidP="00EB3D1A">
            <w:pPr>
              <w:ind w:firstLineChars="150" w:firstLine="315"/>
              <w:rPr>
                <w:rFonts w:ascii="仿宋_GB2312" w:eastAsia="仿宋_GB2312" w:hAnsi="黑体"/>
                <w:szCs w:val="24"/>
              </w:rPr>
            </w:pPr>
            <w:r w:rsidRPr="002178C4">
              <w:rPr>
                <w:rFonts w:ascii="仿宋_GB2312" w:eastAsia="仿宋_GB2312" w:hAnsi="黑体" w:hint="eastAsia"/>
                <w:szCs w:val="24"/>
              </w:rPr>
              <w:t>（二）点击成交报价方报价时间、数量、价格等信息；</w:t>
            </w:r>
          </w:p>
          <w:p w:rsidR="00A456B5" w:rsidRPr="002178C4" w:rsidRDefault="00A456B5" w:rsidP="00EB3D1A">
            <w:pPr>
              <w:ind w:firstLineChars="150" w:firstLine="315"/>
              <w:rPr>
                <w:rFonts w:ascii="仿宋_GB2312" w:eastAsia="仿宋_GB2312" w:hAnsi="黑体"/>
                <w:szCs w:val="24"/>
              </w:rPr>
            </w:pPr>
            <w:r w:rsidRPr="002178C4">
              <w:rPr>
                <w:rFonts w:ascii="仿宋_GB2312" w:eastAsia="仿宋_GB2312" w:hAnsi="黑体" w:hint="eastAsia"/>
                <w:szCs w:val="24"/>
              </w:rPr>
              <w:t>（三）意向申报时间、数量与价格（如有）等信息；</w:t>
            </w:r>
          </w:p>
          <w:p w:rsidR="00A456B5" w:rsidRPr="002178C4" w:rsidRDefault="00A456B5" w:rsidP="00EB3D1A">
            <w:pPr>
              <w:ind w:firstLineChars="150" w:firstLine="315"/>
              <w:rPr>
                <w:rFonts w:ascii="仿宋_GB2312" w:eastAsia="仿宋_GB2312" w:hAnsi="黑体"/>
                <w:szCs w:val="24"/>
              </w:rPr>
            </w:pPr>
            <w:r w:rsidRPr="002178C4">
              <w:rPr>
                <w:rFonts w:ascii="仿宋_GB2312" w:eastAsia="仿宋_GB2312" w:hAnsi="黑体" w:hint="eastAsia"/>
                <w:szCs w:val="24"/>
              </w:rPr>
              <w:t>（四）竞买成交竞买发起申报时间、竞买方式、数量、价格区间，以及单一主体中标方式的应价申报时间、价格等信息。</w:t>
            </w:r>
          </w:p>
        </w:tc>
        <w:tc>
          <w:tcPr>
            <w:tcW w:w="3260" w:type="dxa"/>
          </w:tcPr>
          <w:p w:rsidR="00A456B5" w:rsidRDefault="00A456B5" w:rsidP="00EB3D1A">
            <w:pPr>
              <w:ind w:firstLineChars="200" w:firstLine="420"/>
              <w:rPr>
                <w:rFonts w:ascii="仿宋_GB2312" w:eastAsia="仿宋_GB2312" w:hAnsi="黑体"/>
                <w:szCs w:val="24"/>
              </w:rPr>
            </w:pPr>
            <w:r>
              <w:rPr>
                <w:rFonts w:ascii="仿宋_GB2312" w:eastAsia="仿宋_GB2312" w:hAnsi="黑体" w:hint="eastAsia"/>
                <w:szCs w:val="24"/>
              </w:rPr>
              <w:t>本条第三款第（一）项“</w:t>
            </w:r>
            <w:r w:rsidRPr="002178C4">
              <w:rPr>
                <w:rFonts w:ascii="仿宋_GB2312" w:eastAsia="仿宋_GB2312" w:hAnsi="黑体" w:hint="eastAsia"/>
                <w:szCs w:val="24"/>
              </w:rPr>
              <w:t>本所逐笔发布</w:t>
            </w:r>
            <w:r w:rsidR="00876AB1">
              <w:rPr>
                <w:rFonts w:ascii="仿宋_GB2312" w:eastAsia="仿宋_GB2312" w:hAnsi="黑体" w:hint="eastAsia"/>
                <w:szCs w:val="24"/>
              </w:rPr>
              <w:t>债券</w:t>
            </w:r>
            <w:r>
              <w:rPr>
                <w:rFonts w:ascii="仿宋_GB2312" w:eastAsia="仿宋_GB2312" w:hAnsi="黑体" w:hint="eastAsia"/>
                <w:szCs w:val="24"/>
              </w:rPr>
              <w:t>投资者</w:t>
            </w:r>
            <w:r w:rsidRPr="002178C4">
              <w:rPr>
                <w:rFonts w:ascii="仿宋_GB2312" w:eastAsia="仿宋_GB2312" w:hAnsi="黑体" w:hint="eastAsia"/>
                <w:szCs w:val="24"/>
              </w:rPr>
              <w:t>向全市场发送的匹配成交债券现券大额买卖申报时间、价格、数量等信息</w:t>
            </w:r>
            <w:r>
              <w:rPr>
                <w:rFonts w:ascii="仿宋_GB2312" w:eastAsia="仿宋_GB2312" w:hAnsi="黑体"/>
                <w:szCs w:val="24"/>
              </w:rPr>
              <w:t>”</w:t>
            </w:r>
            <w:r>
              <w:rPr>
                <w:rFonts w:ascii="仿宋_GB2312" w:eastAsia="仿宋_GB2312" w:hAnsi="黑体" w:hint="eastAsia"/>
                <w:szCs w:val="24"/>
              </w:rPr>
              <w:t>的实施时间另行通知。</w:t>
            </w:r>
          </w:p>
        </w:tc>
      </w:tr>
      <w:tr w:rsidR="00A456B5" w:rsidRPr="006642D3" w:rsidTr="00840A0A">
        <w:tc>
          <w:tcPr>
            <w:tcW w:w="718" w:type="dxa"/>
            <w:vMerge/>
          </w:tcPr>
          <w:p w:rsidR="00A456B5" w:rsidRPr="006642D3" w:rsidRDefault="00A456B5" w:rsidP="00EB3D1A">
            <w:pPr>
              <w:jc w:val="center"/>
              <w:rPr>
                <w:rFonts w:ascii="仿宋_GB2312" w:eastAsia="仿宋_GB2312" w:hAnsi="黑体"/>
                <w:szCs w:val="24"/>
              </w:rPr>
            </w:pPr>
          </w:p>
        </w:tc>
        <w:tc>
          <w:tcPr>
            <w:tcW w:w="1721" w:type="dxa"/>
            <w:vMerge/>
          </w:tcPr>
          <w:p w:rsidR="00A456B5" w:rsidRPr="00CC48E6" w:rsidRDefault="00A456B5" w:rsidP="00A456B5">
            <w:pPr>
              <w:rPr>
                <w:rFonts w:ascii="仿宋_GB2312" w:eastAsia="仿宋_GB2312" w:hAnsi="黑体"/>
                <w:szCs w:val="24"/>
              </w:rPr>
            </w:pPr>
          </w:p>
        </w:tc>
        <w:tc>
          <w:tcPr>
            <w:tcW w:w="8222" w:type="dxa"/>
          </w:tcPr>
          <w:p w:rsidR="00A456B5" w:rsidRPr="007A764B" w:rsidRDefault="00A456B5" w:rsidP="00EB3D1A">
            <w:pPr>
              <w:rPr>
                <w:rFonts w:ascii="仿宋_GB2312" w:eastAsia="仿宋_GB2312" w:hAnsi="黑体"/>
                <w:szCs w:val="24"/>
              </w:rPr>
            </w:pPr>
            <w:r w:rsidRPr="007A764B">
              <w:rPr>
                <w:rFonts w:ascii="仿宋_GB2312" w:eastAsia="仿宋_GB2312" w:hAnsi="黑体" w:hint="eastAsia"/>
                <w:szCs w:val="24"/>
              </w:rPr>
              <w:t>第一百一十七条  除本所另有规定外，本所实时发布以下成交行情：</w:t>
            </w:r>
          </w:p>
          <w:p w:rsidR="00A456B5" w:rsidRPr="007A764B" w:rsidRDefault="00A456B5" w:rsidP="00EB3D1A">
            <w:pPr>
              <w:ind w:firstLineChars="150" w:firstLine="315"/>
              <w:rPr>
                <w:rFonts w:ascii="仿宋_GB2312" w:eastAsia="仿宋_GB2312" w:hAnsi="黑体"/>
                <w:szCs w:val="24"/>
              </w:rPr>
            </w:pPr>
            <w:r w:rsidRPr="007A764B">
              <w:rPr>
                <w:rFonts w:ascii="仿宋_GB2312" w:eastAsia="仿宋_GB2312" w:hAnsi="黑体" w:hint="eastAsia"/>
                <w:szCs w:val="24"/>
              </w:rPr>
              <w:t>（一）债券即时成交行情；</w:t>
            </w:r>
          </w:p>
          <w:p w:rsidR="00A456B5" w:rsidRPr="007A764B" w:rsidRDefault="00A456B5" w:rsidP="00EB3D1A">
            <w:pPr>
              <w:ind w:firstLineChars="150" w:firstLine="315"/>
              <w:rPr>
                <w:rFonts w:ascii="仿宋_GB2312" w:eastAsia="仿宋_GB2312" w:hAnsi="黑体"/>
                <w:szCs w:val="24"/>
              </w:rPr>
            </w:pPr>
            <w:r w:rsidRPr="007A764B">
              <w:rPr>
                <w:rFonts w:ascii="仿宋_GB2312" w:eastAsia="仿宋_GB2312" w:hAnsi="黑体" w:hint="eastAsia"/>
                <w:szCs w:val="24"/>
              </w:rPr>
              <w:t>（二）点击成交、询价成交、竞买成交、协商成交的逐笔成交行情；</w:t>
            </w:r>
          </w:p>
          <w:p w:rsidR="00A456B5" w:rsidRPr="007A764B" w:rsidRDefault="00A456B5" w:rsidP="00EB3D1A">
            <w:pPr>
              <w:ind w:firstLineChars="150" w:firstLine="315"/>
              <w:rPr>
                <w:rFonts w:ascii="仿宋_GB2312" w:eastAsia="仿宋_GB2312" w:hAnsi="黑体"/>
                <w:szCs w:val="24"/>
              </w:rPr>
            </w:pPr>
            <w:r w:rsidRPr="007A764B">
              <w:rPr>
                <w:rFonts w:ascii="仿宋_GB2312" w:eastAsia="仿宋_GB2312" w:hAnsi="黑体" w:hint="eastAsia"/>
                <w:szCs w:val="24"/>
              </w:rPr>
              <w:t>（三）债券现券匹配成交大额逐笔成交行情。</w:t>
            </w:r>
          </w:p>
          <w:p w:rsidR="00A456B5" w:rsidRPr="007A764B" w:rsidRDefault="00A456B5" w:rsidP="00EB3D1A">
            <w:pPr>
              <w:ind w:firstLineChars="200" w:firstLine="420"/>
              <w:rPr>
                <w:rFonts w:ascii="仿宋_GB2312" w:eastAsia="仿宋_GB2312" w:hAnsi="黑体"/>
                <w:szCs w:val="24"/>
              </w:rPr>
            </w:pPr>
            <w:r w:rsidRPr="007A764B">
              <w:rPr>
                <w:rFonts w:ascii="仿宋_GB2312" w:eastAsia="仿宋_GB2312" w:hAnsi="黑体" w:hint="eastAsia"/>
                <w:szCs w:val="24"/>
              </w:rPr>
              <w:t>债券即时成交行情包括前收盘价、开盘价、当日最新成交价格、匹配成交的最新成交价格、当日最高成交价格、当日最低成交价格、当日加权平均价格、当日累计成交数量、匹配成交的累计成交数量、当日累计成交金额等。</w:t>
            </w:r>
          </w:p>
          <w:p w:rsidR="00A456B5" w:rsidRPr="007A764B" w:rsidRDefault="00A456B5" w:rsidP="00EB3D1A">
            <w:pPr>
              <w:ind w:firstLineChars="200" w:firstLine="420"/>
              <w:rPr>
                <w:rFonts w:ascii="仿宋_GB2312" w:eastAsia="仿宋_GB2312" w:hAnsi="黑体"/>
                <w:szCs w:val="24"/>
              </w:rPr>
            </w:pPr>
            <w:r w:rsidRPr="007A764B">
              <w:rPr>
                <w:rFonts w:ascii="仿宋_GB2312" w:eastAsia="仿宋_GB2312" w:hAnsi="黑体" w:hint="eastAsia"/>
                <w:szCs w:val="24"/>
              </w:rPr>
              <w:t>债券逐笔成交行情包括交易方式、成交时间、成交价格等。</w:t>
            </w:r>
          </w:p>
        </w:tc>
        <w:tc>
          <w:tcPr>
            <w:tcW w:w="3260" w:type="dxa"/>
          </w:tcPr>
          <w:p w:rsidR="00FC226E" w:rsidRPr="00FC226E" w:rsidRDefault="00A456B5">
            <w:pPr>
              <w:ind w:firstLineChars="200" w:firstLine="420"/>
              <w:rPr>
                <w:rFonts w:ascii="仿宋_GB2312" w:eastAsia="仿宋_GB2312" w:hAnsi="黑体"/>
                <w:szCs w:val="24"/>
              </w:rPr>
            </w:pPr>
            <w:r w:rsidRPr="007A764B">
              <w:rPr>
                <w:rFonts w:ascii="仿宋_GB2312" w:eastAsia="仿宋_GB2312" w:hAnsi="黑体" w:hint="eastAsia"/>
                <w:szCs w:val="24"/>
              </w:rPr>
              <w:t>本条第一款第（三）项“本所</w:t>
            </w:r>
            <w:r w:rsidRPr="007A764B">
              <w:rPr>
                <w:rFonts w:ascii="仿宋_GB2312" w:eastAsia="仿宋_GB2312" w:hAnsi="黑体"/>
                <w:szCs w:val="24"/>
              </w:rPr>
              <w:t>实时</w:t>
            </w:r>
            <w:r w:rsidRPr="007A764B">
              <w:rPr>
                <w:rFonts w:ascii="仿宋_GB2312" w:eastAsia="仿宋_GB2312" w:hAnsi="黑体" w:hint="eastAsia"/>
                <w:szCs w:val="24"/>
              </w:rPr>
              <w:t>发布债券现券匹配成交大额逐笔成交行情”的实施时间另行通知。</w:t>
            </w:r>
          </w:p>
          <w:p w:rsidR="001F426D" w:rsidRDefault="00F72362">
            <w:pPr>
              <w:ind w:firstLineChars="200" w:firstLine="420"/>
              <w:rPr>
                <w:rFonts w:ascii="仿宋_GB2312" w:eastAsia="仿宋_GB2312" w:hAnsi="黑体"/>
                <w:szCs w:val="24"/>
              </w:rPr>
            </w:pPr>
            <w:r w:rsidRPr="007A764B">
              <w:rPr>
                <w:rFonts w:ascii="仿宋_GB2312" w:eastAsia="仿宋_GB2312" w:hAnsi="黑体" w:hint="eastAsia"/>
                <w:szCs w:val="24"/>
              </w:rPr>
              <w:t>本条</w:t>
            </w:r>
            <w:r w:rsidRPr="007A764B">
              <w:rPr>
                <w:rFonts w:ascii="仿宋_GB2312" w:eastAsia="仿宋_GB2312" w:hAnsi="黑体"/>
                <w:szCs w:val="24"/>
              </w:rPr>
              <w:t>第二款债券</w:t>
            </w:r>
            <w:r w:rsidRPr="007A764B">
              <w:rPr>
                <w:rFonts w:ascii="仿宋_GB2312" w:eastAsia="仿宋_GB2312" w:hAnsi="黑体" w:hint="eastAsia"/>
                <w:szCs w:val="24"/>
              </w:rPr>
              <w:t>即时</w:t>
            </w:r>
            <w:r w:rsidRPr="007A764B">
              <w:rPr>
                <w:rFonts w:ascii="仿宋_GB2312" w:eastAsia="仿宋_GB2312" w:hAnsi="黑体"/>
                <w:szCs w:val="24"/>
              </w:rPr>
              <w:t>成交行情</w:t>
            </w:r>
            <w:r w:rsidR="00FC226E">
              <w:rPr>
                <w:rFonts w:ascii="仿宋_GB2312" w:eastAsia="仿宋_GB2312" w:hAnsi="黑体" w:hint="eastAsia"/>
                <w:szCs w:val="24"/>
              </w:rPr>
              <w:t>相关</w:t>
            </w:r>
            <w:r w:rsidR="00FC226E">
              <w:rPr>
                <w:rFonts w:ascii="仿宋_GB2312" w:eastAsia="仿宋_GB2312" w:hAnsi="黑体"/>
                <w:szCs w:val="24"/>
              </w:rPr>
              <w:t>披露</w:t>
            </w:r>
            <w:r w:rsidR="00FD409F">
              <w:rPr>
                <w:rFonts w:ascii="仿宋_GB2312" w:eastAsia="仿宋_GB2312" w:hAnsi="黑体" w:hint="eastAsia"/>
                <w:szCs w:val="24"/>
              </w:rPr>
              <w:t>事项</w:t>
            </w:r>
            <w:r w:rsidR="00FC226E">
              <w:rPr>
                <w:rFonts w:ascii="仿宋_GB2312" w:eastAsia="仿宋_GB2312" w:hAnsi="黑体" w:hint="eastAsia"/>
                <w:szCs w:val="24"/>
              </w:rPr>
              <w:t>暂仅</w:t>
            </w:r>
            <w:r w:rsidR="00FC226E">
              <w:rPr>
                <w:rFonts w:ascii="仿宋_GB2312" w:eastAsia="仿宋_GB2312" w:hAnsi="黑体"/>
                <w:szCs w:val="24"/>
              </w:rPr>
              <w:t>采用匹配成交相关成交数据</w:t>
            </w:r>
            <w:r w:rsidR="00FC226E">
              <w:rPr>
                <w:rFonts w:ascii="仿宋_GB2312" w:eastAsia="仿宋_GB2312" w:hAnsi="黑体" w:hint="eastAsia"/>
                <w:szCs w:val="24"/>
              </w:rPr>
              <w:t>。</w:t>
            </w:r>
          </w:p>
        </w:tc>
      </w:tr>
      <w:tr w:rsidR="00EB3D1A" w:rsidRPr="004E46A7" w:rsidTr="00840A0A">
        <w:trPr>
          <w:trHeight w:val="2143"/>
        </w:trPr>
        <w:tc>
          <w:tcPr>
            <w:tcW w:w="718" w:type="dxa"/>
          </w:tcPr>
          <w:p w:rsidR="00EB3D1A" w:rsidRDefault="00E30F48" w:rsidP="00EB3D1A">
            <w:pPr>
              <w:jc w:val="center"/>
              <w:rPr>
                <w:rFonts w:ascii="仿宋_GB2312" w:eastAsia="仿宋_GB2312" w:hAnsi="黑体"/>
                <w:szCs w:val="24"/>
              </w:rPr>
            </w:pPr>
            <w:r>
              <w:rPr>
                <w:rFonts w:ascii="仿宋_GB2312" w:eastAsia="仿宋_GB2312" w:hAnsi="黑体"/>
                <w:szCs w:val="24"/>
              </w:rPr>
              <w:t>8</w:t>
            </w:r>
          </w:p>
        </w:tc>
        <w:tc>
          <w:tcPr>
            <w:tcW w:w="1721" w:type="dxa"/>
          </w:tcPr>
          <w:p w:rsidR="00EB3D1A" w:rsidRPr="000836E8" w:rsidRDefault="00F72362" w:rsidP="00F72362">
            <w:pPr>
              <w:rPr>
                <w:rFonts w:ascii="仿宋_GB2312" w:eastAsia="仿宋_GB2312" w:hAnsi="黑体"/>
                <w:szCs w:val="24"/>
              </w:rPr>
            </w:pPr>
            <w:r w:rsidRPr="000836E8">
              <w:rPr>
                <w:rFonts w:ascii="仿宋_GB2312" w:eastAsia="仿宋_GB2312" w:hAnsi="黑体" w:hint="eastAsia"/>
                <w:szCs w:val="24"/>
              </w:rPr>
              <w:t>开盘价和收盘价计算采用各类交易方式达成的成交数据</w:t>
            </w:r>
          </w:p>
        </w:tc>
        <w:tc>
          <w:tcPr>
            <w:tcW w:w="8222" w:type="dxa"/>
          </w:tcPr>
          <w:p w:rsidR="00EB3D1A" w:rsidRPr="007A764B" w:rsidRDefault="00EB3D1A" w:rsidP="00EB3D1A">
            <w:pPr>
              <w:rPr>
                <w:rFonts w:ascii="仿宋_GB2312" w:eastAsia="仿宋_GB2312" w:hAnsi="黑体"/>
                <w:szCs w:val="24"/>
              </w:rPr>
            </w:pPr>
            <w:r w:rsidRPr="007A764B">
              <w:rPr>
                <w:rFonts w:ascii="仿宋_GB2312" w:eastAsia="仿宋_GB2312" w:hAnsi="黑体" w:hint="eastAsia"/>
                <w:szCs w:val="24"/>
              </w:rPr>
              <w:t>第一百一十八条 本所发布债券现券交易和债券通用质押式回购交易的开盘价和收盘价。</w:t>
            </w:r>
          </w:p>
          <w:p w:rsidR="00EB3D1A" w:rsidRPr="007A764B" w:rsidRDefault="00EB3D1A" w:rsidP="00EB3D1A">
            <w:pPr>
              <w:ind w:firstLineChars="200" w:firstLine="420"/>
              <w:rPr>
                <w:rFonts w:ascii="仿宋_GB2312" w:eastAsia="仿宋_GB2312" w:hAnsi="黑体"/>
                <w:szCs w:val="24"/>
              </w:rPr>
            </w:pPr>
            <w:r w:rsidRPr="007A764B">
              <w:rPr>
                <w:rFonts w:ascii="仿宋_GB2312" w:eastAsia="仿宋_GB2312" w:hAnsi="黑体" w:hint="eastAsia"/>
                <w:szCs w:val="24"/>
              </w:rPr>
              <w:t>开盘价为当日第一笔成交价格。收盘价为当日15:30（含）前最后一笔交易（含）前一小时内的成交量加权平均价，15:30之后的成交数据不纳入收盘价计算。</w:t>
            </w:r>
          </w:p>
          <w:p w:rsidR="00EB3D1A" w:rsidRPr="007A764B" w:rsidRDefault="00EB3D1A" w:rsidP="00EB3D1A">
            <w:pPr>
              <w:ind w:firstLineChars="200" w:firstLine="420"/>
              <w:rPr>
                <w:rFonts w:ascii="仿宋_GB2312" w:eastAsia="仿宋_GB2312" w:hAnsi="黑体"/>
                <w:szCs w:val="24"/>
              </w:rPr>
            </w:pPr>
            <w:r w:rsidRPr="007A764B">
              <w:rPr>
                <w:rFonts w:ascii="仿宋_GB2312" w:eastAsia="仿宋_GB2312" w:hAnsi="黑体" w:hint="eastAsia"/>
                <w:szCs w:val="24"/>
              </w:rPr>
              <w:t>当日无成交的，以前收盘价为当日收盘价。开盘价和收盘价计算所采用的成交数据为各类交易方式达成的成交数据。本</w:t>
            </w:r>
            <w:r w:rsidR="00224A17">
              <w:rPr>
                <w:rFonts w:ascii="仿宋_GB2312" w:eastAsia="仿宋_GB2312" w:hAnsi="黑体" w:hint="eastAsia"/>
                <w:szCs w:val="24"/>
              </w:rPr>
              <w:t>所</w:t>
            </w:r>
            <w:r w:rsidRPr="007A764B">
              <w:rPr>
                <w:rFonts w:ascii="仿宋_GB2312" w:eastAsia="仿宋_GB2312" w:hAnsi="黑体" w:hint="eastAsia"/>
                <w:szCs w:val="24"/>
              </w:rPr>
              <w:t>另有规定的除外。</w:t>
            </w:r>
          </w:p>
          <w:p w:rsidR="00EB3D1A" w:rsidRPr="007A764B" w:rsidRDefault="00EB3D1A" w:rsidP="00EB3D1A">
            <w:pPr>
              <w:ind w:firstLineChars="200" w:firstLine="420"/>
              <w:rPr>
                <w:rFonts w:ascii="仿宋_GB2312" w:eastAsia="仿宋_GB2312" w:hAnsi="黑体"/>
                <w:szCs w:val="24"/>
              </w:rPr>
            </w:pPr>
            <w:r w:rsidRPr="007A764B">
              <w:rPr>
                <w:rFonts w:ascii="仿宋_GB2312" w:eastAsia="仿宋_GB2312" w:hAnsi="黑体" w:hint="eastAsia"/>
                <w:szCs w:val="24"/>
              </w:rPr>
              <w:t>根据市场发展需要，本所可以调整开盘价及收盘价计算方法。</w:t>
            </w:r>
          </w:p>
        </w:tc>
        <w:tc>
          <w:tcPr>
            <w:tcW w:w="3260" w:type="dxa"/>
          </w:tcPr>
          <w:p w:rsidR="00EB3D1A" w:rsidRPr="007A764B" w:rsidRDefault="00EB3D1A" w:rsidP="00EB3D1A">
            <w:pPr>
              <w:ind w:firstLineChars="200" w:firstLine="420"/>
              <w:rPr>
                <w:rFonts w:ascii="仿宋_GB2312" w:eastAsia="仿宋_GB2312" w:hAnsi="黑体"/>
                <w:szCs w:val="24"/>
              </w:rPr>
            </w:pPr>
            <w:r w:rsidRPr="007A764B">
              <w:rPr>
                <w:rFonts w:ascii="仿宋_GB2312" w:eastAsia="仿宋_GB2312" w:hAnsi="黑体" w:hint="eastAsia"/>
                <w:szCs w:val="24"/>
              </w:rPr>
              <w:t>本条第三款</w:t>
            </w:r>
            <w:r w:rsidRPr="007A764B">
              <w:rPr>
                <w:rFonts w:ascii="仿宋_GB2312" w:eastAsia="仿宋_GB2312" w:hAnsi="黑体"/>
                <w:szCs w:val="24"/>
              </w:rPr>
              <w:t>中</w:t>
            </w:r>
            <w:r w:rsidRPr="007A764B">
              <w:rPr>
                <w:rFonts w:ascii="仿宋_GB2312" w:eastAsia="仿宋_GB2312" w:hAnsi="黑体" w:hint="eastAsia"/>
                <w:szCs w:val="24"/>
              </w:rPr>
              <w:t>“开盘价和收盘价计算所采用的成交数据为各类交易方式达成的成交数据”的实施</w:t>
            </w:r>
            <w:r w:rsidRPr="007A764B">
              <w:rPr>
                <w:rFonts w:ascii="仿宋_GB2312" w:eastAsia="仿宋_GB2312" w:hAnsi="黑体"/>
                <w:szCs w:val="24"/>
              </w:rPr>
              <w:t>时间另行通知。</w:t>
            </w:r>
          </w:p>
          <w:p w:rsidR="00EB3D1A" w:rsidRPr="007A764B" w:rsidRDefault="00EB3D1A" w:rsidP="000B3912">
            <w:pPr>
              <w:ind w:firstLineChars="200" w:firstLine="420"/>
              <w:rPr>
                <w:rFonts w:ascii="仿宋_GB2312" w:eastAsia="仿宋_GB2312" w:hAnsi="黑体"/>
                <w:szCs w:val="24"/>
              </w:rPr>
            </w:pPr>
            <w:r w:rsidRPr="007A764B">
              <w:rPr>
                <w:rFonts w:ascii="仿宋_GB2312" w:eastAsia="仿宋_GB2312" w:hAnsi="黑体" w:hint="eastAsia"/>
                <w:szCs w:val="24"/>
              </w:rPr>
              <w:t>开盘价</w:t>
            </w:r>
            <w:r w:rsidRPr="007A764B">
              <w:rPr>
                <w:rFonts w:ascii="仿宋_GB2312" w:eastAsia="仿宋_GB2312" w:hAnsi="黑体"/>
                <w:szCs w:val="24"/>
              </w:rPr>
              <w:t>和收盘价计算</w:t>
            </w:r>
            <w:r w:rsidRPr="007A764B">
              <w:rPr>
                <w:rFonts w:ascii="仿宋_GB2312" w:eastAsia="仿宋_GB2312" w:hAnsi="黑体" w:hint="eastAsia"/>
                <w:szCs w:val="24"/>
              </w:rPr>
              <w:t>所</w:t>
            </w:r>
            <w:r w:rsidRPr="007A764B">
              <w:rPr>
                <w:rFonts w:ascii="仿宋_GB2312" w:eastAsia="仿宋_GB2312" w:hAnsi="黑体"/>
                <w:szCs w:val="24"/>
              </w:rPr>
              <w:t>采用的成交数据为匹配成交方式</w:t>
            </w:r>
            <w:r w:rsidRPr="007A764B">
              <w:rPr>
                <w:rFonts w:ascii="仿宋_GB2312" w:eastAsia="仿宋_GB2312" w:hAnsi="黑体" w:hint="eastAsia"/>
                <w:szCs w:val="24"/>
              </w:rPr>
              <w:t>下达成</w:t>
            </w:r>
            <w:r w:rsidRPr="007A764B">
              <w:rPr>
                <w:rFonts w:ascii="仿宋_GB2312" w:eastAsia="仿宋_GB2312" w:hAnsi="黑体"/>
                <w:szCs w:val="24"/>
              </w:rPr>
              <w:t>的成交数据</w:t>
            </w:r>
            <w:r w:rsidRPr="007A764B">
              <w:rPr>
                <w:rFonts w:ascii="仿宋_GB2312" w:eastAsia="仿宋_GB2312" w:hAnsi="黑体" w:hint="eastAsia"/>
                <w:szCs w:val="24"/>
              </w:rPr>
              <w:t>。</w:t>
            </w:r>
          </w:p>
        </w:tc>
      </w:tr>
    </w:tbl>
    <w:p w:rsidR="009B5D23" w:rsidRPr="00EB3D1A" w:rsidRDefault="009B5D23" w:rsidP="00840A0A"/>
    <w:sectPr w:rsidR="009B5D23" w:rsidRPr="00EB3D1A" w:rsidSect="00EB3D1A">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7A3" w:rsidRDefault="006A67A3">
      <w:r>
        <w:separator/>
      </w:r>
    </w:p>
  </w:endnote>
  <w:endnote w:type="continuationSeparator" w:id="0">
    <w:p w:rsidR="006A67A3" w:rsidRDefault="006A67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7705383"/>
      <w:docPartObj>
        <w:docPartGallery w:val="Page Numbers (Bottom of Page)"/>
        <w:docPartUnique/>
      </w:docPartObj>
    </w:sdtPr>
    <w:sdtContent>
      <w:p w:rsidR="000F1DD3" w:rsidRDefault="00B56221">
        <w:pPr>
          <w:pStyle w:val="a5"/>
          <w:jc w:val="center"/>
        </w:pPr>
        <w:r>
          <w:fldChar w:fldCharType="begin"/>
        </w:r>
        <w:r w:rsidR="00840A0A">
          <w:instrText>PAGE   \* MERGEFORMAT</w:instrText>
        </w:r>
        <w:r>
          <w:fldChar w:fldCharType="separate"/>
        </w:r>
        <w:r w:rsidR="009A2F0F" w:rsidRPr="009A2F0F">
          <w:rPr>
            <w:noProof/>
            <w:lang w:val="zh-CN"/>
          </w:rPr>
          <w:t>5</w:t>
        </w:r>
        <w:r>
          <w:fldChar w:fldCharType="end"/>
        </w:r>
      </w:p>
    </w:sdtContent>
  </w:sdt>
  <w:p w:rsidR="000F1DD3" w:rsidRDefault="009A2F0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7A3" w:rsidRDefault="006A67A3">
      <w:r>
        <w:separator/>
      </w:r>
    </w:p>
  </w:footnote>
  <w:footnote w:type="continuationSeparator" w:id="0">
    <w:p w:rsidR="006A67A3" w:rsidRDefault="006A6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481511"/>
    <w:multiLevelType w:val="multilevel"/>
    <w:tmpl w:val="45481511"/>
    <w:lvl w:ilvl="0">
      <w:start w:val="8"/>
      <w:numFmt w:val="decimal"/>
      <w:lvlText w:val="%1."/>
      <w:lvlJc w:val="left"/>
      <w:pPr>
        <w:ind w:left="0" w:firstLine="0"/>
      </w:pPr>
    </w:lvl>
    <w:lvl w:ilvl="1">
      <w:start w:val="1"/>
      <w:numFmt w:val="japaneseCounting"/>
      <w:lvlText w:val="（%2）"/>
      <w:lvlJc w:val="left"/>
      <w:pPr>
        <w:ind w:left="0" w:firstLine="0"/>
      </w:pPr>
      <w:rPr>
        <w:b w:val="0"/>
        <w:i w:val="0"/>
      </w:rPr>
    </w:lvl>
    <w:lvl w:ilvl="2">
      <w:start w:val="8"/>
      <w:numFmt w:val="decimal"/>
      <w:lvlText w:val="6.1.%3"/>
      <w:lvlJc w:val="left"/>
      <w:pPr>
        <w:ind w:left="0" w:firstLine="0"/>
      </w:pPr>
      <w:rPr>
        <w:b/>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lvlOverride w:ilvl="0">
      <w:startOverride w:val="8"/>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D1A"/>
    <w:rsid w:val="00052CC0"/>
    <w:rsid w:val="000B3912"/>
    <w:rsid w:val="0010342A"/>
    <w:rsid w:val="00103CAF"/>
    <w:rsid w:val="001048B9"/>
    <w:rsid w:val="001070D5"/>
    <w:rsid w:val="00150AF8"/>
    <w:rsid w:val="0016094C"/>
    <w:rsid w:val="001F426D"/>
    <w:rsid w:val="00224A17"/>
    <w:rsid w:val="0026593F"/>
    <w:rsid w:val="002B3576"/>
    <w:rsid w:val="002E161C"/>
    <w:rsid w:val="00300928"/>
    <w:rsid w:val="003201A6"/>
    <w:rsid w:val="00351520"/>
    <w:rsid w:val="00373ABE"/>
    <w:rsid w:val="00394B4F"/>
    <w:rsid w:val="003B548A"/>
    <w:rsid w:val="004224E2"/>
    <w:rsid w:val="00423E4E"/>
    <w:rsid w:val="00450628"/>
    <w:rsid w:val="00494FEC"/>
    <w:rsid w:val="00496548"/>
    <w:rsid w:val="004B2846"/>
    <w:rsid w:val="004F7AAE"/>
    <w:rsid w:val="00524288"/>
    <w:rsid w:val="00557CAA"/>
    <w:rsid w:val="005B462C"/>
    <w:rsid w:val="005F1B97"/>
    <w:rsid w:val="00655E88"/>
    <w:rsid w:val="006A67A3"/>
    <w:rsid w:val="006C0EFA"/>
    <w:rsid w:val="007050C4"/>
    <w:rsid w:val="00750340"/>
    <w:rsid w:val="007A5DE8"/>
    <w:rsid w:val="007A764B"/>
    <w:rsid w:val="00840A0A"/>
    <w:rsid w:val="008519E4"/>
    <w:rsid w:val="00875F07"/>
    <w:rsid w:val="00876AB1"/>
    <w:rsid w:val="008B75D7"/>
    <w:rsid w:val="008F58A3"/>
    <w:rsid w:val="00905F4C"/>
    <w:rsid w:val="00912FF4"/>
    <w:rsid w:val="0091329F"/>
    <w:rsid w:val="00954248"/>
    <w:rsid w:val="00954329"/>
    <w:rsid w:val="009A2F0F"/>
    <w:rsid w:val="009B096E"/>
    <w:rsid w:val="009B5D23"/>
    <w:rsid w:val="00A00D9C"/>
    <w:rsid w:val="00A14982"/>
    <w:rsid w:val="00A25C76"/>
    <w:rsid w:val="00A359DF"/>
    <w:rsid w:val="00A4491F"/>
    <w:rsid w:val="00A456B5"/>
    <w:rsid w:val="00A672C0"/>
    <w:rsid w:val="00AC050D"/>
    <w:rsid w:val="00B00CA7"/>
    <w:rsid w:val="00B220A9"/>
    <w:rsid w:val="00B2785A"/>
    <w:rsid w:val="00B56221"/>
    <w:rsid w:val="00BB6A3B"/>
    <w:rsid w:val="00BF0314"/>
    <w:rsid w:val="00C21545"/>
    <w:rsid w:val="00C37F57"/>
    <w:rsid w:val="00CA5484"/>
    <w:rsid w:val="00CD2379"/>
    <w:rsid w:val="00D53B01"/>
    <w:rsid w:val="00DA30F4"/>
    <w:rsid w:val="00DD7C59"/>
    <w:rsid w:val="00E117DC"/>
    <w:rsid w:val="00E30F48"/>
    <w:rsid w:val="00E80B36"/>
    <w:rsid w:val="00EB3D1A"/>
    <w:rsid w:val="00F039F7"/>
    <w:rsid w:val="00F703F7"/>
    <w:rsid w:val="00F72362"/>
    <w:rsid w:val="00F9687E"/>
    <w:rsid w:val="00FB2AF7"/>
    <w:rsid w:val="00FC226E"/>
    <w:rsid w:val="00FD40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D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link w:val="Char"/>
    <w:uiPriority w:val="99"/>
    <w:qFormat/>
    <w:rsid w:val="00EB3D1A"/>
    <w:pPr>
      <w:widowControl/>
      <w:spacing w:before="100" w:beforeAutospacing="1" w:after="100" w:afterAutospacing="1"/>
      <w:jc w:val="left"/>
    </w:pPr>
    <w:rPr>
      <w:rFonts w:ascii="宋体" w:eastAsia="宋体" w:hAnsi="宋体" w:cs="宋体"/>
      <w:kern w:val="0"/>
      <w:sz w:val="24"/>
      <w:szCs w:val="24"/>
    </w:rPr>
  </w:style>
  <w:style w:type="paragraph" w:styleId="a5">
    <w:name w:val="footer"/>
    <w:basedOn w:val="a"/>
    <w:link w:val="Char0"/>
    <w:uiPriority w:val="99"/>
    <w:unhideWhenUsed/>
    <w:rsid w:val="00EB3D1A"/>
    <w:pPr>
      <w:tabs>
        <w:tab w:val="center" w:pos="4153"/>
        <w:tab w:val="right" w:pos="8306"/>
      </w:tabs>
      <w:snapToGrid w:val="0"/>
      <w:jc w:val="left"/>
    </w:pPr>
    <w:rPr>
      <w:sz w:val="18"/>
      <w:szCs w:val="18"/>
    </w:rPr>
  </w:style>
  <w:style w:type="character" w:customStyle="1" w:styleId="Char0">
    <w:name w:val="页脚 Char"/>
    <w:basedOn w:val="a0"/>
    <w:link w:val="a5"/>
    <w:uiPriority w:val="99"/>
    <w:rsid w:val="00EB3D1A"/>
    <w:rPr>
      <w:sz w:val="18"/>
      <w:szCs w:val="18"/>
    </w:rPr>
  </w:style>
  <w:style w:type="character" w:customStyle="1" w:styleId="Char1">
    <w:name w:val="条 Char"/>
    <w:link w:val="a6"/>
    <w:qFormat/>
    <w:locked/>
    <w:rsid w:val="00EB3D1A"/>
    <w:rPr>
      <w:rFonts w:ascii="仿宋_GB2312" w:eastAsia="仿宋_GB2312" w:hAnsi="仿宋" w:cs="Times New Roman"/>
      <w:sz w:val="32"/>
      <w:szCs w:val="32"/>
    </w:rPr>
  </w:style>
  <w:style w:type="paragraph" w:customStyle="1" w:styleId="a6">
    <w:name w:val="条"/>
    <w:basedOn w:val="a"/>
    <w:link w:val="Char1"/>
    <w:qFormat/>
    <w:rsid w:val="00EB3D1A"/>
    <w:pPr>
      <w:spacing w:line="560" w:lineRule="exact"/>
      <w:ind w:firstLineChars="200" w:firstLine="640"/>
    </w:pPr>
    <w:rPr>
      <w:rFonts w:ascii="仿宋_GB2312" w:eastAsia="仿宋_GB2312" w:hAnsi="仿宋" w:cs="Times New Roman"/>
      <w:sz w:val="32"/>
      <w:szCs w:val="32"/>
    </w:rPr>
  </w:style>
  <w:style w:type="character" w:customStyle="1" w:styleId="Char">
    <w:name w:val="普通(网站) Char"/>
    <w:link w:val="a4"/>
    <w:uiPriority w:val="99"/>
    <w:qFormat/>
    <w:rsid w:val="00EB3D1A"/>
    <w:rPr>
      <w:rFonts w:ascii="宋体" w:eastAsia="宋体" w:hAnsi="宋体" w:cs="宋体"/>
      <w:kern w:val="0"/>
      <w:sz w:val="24"/>
      <w:szCs w:val="24"/>
    </w:rPr>
  </w:style>
  <w:style w:type="paragraph" w:styleId="a7">
    <w:name w:val="header"/>
    <w:basedOn w:val="a"/>
    <w:link w:val="Char2"/>
    <w:uiPriority w:val="99"/>
    <w:unhideWhenUsed/>
    <w:rsid w:val="002E161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2E161C"/>
    <w:rPr>
      <w:sz w:val="18"/>
      <w:szCs w:val="18"/>
    </w:rPr>
  </w:style>
  <w:style w:type="paragraph" w:styleId="a8">
    <w:name w:val="Balloon Text"/>
    <w:basedOn w:val="a"/>
    <w:link w:val="Char3"/>
    <w:uiPriority w:val="99"/>
    <w:semiHidden/>
    <w:unhideWhenUsed/>
    <w:rsid w:val="002B3576"/>
    <w:rPr>
      <w:sz w:val="18"/>
      <w:szCs w:val="18"/>
    </w:rPr>
  </w:style>
  <w:style w:type="character" w:customStyle="1" w:styleId="Char3">
    <w:name w:val="批注框文本 Char"/>
    <w:basedOn w:val="a0"/>
    <w:link w:val="a8"/>
    <w:uiPriority w:val="99"/>
    <w:semiHidden/>
    <w:rsid w:val="002B3576"/>
    <w:rPr>
      <w:sz w:val="18"/>
      <w:szCs w:val="18"/>
    </w:rPr>
  </w:style>
  <w:style w:type="character" w:styleId="a9">
    <w:name w:val="annotation reference"/>
    <w:basedOn w:val="a0"/>
    <w:uiPriority w:val="99"/>
    <w:semiHidden/>
    <w:unhideWhenUsed/>
    <w:rsid w:val="002B3576"/>
    <w:rPr>
      <w:sz w:val="21"/>
      <w:szCs w:val="21"/>
    </w:rPr>
  </w:style>
  <w:style w:type="paragraph" w:styleId="aa">
    <w:name w:val="annotation text"/>
    <w:basedOn w:val="a"/>
    <w:link w:val="Char4"/>
    <w:uiPriority w:val="99"/>
    <w:semiHidden/>
    <w:unhideWhenUsed/>
    <w:rsid w:val="002B3576"/>
    <w:pPr>
      <w:jc w:val="left"/>
    </w:pPr>
  </w:style>
  <w:style w:type="character" w:customStyle="1" w:styleId="Char4">
    <w:name w:val="批注文字 Char"/>
    <w:basedOn w:val="a0"/>
    <w:link w:val="aa"/>
    <w:uiPriority w:val="99"/>
    <w:semiHidden/>
    <w:rsid w:val="002B3576"/>
  </w:style>
  <w:style w:type="paragraph" w:styleId="ab">
    <w:name w:val="annotation subject"/>
    <w:basedOn w:val="aa"/>
    <w:next w:val="aa"/>
    <w:link w:val="Char5"/>
    <w:uiPriority w:val="99"/>
    <w:semiHidden/>
    <w:unhideWhenUsed/>
    <w:rsid w:val="002B3576"/>
    <w:rPr>
      <w:b/>
      <w:bCs/>
    </w:rPr>
  </w:style>
  <w:style w:type="character" w:customStyle="1" w:styleId="Char5">
    <w:name w:val="批注主题 Char"/>
    <w:basedOn w:val="Char4"/>
    <w:link w:val="ab"/>
    <w:uiPriority w:val="99"/>
    <w:semiHidden/>
    <w:rsid w:val="002B3576"/>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连璐(拟稿)</cp:lastModifiedBy>
  <cp:lastPrinted>2022-01-27T01:13:00Z</cp:lastPrinted>
  <dcterms:created xsi:type="dcterms:W3CDTF">2022-01-20T02:23:00Z</dcterms:created>
  <dcterms:modified xsi:type="dcterms:W3CDTF">2022-01-27T04:48:00Z</dcterms:modified>
</cp:coreProperties>
</file>