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5F" w:rsidRPr="000E0C5F" w:rsidRDefault="000E0C5F" w:rsidP="000E0C5F">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0E0C5F">
        <w:rPr>
          <w:rFonts w:ascii="黑体" w:eastAsia="黑体" w:hAnsi="黑体" w:cs="宋体" w:hint="eastAsia"/>
          <w:kern w:val="0"/>
          <w:sz w:val="30"/>
          <w:szCs w:val="30"/>
        </w:rPr>
        <w:t>期货投资者保障基金管理暂行办法</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第一章</w:t>
      </w:r>
      <w:r w:rsidRPr="000E0C5F">
        <w:rPr>
          <w:rFonts w:ascii="宋体" w:hAnsi="宋体" w:cs="宋体" w:hint="eastAsia"/>
          <w:kern w:val="0"/>
          <w:szCs w:val="24"/>
        </w:rPr>
        <w:t> </w:t>
      </w:r>
      <w:r w:rsidRPr="000E0C5F">
        <w:rPr>
          <w:rFonts w:ascii="黑体" w:eastAsia="黑体" w:hAnsi="黑体" w:cs="宋体" w:hint="eastAsia"/>
          <w:kern w:val="0"/>
          <w:szCs w:val="24"/>
        </w:rPr>
        <w:t>总</w:t>
      </w:r>
      <w:r w:rsidRPr="000E0C5F">
        <w:rPr>
          <w:rFonts w:ascii="宋体" w:hAnsi="宋体" w:cs="宋体" w:hint="eastAsia"/>
          <w:kern w:val="0"/>
          <w:szCs w:val="24"/>
        </w:rPr>
        <w:t> </w:t>
      </w:r>
      <w:r w:rsidRPr="000E0C5F">
        <w:rPr>
          <w:rFonts w:ascii="黑体" w:eastAsia="黑体" w:hAnsi="黑体" w:cs="宋体" w:hint="eastAsia"/>
          <w:kern w:val="0"/>
          <w:szCs w:val="24"/>
        </w:rPr>
        <w:t>则</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第一条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为保护期货投资者的合法权益，根据《期货交易管理条例》，制定本办法。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期货投资者保障基金（以下简称保障基金）是在期货公司严重违法违规或者风险控制不力等导致保证金出现缺口，可能严重危及社会稳定和期货市场安全时，补偿投资者保证金损失的专项基金。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第三条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期货交易活动实行公开、公平、公正和投资者投资决策自主、投资风险自担的原则。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投资者在期货投资活动中因期货市场波动或者投资品种价值本身发生变化所导致的损失，由投资者自行负担。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第四条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保障基金按照取之于市场、用之于市场的原则筹集。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第五条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保障基金由中国证监会集中管理、统筹使用。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第六条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保障基金的管理和运用遵循公开、合理、有效的原则。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第七条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保障基金的使用遵循保障投资者合法权益和公平救助原则，实行比例补偿。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宋体" w:hAnsi="宋体" w:cs="宋体" w:hint="eastAsia"/>
          <w:kern w:val="0"/>
          <w:szCs w:val="24"/>
        </w:rPr>
        <w:t>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第二章</w:t>
      </w:r>
      <w:r w:rsidRPr="000E0C5F">
        <w:rPr>
          <w:rFonts w:ascii="宋体" w:hAnsi="宋体" w:cs="宋体" w:hint="eastAsia"/>
          <w:kern w:val="0"/>
          <w:szCs w:val="24"/>
        </w:rPr>
        <w:t> </w:t>
      </w:r>
      <w:r w:rsidRPr="000E0C5F">
        <w:rPr>
          <w:rFonts w:ascii="黑体" w:eastAsia="黑体" w:hAnsi="黑体" w:cs="宋体" w:hint="eastAsia"/>
          <w:kern w:val="0"/>
          <w:szCs w:val="24"/>
        </w:rPr>
        <w:t>保障基金的筹集</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第八条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保障基金管理机构应当以保障基金名义设立资金专用账户，专户存储保障基金。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第九条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保障基金的启动资金由期货交易所从其积累的风险准备金中按照截至2006年12月31日风险准备金账户总额的百分之十五缴纳形成。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保障基金的后续资金来源包括：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（一）期货交易所按其向期货公司会员收取的交易手续费的百分之三缴纳；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（二）期货公司从其收取的交易手续费中按照代理交易额的千万分之五至十的比例缴纳；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（三）保障基金管理机构追偿或者接受的其他合法财产。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lastRenderedPageBreak/>
        <w:t xml:space="preserve">对于因财务状况恶化、风险控制不力等存在较高风险的期货公司，应当按照较高比例缴纳保障基金，各期货公司的具体缴纳比例由中国证监会根据期货公司风险状况确定。期货交易所、期货公司缴纳的保障基金在其营业成本中列支。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期货交易所应当在本办法实施之日起1个月内，将应当缴纳的启动资金划入保障基金专户。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期货交易所、期货公司应当按季度缴纳后续资金。期货交易所应当在每季度结束后15个工作日内，缴纳前一季度应当缴纳的保障基金，并按照本办法第九条确定的比例代扣代缴期货公司应当缴纳的保障基金。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第十一条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有下列情形之一的，经中国证监会、财政部批准，期货交易所、期货公司可以暂停缴纳保障基金：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（一）保障基金总额达到8亿元人民币；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（二）期货交易所、期货公司遭受重大突发市场风险或者不可抗力。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保障基金的规模、缴纳比例和缴纳方式，由中国证监会根据期货市场发展状况、市场风险水平等情况调整确定。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第十二条</w:t>
      </w:r>
      <w:r w:rsidRPr="000E0C5F">
        <w:rPr>
          <w:rFonts w:ascii="宋体" w:hAnsi="宋体" w:cs="宋体" w:hint="eastAsia"/>
          <w:kern w:val="0"/>
          <w:szCs w:val="24"/>
        </w:rPr>
        <w:t> </w:t>
      </w:r>
      <w:r w:rsidRPr="000E0C5F">
        <w:rPr>
          <w:rFonts w:ascii="楷体" w:eastAsia="楷体" w:hAnsi="楷体" w:cs="宋体" w:hint="eastAsia"/>
          <w:kern w:val="0"/>
          <w:szCs w:val="24"/>
        </w:rPr>
        <w:t xml:space="preserve">鼓励保障基金来源多元化，保障基金可以接受社会捐赠和其他合法财产。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保障基金产生的利息以及运用所产生的各种收益等</w:t>
      </w:r>
      <w:proofErr w:type="gramStart"/>
      <w:r w:rsidRPr="000E0C5F">
        <w:rPr>
          <w:rFonts w:ascii="楷体" w:eastAsia="楷体" w:hAnsi="楷体" w:cs="宋体" w:hint="eastAsia"/>
          <w:kern w:val="0"/>
          <w:szCs w:val="24"/>
        </w:rPr>
        <w:t>孳</w:t>
      </w:r>
      <w:proofErr w:type="gramEnd"/>
      <w:r w:rsidRPr="000E0C5F">
        <w:rPr>
          <w:rFonts w:ascii="楷体" w:eastAsia="楷体" w:hAnsi="楷体" w:cs="宋体" w:hint="eastAsia"/>
          <w:kern w:val="0"/>
          <w:szCs w:val="24"/>
        </w:rPr>
        <w:t xml:space="preserve">息归属保障基金。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宋体" w:hAnsi="宋体" w:cs="宋体" w:hint="eastAsia"/>
          <w:kern w:val="0"/>
          <w:szCs w:val="24"/>
        </w:rPr>
        <w:t>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第三章</w:t>
      </w:r>
      <w:r w:rsidRPr="000E0C5F">
        <w:rPr>
          <w:rFonts w:ascii="宋体" w:hAnsi="宋体" w:cs="宋体" w:hint="eastAsia"/>
          <w:kern w:val="0"/>
          <w:szCs w:val="24"/>
        </w:rPr>
        <w:t> </w:t>
      </w:r>
      <w:r w:rsidRPr="000E0C5F">
        <w:rPr>
          <w:rFonts w:ascii="黑体" w:eastAsia="黑体" w:hAnsi="黑体" w:cs="宋体" w:hint="eastAsia"/>
          <w:kern w:val="0"/>
          <w:szCs w:val="24"/>
        </w:rPr>
        <w:t>保障基金的管理和监管</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第十三条</w:t>
      </w:r>
      <w:r w:rsidRPr="000E0C5F">
        <w:rPr>
          <w:rFonts w:ascii="宋体" w:hAnsi="宋体" w:cs="宋体" w:hint="eastAsia"/>
          <w:kern w:val="0"/>
          <w:szCs w:val="24"/>
        </w:rPr>
        <w:t> </w:t>
      </w:r>
      <w:r w:rsidRPr="000E0C5F">
        <w:rPr>
          <w:rFonts w:ascii="楷体" w:eastAsia="楷体" w:hAnsi="楷体" w:cs="宋体" w:hint="eastAsia"/>
          <w:kern w:val="0"/>
          <w:szCs w:val="24"/>
        </w:rPr>
        <w:t>中国证监会、财政部可以指定相关机构作为保障基金管理机构，代为管理保障基金。</w:t>
      </w:r>
      <w:r w:rsidRPr="000E0C5F">
        <w:rPr>
          <w:rFonts w:ascii="宋体" w:hAnsi="宋体" w:cs="宋体" w:hint="eastAsia"/>
          <w:kern w:val="0"/>
          <w:szCs w:val="24"/>
        </w:rPr>
        <w:t> </w:t>
      </w:r>
      <w:r w:rsidRPr="000E0C5F">
        <w:rPr>
          <w:rFonts w:ascii="楷体" w:eastAsia="楷体" w:hAnsi="楷体" w:cs="楷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第十四条</w:t>
      </w:r>
      <w:r w:rsidRPr="000E0C5F">
        <w:rPr>
          <w:rFonts w:ascii="宋体" w:hAnsi="宋体" w:cs="宋体" w:hint="eastAsia"/>
          <w:kern w:val="0"/>
          <w:szCs w:val="24"/>
        </w:rPr>
        <w:t> </w:t>
      </w:r>
      <w:r w:rsidRPr="000E0C5F">
        <w:rPr>
          <w:rFonts w:ascii="楷体" w:eastAsia="楷体" w:hAnsi="楷体" w:cs="宋体" w:hint="eastAsia"/>
          <w:kern w:val="0"/>
          <w:szCs w:val="24"/>
        </w:rPr>
        <w:t xml:space="preserve">对保障基金的管理应当遵循安全、稳健的原则，保证保障基金的安全。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保障基金的资金运用限于银行存款、购买国债、中央银行债券（包括中央银行票据）和中央级金融机构发行的金融债券，以及中国证监会和财政部批准的其他资金运用方式。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第十五条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保障基金应当实行独立核算，分别管理，并与保障基金管理机构管理的其他资产有效隔离。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保障基金管理机构应当定期</w:t>
      </w:r>
      <w:proofErr w:type="gramStart"/>
      <w:r w:rsidRPr="000E0C5F">
        <w:rPr>
          <w:rFonts w:ascii="楷体" w:eastAsia="楷体" w:hAnsi="楷体" w:cs="宋体" w:hint="eastAsia"/>
          <w:kern w:val="0"/>
          <w:szCs w:val="24"/>
        </w:rPr>
        <w:t>编报保障</w:t>
      </w:r>
      <w:proofErr w:type="gramEnd"/>
      <w:r w:rsidRPr="000E0C5F">
        <w:rPr>
          <w:rFonts w:ascii="楷体" w:eastAsia="楷体" w:hAnsi="楷体" w:cs="宋体" w:hint="eastAsia"/>
          <w:kern w:val="0"/>
          <w:szCs w:val="24"/>
        </w:rPr>
        <w:t xml:space="preserve">基金的筹集、管理、使用报告，经会计师事务所审计后，报送中国证监会和财政部。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lastRenderedPageBreak/>
        <w:t>第十六条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保障基金管理机构、期货交易所及期货公司，应当妥善保存有关保障基金的财务凭证、账簿和报表等资料，确保财务记录和档案完整、真实。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第十七条</w:t>
      </w:r>
      <w:r w:rsidRPr="000E0C5F">
        <w:rPr>
          <w:rFonts w:ascii="宋体" w:hAnsi="宋体" w:cs="宋体" w:hint="eastAsia"/>
          <w:kern w:val="0"/>
          <w:szCs w:val="24"/>
        </w:rPr>
        <w:t> </w:t>
      </w:r>
      <w:r w:rsidRPr="000E0C5F">
        <w:rPr>
          <w:rFonts w:ascii="楷体" w:eastAsia="楷体" w:hAnsi="楷体" w:cs="宋体" w:hint="eastAsia"/>
          <w:kern w:val="0"/>
          <w:szCs w:val="24"/>
        </w:rPr>
        <w:t xml:space="preserve">财政部负责保障基金财务监管。保障基金的年度收支计划和决算报财政部批准。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第十八条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中国证监会负责保障基金业务监管，对保障基金的筹集、管理和使用等情况进行定期核查。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中国证监会定期</w:t>
      </w:r>
      <w:proofErr w:type="gramStart"/>
      <w:r w:rsidRPr="000E0C5F">
        <w:rPr>
          <w:rFonts w:ascii="楷体" w:eastAsia="楷体" w:hAnsi="楷体" w:cs="宋体" w:hint="eastAsia"/>
          <w:kern w:val="0"/>
          <w:szCs w:val="24"/>
        </w:rPr>
        <w:t>向保障</w:t>
      </w:r>
      <w:proofErr w:type="gramEnd"/>
      <w:r w:rsidRPr="000E0C5F">
        <w:rPr>
          <w:rFonts w:ascii="楷体" w:eastAsia="楷体" w:hAnsi="楷体" w:cs="宋体" w:hint="eastAsia"/>
          <w:kern w:val="0"/>
          <w:szCs w:val="24"/>
        </w:rPr>
        <w:t>基金管理机构通报期货公司总体风险状况。存在较高风险的期货公司应当每月</w:t>
      </w:r>
      <w:proofErr w:type="gramStart"/>
      <w:r w:rsidRPr="000E0C5F">
        <w:rPr>
          <w:rFonts w:ascii="楷体" w:eastAsia="楷体" w:hAnsi="楷体" w:cs="宋体" w:hint="eastAsia"/>
          <w:kern w:val="0"/>
          <w:szCs w:val="24"/>
        </w:rPr>
        <w:t>向保障</w:t>
      </w:r>
      <w:proofErr w:type="gramEnd"/>
      <w:r w:rsidRPr="000E0C5F">
        <w:rPr>
          <w:rFonts w:ascii="楷体" w:eastAsia="楷体" w:hAnsi="楷体" w:cs="宋体" w:hint="eastAsia"/>
          <w:kern w:val="0"/>
          <w:szCs w:val="24"/>
        </w:rPr>
        <w:t xml:space="preserve">基金管理机构提供财务监管报表。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宋体" w:hAnsi="宋体" w:cs="宋体" w:hint="eastAsia"/>
          <w:kern w:val="0"/>
          <w:szCs w:val="24"/>
        </w:rPr>
        <w:t>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第四章</w:t>
      </w:r>
      <w:r w:rsidRPr="000E0C5F">
        <w:rPr>
          <w:rFonts w:ascii="宋体" w:hAnsi="宋体" w:cs="宋体" w:hint="eastAsia"/>
          <w:kern w:val="0"/>
          <w:szCs w:val="24"/>
        </w:rPr>
        <w:t> </w:t>
      </w:r>
      <w:r w:rsidRPr="000E0C5F">
        <w:rPr>
          <w:rFonts w:ascii="黑体" w:eastAsia="黑体" w:hAnsi="黑体" w:cs="宋体" w:hint="eastAsia"/>
          <w:kern w:val="0"/>
          <w:szCs w:val="24"/>
        </w:rPr>
        <w:t>保障基金的使用</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第十九条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期货公司因严重违法违规或者风险控制不力等导致保证金出现缺口的，中国证监会可以按照本办法规定决定使用保障基金，对不能清偿的投资者保证金损失予以补偿。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第二十条</w:t>
      </w:r>
      <w:r w:rsidRPr="000E0C5F">
        <w:rPr>
          <w:rFonts w:ascii="宋体" w:hAnsi="宋体" w:cs="宋体" w:hint="eastAsia"/>
          <w:kern w:val="0"/>
          <w:szCs w:val="24"/>
        </w:rPr>
        <w:t> </w:t>
      </w:r>
      <w:r w:rsidRPr="000E0C5F">
        <w:rPr>
          <w:rFonts w:ascii="楷体" w:eastAsia="楷体" w:hAnsi="楷体" w:cs="宋体" w:hint="eastAsia"/>
          <w:kern w:val="0"/>
          <w:szCs w:val="24"/>
        </w:rPr>
        <w:t xml:space="preserve">对期货投资者的保证金损失，保障基金按照下列原则予以补偿：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（一）对每位个人投资者的保证金损失在10万元以下（含10万元）的部分全额补偿，超过10万元的部分按百分之九十补偿；</w:t>
      </w:r>
      <w:r w:rsidRPr="000E0C5F">
        <w:rPr>
          <w:rFonts w:ascii="宋体" w:hAnsi="宋体" w:cs="宋体" w:hint="eastAsia"/>
          <w:kern w:val="0"/>
          <w:szCs w:val="24"/>
        </w:rPr>
        <w:t> </w:t>
      </w:r>
      <w:r w:rsidRPr="000E0C5F">
        <w:rPr>
          <w:rFonts w:ascii="楷体" w:eastAsia="楷体" w:hAnsi="楷体" w:cs="楷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（二）对每位机构投资者的保证金损失在10万元以下（含10万元）的部分全额补偿，超过10万元的部分按百分之八十补偿。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现有保障基金不足补偿的，由后续缴纳的保障基金补偿。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第二十一条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使用保障基金前，中国证监会和保障基金管理机构应当监督期货公司核实投资者保证金权益及损失，积极清理资产并变现处置，应当先以自有资金和变现资产弥补保证金缺口。不足弥补或者情况危急的，方能决定使用保障基金。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第二十二条</w:t>
      </w:r>
      <w:r w:rsidRPr="000E0C5F">
        <w:rPr>
          <w:rFonts w:ascii="宋体" w:hAnsi="宋体" w:cs="宋体" w:hint="eastAsia"/>
          <w:kern w:val="0"/>
          <w:szCs w:val="24"/>
        </w:rPr>
        <w:t> </w:t>
      </w:r>
      <w:r w:rsidRPr="000E0C5F">
        <w:rPr>
          <w:rFonts w:ascii="楷体" w:eastAsia="楷体" w:hAnsi="楷体" w:cs="宋体" w:hint="eastAsia"/>
          <w:kern w:val="0"/>
          <w:szCs w:val="24"/>
        </w:rPr>
        <w:t>对投资者因参与非法期货交易而遭受的保证金损失，保障基金不予补偿。</w:t>
      </w:r>
      <w:r w:rsidRPr="000E0C5F">
        <w:rPr>
          <w:rFonts w:ascii="宋体" w:hAnsi="宋体" w:cs="宋体" w:hint="eastAsia"/>
          <w:kern w:val="0"/>
          <w:szCs w:val="24"/>
        </w:rPr>
        <w:t> </w:t>
      </w:r>
      <w:r w:rsidRPr="000E0C5F">
        <w:rPr>
          <w:rFonts w:ascii="楷体" w:eastAsia="楷体" w:hAnsi="楷体" w:cs="楷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 xml:space="preserve">对机构投资者以个人名义参与期货交易的，按照机构投资者补偿规则进行补偿。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第二十三条</w:t>
      </w:r>
      <w:r w:rsidRPr="000E0C5F">
        <w:rPr>
          <w:rFonts w:ascii="宋体" w:hAnsi="宋体" w:cs="宋体" w:hint="eastAsia"/>
          <w:kern w:val="0"/>
          <w:szCs w:val="24"/>
        </w:rPr>
        <w:t> </w:t>
      </w:r>
      <w:r w:rsidRPr="000E0C5F">
        <w:rPr>
          <w:rFonts w:ascii="楷体" w:eastAsia="楷体" w:hAnsi="楷体" w:cs="宋体" w:hint="eastAsia"/>
          <w:kern w:val="0"/>
          <w:szCs w:val="24"/>
        </w:rPr>
        <w:t xml:space="preserve">动用保障基金对期货投资者的保证金损失进行补偿后，保障基金管理机构依法取得相应的受偿权，可以依法参与期货公司清算。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第二十四条</w:t>
      </w:r>
      <w:r w:rsidRPr="000E0C5F">
        <w:rPr>
          <w:rFonts w:ascii="宋体" w:hAnsi="宋体" w:cs="宋体" w:hint="eastAsia"/>
          <w:kern w:val="0"/>
          <w:szCs w:val="24"/>
        </w:rPr>
        <w:t> </w:t>
      </w:r>
      <w:r w:rsidRPr="000E0C5F">
        <w:rPr>
          <w:rFonts w:ascii="楷体" w:eastAsia="楷体" w:hAnsi="楷体" w:cs="宋体" w:hint="eastAsia"/>
          <w:kern w:val="0"/>
          <w:szCs w:val="24"/>
        </w:rPr>
        <w:t xml:space="preserve">保障基金管理机构应当及时将保障基金的使用、补偿、追偿等情况报告中国证监会和财政部。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宋体" w:hAnsi="宋体" w:cs="宋体" w:hint="eastAsia"/>
          <w:kern w:val="0"/>
          <w:szCs w:val="24"/>
        </w:rPr>
        <w:lastRenderedPageBreak/>
        <w:t>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第五章</w:t>
      </w:r>
      <w:r w:rsidRPr="000E0C5F">
        <w:rPr>
          <w:rFonts w:ascii="宋体" w:hAnsi="宋体" w:cs="宋体" w:hint="eastAsia"/>
          <w:kern w:val="0"/>
          <w:szCs w:val="24"/>
        </w:rPr>
        <w:t> </w:t>
      </w:r>
      <w:r w:rsidRPr="000E0C5F">
        <w:rPr>
          <w:rFonts w:ascii="黑体" w:eastAsia="黑体" w:hAnsi="黑体" w:cs="宋体" w:hint="eastAsia"/>
          <w:kern w:val="0"/>
          <w:szCs w:val="24"/>
        </w:rPr>
        <w:t>罚　则</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第二十五条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期货公司因严重违法违规或者风险控制不力等导致保证金出现缺口的，中国证监会根据《期货交易管理条例》第七十条、第七十一条进行处罚，吊销期货业务许可证。涉嫌犯罪的，依法移送司法机关。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第二十六条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期货交易所、期货公司违反本办法规定，延期缴纳或者拒不缴纳保障基金以及不按规定保存、报送有关信息和资料的，中国证监会根据《期货交易管理条例》第六十八条、第七十条进行处罚。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楷体" w:eastAsia="楷体" w:hAnsi="楷体" w:cs="宋体" w:hint="eastAsia"/>
          <w:kern w:val="0"/>
          <w:szCs w:val="24"/>
        </w:rPr>
        <w:t>第二十七条</w:t>
      </w:r>
      <w:r w:rsidRPr="000E0C5F">
        <w:rPr>
          <w:rFonts w:ascii="宋体" w:hAnsi="宋体" w:cs="宋体" w:hint="eastAsia"/>
          <w:kern w:val="0"/>
          <w:szCs w:val="24"/>
        </w:rPr>
        <w:t> </w:t>
      </w:r>
      <w:r w:rsidRPr="000E0C5F">
        <w:rPr>
          <w:rFonts w:ascii="楷体" w:eastAsia="楷体" w:hAnsi="楷体" w:cs="宋体" w:hint="eastAsia"/>
          <w:kern w:val="0"/>
          <w:szCs w:val="24"/>
        </w:rPr>
        <w:t xml:space="preserve">对挪用、侵占、骗取保障基金的违法行为，依法查处；对有关失职人员，依法追究法律责任；涉嫌犯罪的，依法移送司法机关。 </w:t>
      </w:r>
    </w:p>
    <w:p w:rsidR="000E0C5F" w:rsidRPr="000E0C5F" w:rsidRDefault="000E0C5F" w:rsidP="000E0C5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E0C5F">
        <w:rPr>
          <w:rFonts w:ascii="宋体" w:hAnsi="宋体" w:cs="宋体" w:hint="eastAsia"/>
          <w:kern w:val="0"/>
          <w:szCs w:val="24"/>
        </w:rPr>
        <w:t> </w:t>
      </w:r>
    </w:p>
    <w:p w:rsidR="000E0C5F" w:rsidRPr="000E0C5F" w:rsidRDefault="000E0C5F" w:rsidP="000E0C5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E0C5F">
        <w:rPr>
          <w:rFonts w:ascii="黑体" w:eastAsia="黑体" w:hAnsi="黑体" w:cs="宋体" w:hint="eastAsia"/>
          <w:kern w:val="0"/>
          <w:szCs w:val="24"/>
        </w:rPr>
        <w:t>第六章</w:t>
      </w:r>
      <w:r w:rsidRPr="000E0C5F">
        <w:rPr>
          <w:rFonts w:ascii="宋体" w:hAnsi="宋体" w:cs="宋体" w:hint="eastAsia"/>
          <w:kern w:val="0"/>
          <w:szCs w:val="24"/>
        </w:rPr>
        <w:t> </w:t>
      </w:r>
      <w:r w:rsidRPr="000E0C5F">
        <w:rPr>
          <w:rFonts w:ascii="黑体" w:eastAsia="黑体" w:hAnsi="黑体" w:cs="宋体" w:hint="eastAsia"/>
          <w:kern w:val="0"/>
          <w:szCs w:val="24"/>
        </w:rPr>
        <w:t>附</w:t>
      </w:r>
      <w:r w:rsidRPr="000E0C5F">
        <w:rPr>
          <w:rFonts w:ascii="宋体" w:hAnsi="宋体" w:cs="宋体" w:hint="eastAsia"/>
          <w:kern w:val="0"/>
          <w:szCs w:val="24"/>
        </w:rPr>
        <w:t> </w:t>
      </w:r>
      <w:r w:rsidRPr="000E0C5F">
        <w:rPr>
          <w:rFonts w:ascii="黑体" w:eastAsia="黑体" w:hAnsi="黑体" w:cs="宋体" w:hint="eastAsia"/>
          <w:kern w:val="0"/>
          <w:szCs w:val="24"/>
        </w:rPr>
        <w:t>则</w:t>
      </w:r>
      <w:r w:rsidRPr="000E0C5F">
        <w:rPr>
          <w:rFonts w:ascii="楷体" w:eastAsia="楷体" w:hAnsi="楷体" w:cs="宋体" w:hint="eastAsia"/>
          <w:kern w:val="0"/>
          <w:szCs w:val="24"/>
        </w:rPr>
        <w:t xml:space="preserve"> </w:t>
      </w:r>
    </w:p>
    <w:p w:rsidR="000E0C5F" w:rsidRPr="000E0C5F" w:rsidRDefault="000E0C5F" w:rsidP="000E0C5F">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0E0C5F">
        <w:rPr>
          <w:rFonts w:ascii="楷体" w:eastAsia="楷体" w:hAnsi="楷体" w:cs="宋体" w:hint="eastAsia"/>
          <w:kern w:val="0"/>
          <w:szCs w:val="24"/>
        </w:rPr>
        <w:t>第二十八条</w:t>
      </w:r>
      <w:r w:rsidRPr="000E0C5F">
        <w:rPr>
          <w:rFonts w:ascii="宋体" w:hAnsi="宋体" w:cs="宋体" w:hint="eastAsia"/>
          <w:kern w:val="0"/>
          <w:szCs w:val="24"/>
        </w:rPr>
        <w:t> </w:t>
      </w:r>
      <w:r w:rsidRPr="000E0C5F">
        <w:rPr>
          <w:rFonts w:ascii="楷体" w:eastAsia="楷体" w:hAnsi="楷体" w:cs="宋体" w:hint="eastAsia"/>
          <w:kern w:val="0"/>
          <w:szCs w:val="24"/>
        </w:rPr>
        <w:t xml:space="preserve">本办法自2007年8月1日起施行。 </w:t>
      </w:r>
    </w:p>
    <w:p w:rsidR="007C2CB2" w:rsidRPr="000E0C5F" w:rsidRDefault="007C2CB2" w:rsidP="00E86E16">
      <w:pPr>
        <w:ind w:firstLine="480"/>
      </w:pPr>
    </w:p>
    <w:sectPr w:rsidR="007C2CB2" w:rsidRPr="000E0C5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C5F"/>
    <w:rsid w:val="000E0C5F"/>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35160">
      <w:bodyDiv w:val="1"/>
      <w:marLeft w:val="0"/>
      <w:marRight w:val="0"/>
      <w:marTop w:val="0"/>
      <w:marBottom w:val="0"/>
      <w:divBdr>
        <w:top w:val="none" w:sz="0" w:space="0" w:color="auto"/>
        <w:left w:val="none" w:sz="0" w:space="0" w:color="auto"/>
        <w:bottom w:val="none" w:sz="0" w:space="0" w:color="auto"/>
        <w:right w:val="none" w:sz="0" w:space="0" w:color="auto"/>
      </w:divBdr>
      <w:divsChild>
        <w:div w:id="1028220249">
          <w:marLeft w:val="0"/>
          <w:marRight w:val="0"/>
          <w:marTop w:val="0"/>
          <w:marBottom w:val="0"/>
          <w:divBdr>
            <w:top w:val="none" w:sz="0" w:space="0" w:color="auto"/>
            <w:left w:val="none" w:sz="0" w:space="0" w:color="auto"/>
            <w:bottom w:val="none" w:sz="0" w:space="0" w:color="auto"/>
            <w:right w:val="none" w:sz="0" w:space="0" w:color="auto"/>
          </w:divBdr>
          <w:divsChild>
            <w:div w:id="2061392604">
              <w:marLeft w:val="0"/>
              <w:marRight w:val="0"/>
              <w:marTop w:val="0"/>
              <w:marBottom w:val="0"/>
              <w:divBdr>
                <w:top w:val="none" w:sz="0" w:space="0" w:color="auto"/>
                <w:left w:val="none" w:sz="0" w:space="0" w:color="auto"/>
                <w:bottom w:val="none" w:sz="0" w:space="0" w:color="auto"/>
                <w:right w:val="none" w:sz="0" w:space="0" w:color="auto"/>
              </w:divBdr>
              <w:divsChild>
                <w:div w:id="647633585">
                  <w:marLeft w:val="0"/>
                  <w:marRight w:val="0"/>
                  <w:marTop w:val="0"/>
                  <w:marBottom w:val="0"/>
                  <w:divBdr>
                    <w:top w:val="none" w:sz="0" w:space="0" w:color="auto"/>
                    <w:left w:val="none" w:sz="0" w:space="0" w:color="auto"/>
                    <w:bottom w:val="none" w:sz="0" w:space="0" w:color="auto"/>
                    <w:right w:val="none" w:sz="0" w:space="0" w:color="auto"/>
                  </w:divBdr>
                  <w:divsChild>
                    <w:div w:id="190919351">
                      <w:marLeft w:val="0"/>
                      <w:marRight w:val="0"/>
                      <w:marTop w:val="0"/>
                      <w:marBottom w:val="0"/>
                      <w:divBdr>
                        <w:top w:val="none" w:sz="0" w:space="0" w:color="auto"/>
                        <w:left w:val="none" w:sz="0" w:space="0" w:color="auto"/>
                        <w:bottom w:val="none" w:sz="0" w:space="0" w:color="auto"/>
                        <w:right w:val="none" w:sz="0" w:space="0" w:color="auto"/>
                      </w:divBdr>
                      <w:divsChild>
                        <w:div w:id="1961254715">
                          <w:marLeft w:val="0"/>
                          <w:marRight w:val="0"/>
                          <w:marTop w:val="0"/>
                          <w:marBottom w:val="0"/>
                          <w:divBdr>
                            <w:top w:val="none" w:sz="0" w:space="0" w:color="auto"/>
                            <w:left w:val="none" w:sz="0" w:space="0" w:color="auto"/>
                            <w:bottom w:val="none" w:sz="0" w:space="0" w:color="auto"/>
                            <w:right w:val="none" w:sz="0" w:space="0" w:color="auto"/>
                          </w:divBdr>
                          <w:divsChild>
                            <w:div w:id="760679962">
                              <w:marLeft w:val="0"/>
                              <w:marRight w:val="0"/>
                              <w:marTop w:val="0"/>
                              <w:marBottom w:val="0"/>
                              <w:divBdr>
                                <w:top w:val="none" w:sz="0" w:space="0" w:color="auto"/>
                                <w:left w:val="none" w:sz="0" w:space="0" w:color="auto"/>
                                <w:bottom w:val="none" w:sz="0" w:space="0" w:color="auto"/>
                                <w:right w:val="none" w:sz="0" w:space="0" w:color="auto"/>
                              </w:divBdr>
                              <w:divsChild>
                                <w:div w:id="1175533523">
                                  <w:marLeft w:val="0"/>
                                  <w:marRight w:val="0"/>
                                  <w:marTop w:val="0"/>
                                  <w:marBottom w:val="0"/>
                                  <w:divBdr>
                                    <w:top w:val="none" w:sz="0" w:space="0" w:color="auto"/>
                                    <w:left w:val="none" w:sz="0" w:space="0" w:color="auto"/>
                                    <w:bottom w:val="none" w:sz="0" w:space="0" w:color="auto"/>
                                    <w:right w:val="none" w:sz="0" w:space="0" w:color="auto"/>
                                  </w:divBdr>
                                  <w:divsChild>
                                    <w:div w:id="814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2013-12-06T05:47:00Z</dcterms:created>
  <dcterms:modified xsi:type="dcterms:W3CDTF">2013-12-06T05:47:00Z</dcterms:modified>
</cp:coreProperties>
</file>