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83" w:rsidRPr="00DA1C83" w:rsidRDefault="00DA1C83" w:rsidP="00DA1C83">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DA1C83">
        <w:rPr>
          <w:rFonts w:ascii="黑体" w:eastAsia="黑体" w:hAnsi="黑体" w:cs="宋体" w:hint="eastAsia"/>
          <w:kern w:val="0"/>
          <w:sz w:val="30"/>
          <w:szCs w:val="30"/>
        </w:rPr>
        <w:t xml:space="preserve">中国证券监督管理委员会公告 </w:t>
      </w:r>
    </w:p>
    <w:p w:rsidR="00DA1C83" w:rsidRPr="00DA1C83" w:rsidRDefault="00DA1C83" w:rsidP="00DA1C83">
      <w:pPr>
        <w:widowControl/>
        <w:wordWrap w:val="0"/>
        <w:spacing w:before="100" w:beforeAutospacing="1" w:after="100" w:afterAutospacing="1" w:line="240" w:lineRule="auto"/>
        <w:ind w:firstLineChars="0" w:firstLine="0"/>
        <w:jc w:val="center"/>
        <w:rPr>
          <w:rFonts w:ascii="楷体" w:eastAsia="楷体" w:hAnsi="楷体" w:cs="宋体" w:hint="eastAsia"/>
          <w:kern w:val="0"/>
          <w:szCs w:val="24"/>
        </w:rPr>
      </w:pPr>
      <w:r w:rsidRPr="00DA1C83">
        <w:rPr>
          <w:rFonts w:ascii="黑体" w:eastAsia="黑体" w:hAnsi="黑体" w:cs="宋体" w:hint="eastAsia"/>
          <w:kern w:val="0"/>
          <w:sz w:val="30"/>
          <w:szCs w:val="30"/>
        </w:rPr>
        <w:t>〔2010〕32 号</w:t>
      </w:r>
      <w:r w:rsidRPr="00DA1C83">
        <w:rPr>
          <w:rFonts w:ascii="楷体" w:eastAsia="楷体" w:hAnsi="楷体" w:cs="宋体" w:hint="eastAsia"/>
          <w:kern w:val="0"/>
          <w:szCs w:val="24"/>
        </w:rPr>
        <w:t xml:space="preserve"> </w:t>
      </w:r>
    </w:p>
    <w:p w:rsidR="00DA1C83" w:rsidRPr="00DA1C83" w:rsidRDefault="00DA1C83" w:rsidP="00DA1C8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A1C83">
        <w:rPr>
          <w:rFonts w:ascii="宋体" w:hAnsi="宋体" w:cs="宋体" w:hint="eastAsia"/>
          <w:kern w:val="0"/>
          <w:szCs w:val="24"/>
        </w:rPr>
        <w:t> </w:t>
      </w:r>
    </w:p>
    <w:p w:rsidR="00DA1C83" w:rsidRPr="00DA1C83" w:rsidRDefault="00DA1C83" w:rsidP="00DA1C8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A1C83">
        <w:rPr>
          <w:rFonts w:ascii="楷体" w:eastAsia="楷体" w:hAnsi="楷体" w:cs="宋体" w:hint="eastAsia"/>
          <w:kern w:val="0"/>
          <w:szCs w:val="24"/>
        </w:rPr>
        <w:t xml:space="preserve">　</w:t>
      </w:r>
      <w:r w:rsidRPr="00DA1C83">
        <w:rPr>
          <w:rFonts w:ascii="宋体" w:hAnsi="宋体" w:cs="宋体" w:hint="eastAsia"/>
          <w:kern w:val="0"/>
          <w:szCs w:val="24"/>
        </w:rPr>
        <w:t> </w:t>
      </w:r>
      <w:r w:rsidRPr="00DA1C83">
        <w:rPr>
          <w:rFonts w:ascii="楷体" w:eastAsia="楷体" w:hAnsi="楷体" w:cs="楷体" w:hint="eastAsia"/>
          <w:kern w:val="0"/>
          <w:szCs w:val="24"/>
        </w:rPr>
        <w:t xml:space="preserve"> </w:t>
      </w:r>
      <w:r w:rsidRPr="00DA1C83">
        <w:rPr>
          <w:rFonts w:ascii="楷体" w:eastAsia="楷体" w:hAnsi="楷体" w:cs="宋体" w:hint="eastAsia"/>
          <w:kern w:val="0"/>
          <w:szCs w:val="24"/>
        </w:rPr>
        <w:t>为进一步提高证券投资基金（以下简称基金）信息披露质量，推进基金信息披露XBRL（</w:t>
      </w:r>
      <w:proofErr w:type="spellStart"/>
      <w:r w:rsidRPr="00DA1C83">
        <w:rPr>
          <w:rFonts w:ascii="楷体" w:eastAsia="楷体" w:hAnsi="楷体" w:cs="宋体" w:hint="eastAsia"/>
          <w:kern w:val="0"/>
          <w:szCs w:val="24"/>
        </w:rPr>
        <w:t>eXtensible</w:t>
      </w:r>
      <w:proofErr w:type="spellEnd"/>
      <w:r w:rsidRPr="00DA1C83">
        <w:rPr>
          <w:rFonts w:ascii="宋体" w:hAnsi="宋体" w:cs="宋体" w:hint="eastAsia"/>
          <w:kern w:val="0"/>
          <w:szCs w:val="24"/>
        </w:rPr>
        <w:t> </w:t>
      </w:r>
      <w:r w:rsidRPr="00DA1C83">
        <w:rPr>
          <w:rFonts w:ascii="楷体" w:eastAsia="楷体" w:hAnsi="楷体" w:cs="楷体" w:hint="eastAsia"/>
          <w:kern w:val="0"/>
          <w:szCs w:val="24"/>
        </w:rPr>
        <w:t>Business</w:t>
      </w:r>
      <w:r w:rsidRPr="00DA1C83">
        <w:rPr>
          <w:rFonts w:ascii="宋体" w:hAnsi="宋体" w:cs="宋体" w:hint="eastAsia"/>
          <w:kern w:val="0"/>
          <w:szCs w:val="24"/>
        </w:rPr>
        <w:t> </w:t>
      </w:r>
      <w:r w:rsidRPr="00DA1C83">
        <w:rPr>
          <w:rFonts w:ascii="楷体" w:eastAsia="楷体" w:hAnsi="楷体" w:cs="楷体" w:hint="eastAsia"/>
          <w:kern w:val="0"/>
          <w:szCs w:val="24"/>
        </w:rPr>
        <w:t>Reporting</w:t>
      </w:r>
      <w:r w:rsidRPr="00DA1C83">
        <w:rPr>
          <w:rFonts w:ascii="宋体" w:hAnsi="宋体" w:cs="宋体" w:hint="eastAsia"/>
          <w:kern w:val="0"/>
          <w:szCs w:val="24"/>
        </w:rPr>
        <w:t> </w:t>
      </w:r>
      <w:r w:rsidRPr="00DA1C83">
        <w:rPr>
          <w:rFonts w:ascii="楷体" w:eastAsia="楷体" w:hAnsi="楷体" w:cs="楷体" w:hint="eastAsia"/>
          <w:kern w:val="0"/>
          <w:szCs w:val="24"/>
        </w:rPr>
        <w:t>Language</w:t>
      </w:r>
      <w:r w:rsidRPr="00DA1C83">
        <w:rPr>
          <w:rFonts w:ascii="楷体" w:eastAsia="楷体" w:hAnsi="楷体" w:cs="宋体" w:hint="eastAsia"/>
          <w:kern w:val="0"/>
          <w:szCs w:val="24"/>
        </w:rPr>
        <w:t xml:space="preserve">，可扩展商业报告语言）应用工作，我会制定了《证券投资基金信息披露XBRL模板第4号〈基金合同生效公告及十一类临时公告(试行)〉》，现予公布，自2011年1月1日起施行，请各基金管理公司和托管银行遵照执行。 </w:t>
      </w:r>
    </w:p>
    <w:p w:rsidR="00DA1C83" w:rsidRPr="00DA1C83" w:rsidRDefault="00DA1C83" w:rsidP="00DA1C8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A1C83">
        <w:rPr>
          <w:rFonts w:ascii="楷体" w:eastAsia="楷体" w:hAnsi="楷体" w:cs="宋体" w:hint="eastAsia"/>
          <w:kern w:val="0"/>
          <w:szCs w:val="24"/>
        </w:rPr>
        <w:t xml:space="preserve">　</w:t>
      </w:r>
      <w:r w:rsidRPr="00DA1C83">
        <w:rPr>
          <w:rFonts w:ascii="宋体" w:hAnsi="宋体" w:cs="宋体" w:hint="eastAsia"/>
          <w:kern w:val="0"/>
          <w:szCs w:val="24"/>
        </w:rPr>
        <w:t> </w:t>
      </w:r>
      <w:r w:rsidRPr="00DA1C83">
        <w:rPr>
          <w:rFonts w:ascii="楷体" w:eastAsia="楷体" w:hAnsi="楷体" w:cs="楷体" w:hint="eastAsia"/>
          <w:kern w:val="0"/>
          <w:szCs w:val="24"/>
        </w:rPr>
        <w:t xml:space="preserve"> </w:t>
      </w:r>
      <w:r w:rsidRPr="00DA1C83">
        <w:rPr>
          <w:rFonts w:ascii="楷体" w:eastAsia="楷体" w:hAnsi="楷体" w:cs="宋体" w:hint="eastAsia"/>
          <w:kern w:val="0"/>
          <w:szCs w:val="24"/>
        </w:rPr>
        <w:t xml:space="preserve">本模板公布之后，基金管理公司须在对外公开披露基金合同生效公告及十一类临时公告中应用，并及时向我会电子数据报送平台（data.csrc.gov.cn）的“基金XBRL信息接收系统”报备基金合同生效公告及相关临时公告XBRL文档，相关文件的纸质报备文档不再报送我会。上述XBRL文档，将通过我会基金信息披露网站（fund.csrc.gov.cn）对外展示，各公司应确保报备信息的及时、真实、准确和完整，各托管银行应确保复核信息的真实、准确和完整。 </w:t>
      </w:r>
    </w:p>
    <w:p w:rsidR="00DA1C83" w:rsidRPr="00DA1C83" w:rsidRDefault="00DA1C83" w:rsidP="00DA1C8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A1C83">
        <w:rPr>
          <w:rFonts w:ascii="宋体" w:hAnsi="宋体" w:cs="宋体" w:hint="eastAsia"/>
          <w:kern w:val="0"/>
          <w:szCs w:val="24"/>
        </w:rPr>
        <w:t> </w:t>
      </w:r>
    </w:p>
    <w:p w:rsidR="00DA1C83" w:rsidRPr="00DA1C83" w:rsidRDefault="00DA1C83" w:rsidP="00DA1C8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DA1C83">
        <w:rPr>
          <w:rFonts w:ascii="楷体" w:eastAsia="楷体" w:hAnsi="楷体" w:cs="宋体" w:hint="eastAsia"/>
          <w:kern w:val="0"/>
          <w:szCs w:val="24"/>
        </w:rPr>
        <w:t xml:space="preserve">　　　　　　　　　　　　　　　　　　　　　　　　　　　　　　　　　　</w:t>
      </w:r>
      <w:r w:rsidRPr="00DA1C83">
        <w:rPr>
          <w:rFonts w:ascii="宋体" w:hAnsi="宋体" w:cs="宋体" w:hint="eastAsia"/>
          <w:kern w:val="0"/>
          <w:szCs w:val="24"/>
        </w:rPr>
        <w:t> </w:t>
      </w:r>
      <w:r w:rsidRPr="00DA1C83">
        <w:rPr>
          <w:rFonts w:ascii="楷体" w:eastAsia="楷体" w:hAnsi="楷体" w:cs="楷体" w:hint="eastAsia"/>
          <w:kern w:val="0"/>
          <w:szCs w:val="24"/>
        </w:rPr>
        <w:t xml:space="preserve"> </w:t>
      </w:r>
      <w:r w:rsidRPr="00DA1C83">
        <w:rPr>
          <w:rFonts w:ascii="宋体" w:hAnsi="宋体" w:cs="宋体" w:hint="eastAsia"/>
          <w:kern w:val="0"/>
          <w:szCs w:val="24"/>
        </w:rPr>
        <w:t> </w:t>
      </w:r>
      <w:r w:rsidRPr="00DA1C83">
        <w:rPr>
          <w:rFonts w:ascii="楷体" w:eastAsia="楷体" w:hAnsi="楷体" w:cs="楷体" w:hint="eastAsia"/>
          <w:kern w:val="0"/>
          <w:szCs w:val="24"/>
        </w:rPr>
        <w:t xml:space="preserve"> </w:t>
      </w:r>
      <w:r w:rsidRPr="00DA1C83">
        <w:rPr>
          <w:rFonts w:ascii="楷体" w:eastAsia="楷体" w:hAnsi="楷体" w:cs="宋体" w:hint="eastAsia"/>
          <w:kern w:val="0"/>
          <w:szCs w:val="24"/>
        </w:rPr>
        <w:t>中国证券监督管理委员会</w:t>
      </w:r>
      <w:proofErr w:type="gramStart"/>
      <w:r w:rsidRPr="00DA1C83">
        <w:rPr>
          <w:rFonts w:ascii="楷体" w:eastAsia="楷体" w:hAnsi="楷体" w:cs="宋体" w:hint="eastAsia"/>
          <w:kern w:val="0"/>
          <w:szCs w:val="24"/>
        </w:rPr>
        <w:t xml:space="preserve">　　　　　　　　</w:t>
      </w:r>
      <w:proofErr w:type="gramEnd"/>
    </w:p>
    <w:p w:rsidR="00DA1C83" w:rsidRPr="00DA1C83" w:rsidRDefault="00DA1C83" w:rsidP="00DA1C83">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DA1C83">
        <w:rPr>
          <w:rFonts w:ascii="楷体" w:eastAsia="楷体" w:hAnsi="楷体" w:cs="宋体" w:hint="eastAsia"/>
          <w:kern w:val="0"/>
          <w:szCs w:val="24"/>
        </w:rPr>
        <w:t xml:space="preserve">　　　　　　　　　　　　　　　　　　　　　　　　　　　　　　　　　　　</w:t>
      </w:r>
      <w:r w:rsidRPr="00DA1C83">
        <w:rPr>
          <w:rFonts w:ascii="宋体" w:hAnsi="宋体" w:cs="宋体" w:hint="eastAsia"/>
          <w:kern w:val="0"/>
          <w:szCs w:val="24"/>
        </w:rPr>
        <w:t> </w:t>
      </w:r>
      <w:r w:rsidRPr="00DA1C83">
        <w:rPr>
          <w:rFonts w:ascii="楷体" w:eastAsia="楷体" w:hAnsi="楷体" w:cs="楷体" w:hint="eastAsia"/>
          <w:kern w:val="0"/>
          <w:szCs w:val="24"/>
        </w:rPr>
        <w:t xml:space="preserve"> </w:t>
      </w:r>
      <w:r w:rsidRPr="00DA1C83">
        <w:rPr>
          <w:rFonts w:ascii="楷体" w:eastAsia="楷体" w:hAnsi="楷体" w:cs="宋体" w:hint="eastAsia"/>
          <w:kern w:val="0"/>
          <w:szCs w:val="24"/>
        </w:rPr>
        <w:t xml:space="preserve">二○一○年十一月十八日 </w:t>
      </w:r>
    </w:p>
    <w:p w:rsidR="007C2CB2" w:rsidRPr="00DA1C83" w:rsidRDefault="007C2CB2" w:rsidP="00E86E16">
      <w:pPr>
        <w:ind w:firstLine="480"/>
      </w:pPr>
    </w:p>
    <w:sectPr w:rsidR="007C2CB2" w:rsidRPr="00DA1C83"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19C9"/>
    <w:rsid w:val="00045A0C"/>
    <w:rsid w:val="001A5FF1"/>
    <w:rsid w:val="00336292"/>
    <w:rsid w:val="004E362B"/>
    <w:rsid w:val="006865F6"/>
    <w:rsid w:val="006F19C9"/>
    <w:rsid w:val="007C2CB2"/>
    <w:rsid w:val="008B1807"/>
    <w:rsid w:val="0091257B"/>
    <w:rsid w:val="00974848"/>
    <w:rsid w:val="00993F91"/>
    <w:rsid w:val="009A22DC"/>
    <w:rsid w:val="00A308A3"/>
    <w:rsid w:val="00BC6A61"/>
    <w:rsid w:val="00BE3843"/>
    <w:rsid w:val="00C24CFF"/>
    <w:rsid w:val="00C3552D"/>
    <w:rsid w:val="00C47305"/>
    <w:rsid w:val="00CC7C60"/>
    <w:rsid w:val="00D006D9"/>
    <w:rsid w:val="00DA1C83"/>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5458656">
      <w:bodyDiv w:val="1"/>
      <w:marLeft w:val="0"/>
      <w:marRight w:val="0"/>
      <w:marTop w:val="0"/>
      <w:marBottom w:val="0"/>
      <w:divBdr>
        <w:top w:val="none" w:sz="0" w:space="0" w:color="auto"/>
        <w:left w:val="none" w:sz="0" w:space="0" w:color="auto"/>
        <w:bottom w:val="none" w:sz="0" w:space="0" w:color="auto"/>
        <w:right w:val="none" w:sz="0" w:space="0" w:color="auto"/>
      </w:divBdr>
      <w:divsChild>
        <w:div w:id="1332172523">
          <w:marLeft w:val="0"/>
          <w:marRight w:val="0"/>
          <w:marTop w:val="0"/>
          <w:marBottom w:val="0"/>
          <w:divBdr>
            <w:top w:val="none" w:sz="0" w:space="0" w:color="auto"/>
            <w:left w:val="none" w:sz="0" w:space="0" w:color="auto"/>
            <w:bottom w:val="none" w:sz="0" w:space="0" w:color="auto"/>
            <w:right w:val="none" w:sz="0" w:space="0" w:color="auto"/>
          </w:divBdr>
          <w:divsChild>
            <w:div w:id="955134328">
              <w:marLeft w:val="0"/>
              <w:marRight w:val="0"/>
              <w:marTop w:val="0"/>
              <w:marBottom w:val="0"/>
              <w:divBdr>
                <w:top w:val="none" w:sz="0" w:space="0" w:color="auto"/>
                <w:left w:val="none" w:sz="0" w:space="0" w:color="auto"/>
                <w:bottom w:val="none" w:sz="0" w:space="0" w:color="auto"/>
                <w:right w:val="none" w:sz="0" w:space="0" w:color="auto"/>
              </w:divBdr>
              <w:divsChild>
                <w:div w:id="171146947">
                  <w:marLeft w:val="0"/>
                  <w:marRight w:val="0"/>
                  <w:marTop w:val="0"/>
                  <w:marBottom w:val="0"/>
                  <w:divBdr>
                    <w:top w:val="none" w:sz="0" w:space="0" w:color="auto"/>
                    <w:left w:val="none" w:sz="0" w:space="0" w:color="auto"/>
                    <w:bottom w:val="none" w:sz="0" w:space="0" w:color="auto"/>
                    <w:right w:val="none" w:sz="0" w:space="0" w:color="auto"/>
                  </w:divBdr>
                  <w:divsChild>
                    <w:div w:id="1939603947">
                      <w:marLeft w:val="0"/>
                      <w:marRight w:val="0"/>
                      <w:marTop w:val="0"/>
                      <w:marBottom w:val="0"/>
                      <w:divBdr>
                        <w:top w:val="none" w:sz="0" w:space="0" w:color="auto"/>
                        <w:left w:val="none" w:sz="0" w:space="0" w:color="auto"/>
                        <w:bottom w:val="none" w:sz="0" w:space="0" w:color="auto"/>
                        <w:right w:val="none" w:sz="0" w:space="0" w:color="auto"/>
                      </w:divBdr>
                      <w:divsChild>
                        <w:div w:id="1106269259">
                          <w:marLeft w:val="0"/>
                          <w:marRight w:val="0"/>
                          <w:marTop w:val="0"/>
                          <w:marBottom w:val="0"/>
                          <w:divBdr>
                            <w:top w:val="none" w:sz="0" w:space="0" w:color="auto"/>
                            <w:left w:val="none" w:sz="0" w:space="0" w:color="auto"/>
                            <w:bottom w:val="none" w:sz="0" w:space="0" w:color="auto"/>
                            <w:right w:val="none" w:sz="0" w:space="0" w:color="auto"/>
                          </w:divBdr>
                          <w:divsChild>
                            <w:div w:id="1224098162">
                              <w:marLeft w:val="0"/>
                              <w:marRight w:val="0"/>
                              <w:marTop w:val="0"/>
                              <w:marBottom w:val="0"/>
                              <w:divBdr>
                                <w:top w:val="none" w:sz="0" w:space="0" w:color="auto"/>
                                <w:left w:val="none" w:sz="0" w:space="0" w:color="auto"/>
                                <w:bottom w:val="none" w:sz="0" w:space="0" w:color="auto"/>
                                <w:right w:val="none" w:sz="0" w:space="0" w:color="auto"/>
                              </w:divBdr>
                              <w:divsChild>
                                <w:div w:id="15105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2014-01-14T09:12:00Z</dcterms:created>
  <dcterms:modified xsi:type="dcterms:W3CDTF">2014-01-14T09:13:00Z</dcterms:modified>
</cp:coreProperties>
</file>