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46D" w:rsidRDefault="008D646D" w:rsidP="008D646D">
      <w:pPr>
        <w:pStyle w:val="a3"/>
        <w:ind w:firstLine="720"/>
        <w:jc w:val="center"/>
      </w:pPr>
      <w:r>
        <w:rPr>
          <w:rStyle w:val="a4"/>
          <w:rFonts w:ascii="黑体" w:eastAsia="黑体" w:hAnsi="黑体" w:hint="eastAsia"/>
          <w:color w:val="FF0000"/>
          <w:sz w:val="36"/>
          <w:szCs w:val="36"/>
        </w:rPr>
        <w:t xml:space="preserve">证监会公告[2009]5号－证券发行上市保荐业务工作底稿指引 </w:t>
      </w:r>
      <w:r>
        <w:br/>
      </w:r>
      <w:r>
        <w:br/>
      </w:r>
    </w:p>
    <w:p w:rsidR="008D646D" w:rsidRDefault="008D646D" w:rsidP="008D646D">
      <w:pPr>
        <w:pStyle w:val="01"/>
        <w:snapToGrid w:val="0"/>
        <w:spacing w:before="100"/>
        <w:jc w:val="both"/>
        <w:rPr>
          <w:rFonts w:ascii="Arial" w:eastAsia="楷体" w:hAnsi="Arial" w:cs="Arial"/>
        </w:rPr>
      </w:pPr>
      <w:r>
        <w:rPr>
          <w:rFonts w:hint="eastAsia"/>
        </w:rPr>
        <w:t>现公布《证券发行上市保荐业务工作底稿指引》，自2009年4月1日起施行。</w:t>
      </w:r>
    </w:p>
    <w:p w:rsidR="008D646D" w:rsidRDefault="008D646D" w:rsidP="008D646D">
      <w:pPr>
        <w:pStyle w:val="01"/>
        <w:snapToGrid w:val="0"/>
        <w:spacing w:before="100" w:after="100"/>
        <w:ind w:right="840"/>
        <w:jc w:val="right"/>
        <w:textAlignment w:val="baseline"/>
      </w:pPr>
      <w:r>
        <w:rPr>
          <w:rFonts w:hint="eastAsia"/>
        </w:rPr>
        <w:t>二○○九年三月二十七日</w:t>
      </w:r>
    </w:p>
    <w:p w:rsidR="008D646D" w:rsidRDefault="008D646D" w:rsidP="008D646D">
      <w:pPr>
        <w:pStyle w:val="01"/>
        <w:snapToGrid w:val="0"/>
        <w:spacing w:before="100" w:after="100"/>
        <w:jc w:val="right"/>
        <w:rPr>
          <w:rFonts w:hint="eastAsia"/>
        </w:rPr>
      </w:pPr>
    </w:p>
    <w:p w:rsidR="008D646D" w:rsidRDefault="008D646D" w:rsidP="008D646D">
      <w:pPr>
        <w:pStyle w:val="01"/>
        <w:snapToGrid w:val="0"/>
        <w:jc w:val="center"/>
        <w:rPr>
          <w:rFonts w:ascii="黑体" w:eastAsia="黑体" w:hAnsi="黑体" w:hint="eastAsia"/>
          <w:sz w:val="36"/>
          <w:szCs w:val="36"/>
        </w:rPr>
      </w:pPr>
      <w:r>
        <w:rPr>
          <w:rFonts w:ascii="黑体" w:eastAsia="黑体" w:hAnsi="黑体" w:hint="eastAsia"/>
          <w:sz w:val="36"/>
          <w:szCs w:val="36"/>
        </w:rPr>
        <w:t>证券发行上市保荐业务工作底稿指引</w:t>
      </w:r>
    </w:p>
    <w:p w:rsidR="008D646D" w:rsidRDefault="008D646D" w:rsidP="008D646D">
      <w:pPr>
        <w:pStyle w:val="01"/>
        <w:snapToGrid w:val="0"/>
        <w:rPr>
          <w:rFonts w:hint="eastAsia"/>
        </w:rPr>
      </w:pPr>
      <w:r>
        <w:rPr>
          <w:rFonts w:hint="eastAsia"/>
        </w:rPr>
        <w:t>第一条 为了规范和指导保荐机构编制、管理证券发行上市保荐业务工作底稿（以下简称工作底稿），根据有关法律、法规以及中国证券监督管理委员会有关保荐业务管理的规定，制定本指引。</w:t>
      </w:r>
    </w:p>
    <w:p w:rsidR="008D646D" w:rsidRDefault="008D646D" w:rsidP="008D646D">
      <w:pPr>
        <w:pStyle w:val="01"/>
        <w:snapToGrid w:val="0"/>
        <w:rPr>
          <w:rFonts w:hint="eastAsia"/>
        </w:rPr>
      </w:pPr>
      <w:r>
        <w:rPr>
          <w:rFonts w:hint="eastAsia"/>
        </w:rPr>
        <w:t>第二条 保荐机构应当按照本指引的要求编制工作底稿。</w:t>
      </w:r>
    </w:p>
    <w:p w:rsidR="008D646D" w:rsidRDefault="008D646D" w:rsidP="008D646D">
      <w:pPr>
        <w:pStyle w:val="01"/>
        <w:snapToGrid w:val="0"/>
        <w:rPr>
          <w:rFonts w:hint="eastAsia"/>
        </w:rPr>
      </w:pPr>
      <w:r>
        <w:rPr>
          <w:rFonts w:hint="eastAsia"/>
        </w:rPr>
        <w:t>本指引所称工作底稿，是指保荐机构及其保荐代表人在从事保荐业务全部过程中获取和编写的、与保荐业务相关的各种重要资料和工作记录的总称。</w:t>
      </w:r>
    </w:p>
    <w:p w:rsidR="008D646D" w:rsidRDefault="008D646D" w:rsidP="008D646D">
      <w:pPr>
        <w:pStyle w:val="01"/>
        <w:snapToGrid w:val="0"/>
        <w:rPr>
          <w:rFonts w:hint="eastAsia"/>
        </w:rPr>
      </w:pPr>
      <w:r>
        <w:rPr>
          <w:rFonts w:hint="eastAsia"/>
        </w:rPr>
        <w:t>第三条 工作底稿应当真实、准确、完整地反映保荐机构尽职推荐发行人证券发行上市、持续督导发行人履行相关义务所开展的主要工作，并应当成为保荐机构出具发行保荐书、发行保荐工作报告、上市保荐书、发表专项保荐意见以及验证招股说明书的基础。</w:t>
      </w:r>
    </w:p>
    <w:p w:rsidR="008D646D" w:rsidRDefault="008D646D" w:rsidP="008D646D">
      <w:pPr>
        <w:pStyle w:val="01"/>
        <w:snapToGrid w:val="0"/>
        <w:rPr>
          <w:rFonts w:hint="eastAsia"/>
        </w:rPr>
      </w:pPr>
      <w:r>
        <w:rPr>
          <w:rFonts w:hint="eastAsia"/>
        </w:rPr>
        <w:t>工作底稿是评价保荐机构及其保荐代表人从事保荐业务是否诚实守信、勤勉尽责的重要依据。</w:t>
      </w:r>
    </w:p>
    <w:p w:rsidR="008D646D" w:rsidRDefault="008D646D" w:rsidP="008D646D">
      <w:pPr>
        <w:pStyle w:val="01"/>
        <w:snapToGrid w:val="0"/>
        <w:rPr>
          <w:rFonts w:hint="eastAsia"/>
        </w:rPr>
      </w:pPr>
      <w:r>
        <w:rPr>
          <w:rFonts w:hint="eastAsia"/>
        </w:rPr>
        <w:t>第四条 本指引的规定，仅是对保荐机构从事证券发行上市保荐业务时编制工作底稿的一般要求。</w:t>
      </w:r>
    </w:p>
    <w:p w:rsidR="008D646D" w:rsidRDefault="008D646D" w:rsidP="008D646D">
      <w:pPr>
        <w:pStyle w:val="01"/>
        <w:snapToGrid w:val="0"/>
        <w:rPr>
          <w:rFonts w:hint="eastAsia"/>
        </w:rPr>
      </w:pPr>
      <w:r>
        <w:rPr>
          <w:rFonts w:hint="eastAsia"/>
        </w:rPr>
        <w:t>无论本指引是否有明确规定，凡对保荐机构及其保荐代表人履行保荐职责有重大影响的文件资料及信息，均应当作为工作底稿予以留存。</w:t>
      </w:r>
    </w:p>
    <w:p w:rsidR="008D646D" w:rsidRDefault="008D646D" w:rsidP="008D646D">
      <w:pPr>
        <w:pStyle w:val="01"/>
        <w:snapToGrid w:val="0"/>
        <w:rPr>
          <w:rFonts w:hint="eastAsia"/>
        </w:rPr>
      </w:pPr>
      <w:r>
        <w:rPr>
          <w:rFonts w:hint="eastAsia"/>
        </w:rPr>
        <w:t>第五条 本指引主要针对首次公开发行股票的工业企业的保荐工作基本特征制定。保荐机构应当在参照本指引的基础上，根据发行人的行业、业务、融资类型不同，在不影响保荐业务质量的前提下调整、补充、完善工作底稿。</w:t>
      </w:r>
    </w:p>
    <w:p w:rsidR="008D646D" w:rsidRDefault="008D646D" w:rsidP="008D646D">
      <w:pPr>
        <w:pStyle w:val="01"/>
        <w:snapToGrid w:val="0"/>
        <w:rPr>
          <w:rFonts w:hint="eastAsia"/>
        </w:rPr>
      </w:pPr>
      <w:r>
        <w:rPr>
          <w:rFonts w:hint="eastAsia"/>
        </w:rPr>
        <w:t>第六条 工作底稿至少应当包括以下内容：</w:t>
      </w:r>
    </w:p>
    <w:p w:rsidR="008D646D" w:rsidRDefault="008D646D" w:rsidP="008D646D">
      <w:pPr>
        <w:pStyle w:val="01"/>
        <w:snapToGrid w:val="0"/>
        <w:rPr>
          <w:rFonts w:hint="eastAsia"/>
        </w:rPr>
      </w:pPr>
      <w:r>
        <w:rPr>
          <w:rFonts w:hint="eastAsia"/>
        </w:rPr>
        <w:t>（一）保荐机构根据有关规定对项目进行立项、内核以及其他相关内部管理工作所形成的文件资料；</w:t>
      </w:r>
    </w:p>
    <w:p w:rsidR="008D646D" w:rsidRDefault="008D646D" w:rsidP="008D646D">
      <w:pPr>
        <w:pStyle w:val="01"/>
        <w:snapToGrid w:val="0"/>
        <w:rPr>
          <w:rFonts w:hint="eastAsia"/>
        </w:rPr>
      </w:pPr>
      <w:r>
        <w:rPr>
          <w:rFonts w:hint="eastAsia"/>
        </w:rPr>
        <w:t>（二）保荐机构在尽职调查过程中获取和形成的文件资料；</w:t>
      </w:r>
    </w:p>
    <w:p w:rsidR="008D646D" w:rsidRDefault="008D646D" w:rsidP="008D646D">
      <w:pPr>
        <w:pStyle w:val="01"/>
        <w:snapToGrid w:val="0"/>
        <w:rPr>
          <w:rFonts w:hint="eastAsia"/>
        </w:rPr>
      </w:pPr>
      <w:r>
        <w:rPr>
          <w:rFonts w:hint="eastAsia"/>
        </w:rPr>
        <w:t>（三）保荐机构对发行人相关人员进行辅导所形成的文件资料；</w:t>
      </w:r>
    </w:p>
    <w:p w:rsidR="008D646D" w:rsidRDefault="008D646D" w:rsidP="008D646D">
      <w:pPr>
        <w:pStyle w:val="01"/>
        <w:snapToGrid w:val="0"/>
        <w:rPr>
          <w:rFonts w:hint="eastAsia"/>
        </w:rPr>
      </w:pPr>
      <w:r>
        <w:rPr>
          <w:rFonts w:hint="eastAsia"/>
        </w:rPr>
        <w:t>（四）保荐机构在协调发行人和证券服务机构时，以定期会议、专题会议以及重大事项临时会议的形式，为发行人分析和解决证券发行上市过程中的主要问题形成的会议资料、会议纪要；</w:t>
      </w:r>
    </w:p>
    <w:p w:rsidR="008D646D" w:rsidRDefault="008D646D" w:rsidP="008D646D">
      <w:pPr>
        <w:pStyle w:val="01"/>
        <w:snapToGrid w:val="0"/>
        <w:rPr>
          <w:rFonts w:hint="eastAsia"/>
        </w:rPr>
      </w:pPr>
      <w:r>
        <w:rPr>
          <w:rFonts w:hint="eastAsia"/>
        </w:rPr>
        <w:t>（五）保荐机构、为证券发行上市制作、出具有关文件的律师事务所、会计师事务所、资产评估机构等证券服务机构及其签字人员，对发行人与发行上市相关的重大或专题事项出具的备忘录及专项意见等；</w:t>
      </w:r>
    </w:p>
    <w:p w:rsidR="008D646D" w:rsidRDefault="008D646D" w:rsidP="008D646D">
      <w:pPr>
        <w:pStyle w:val="01"/>
        <w:snapToGrid w:val="0"/>
        <w:rPr>
          <w:rFonts w:hint="eastAsia"/>
        </w:rPr>
      </w:pPr>
      <w:r>
        <w:rPr>
          <w:rFonts w:hint="eastAsia"/>
        </w:rPr>
        <w:t>（六）保荐机构根据实际情况，对发行人及其子公司、发行人的控股股东或实际控制人及其子公司等的董事、监事、高级管理人员以及其他人员进行访谈的访谈记录；</w:t>
      </w:r>
    </w:p>
    <w:p w:rsidR="008D646D" w:rsidRDefault="008D646D" w:rsidP="008D646D">
      <w:pPr>
        <w:pStyle w:val="01"/>
        <w:snapToGrid w:val="0"/>
        <w:rPr>
          <w:rFonts w:hint="eastAsia"/>
        </w:rPr>
      </w:pPr>
      <w:r>
        <w:rPr>
          <w:rFonts w:hint="eastAsia"/>
        </w:rPr>
        <w:lastRenderedPageBreak/>
        <w:t>（七）保荐机构根据实际情况，对发行人的客户、供应商、开户银行，工商、税务、土地、环保、海关等部门、行业主管部门或行业协会以及其他相关机构或部门的相关人员等进行访谈的访谈记录；</w:t>
      </w:r>
    </w:p>
    <w:p w:rsidR="008D646D" w:rsidRDefault="008D646D" w:rsidP="008D646D">
      <w:pPr>
        <w:pStyle w:val="01"/>
        <w:snapToGrid w:val="0"/>
        <w:rPr>
          <w:rFonts w:hint="eastAsia"/>
        </w:rPr>
      </w:pPr>
      <w:r>
        <w:rPr>
          <w:rFonts w:hint="eastAsia"/>
        </w:rPr>
        <w:t>（八）发行申请文件、反馈意见的回复、询价与配售文件以及上市申请和登记的文件；</w:t>
      </w:r>
    </w:p>
    <w:p w:rsidR="008D646D" w:rsidRDefault="008D646D" w:rsidP="008D646D">
      <w:pPr>
        <w:pStyle w:val="01"/>
        <w:snapToGrid w:val="0"/>
        <w:rPr>
          <w:rFonts w:hint="eastAsia"/>
        </w:rPr>
      </w:pPr>
      <w:r>
        <w:rPr>
          <w:rFonts w:hint="eastAsia"/>
        </w:rPr>
        <w:t>（九）在持续督导过程中获取的文件资料、出具的保荐意见书及保荐总结报告等相关文件；</w:t>
      </w:r>
    </w:p>
    <w:p w:rsidR="008D646D" w:rsidRDefault="008D646D" w:rsidP="008D646D">
      <w:pPr>
        <w:pStyle w:val="01"/>
        <w:snapToGrid w:val="0"/>
        <w:rPr>
          <w:rFonts w:hint="eastAsia"/>
        </w:rPr>
      </w:pPr>
      <w:r>
        <w:rPr>
          <w:rFonts w:hint="eastAsia"/>
        </w:rPr>
        <w:t>（十）保荐代表人为其保荐项目建立的尽职调查工作日志；</w:t>
      </w:r>
    </w:p>
    <w:p w:rsidR="008D646D" w:rsidRDefault="008D646D" w:rsidP="008D646D">
      <w:pPr>
        <w:pStyle w:val="01"/>
        <w:snapToGrid w:val="0"/>
        <w:rPr>
          <w:rFonts w:hint="eastAsia"/>
        </w:rPr>
      </w:pPr>
      <w:r>
        <w:rPr>
          <w:rFonts w:hint="eastAsia"/>
        </w:rPr>
        <w:t>（十一）其他对保荐机构及其保荐代表人履行保荐职责有重大影响的文件资料及信息。</w:t>
      </w:r>
    </w:p>
    <w:p w:rsidR="008D646D" w:rsidRDefault="008D646D" w:rsidP="008D646D">
      <w:pPr>
        <w:pStyle w:val="01"/>
        <w:snapToGrid w:val="0"/>
        <w:rPr>
          <w:rFonts w:hint="eastAsia"/>
        </w:rPr>
      </w:pPr>
      <w:r>
        <w:rPr>
          <w:rFonts w:hint="eastAsia"/>
        </w:rPr>
        <w:t>第七条 发行人子公司对发行人业务经营或财务状况有重大影响的，保荐机构可参照本指引根据重要性和合理性原则对该子公司单独编制工作底稿。</w:t>
      </w:r>
    </w:p>
    <w:p w:rsidR="008D646D" w:rsidRDefault="008D646D" w:rsidP="008D646D">
      <w:pPr>
        <w:pStyle w:val="01"/>
        <w:snapToGrid w:val="0"/>
        <w:rPr>
          <w:rFonts w:hint="eastAsia"/>
        </w:rPr>
      </w:pPr>
      <w:r>
        <w:rPr>
          <w:rFonts w:hint="eastAsia"/>
        </w:rPr>
        <w:t>第八条 工作底稿可以纸质文档、电子文档或者其它介质形式的文档留存，其中重要的工作底稿应当采用纸质文档的形式。以纸质以外的其它介质形式存在的工作底稿，应当以可独立保存的形式留存。</w:t>
      </w:r>
    </w:p>
    <w:p w:rsidR="008D646D" w:rsidRDefault="008D646D" w:rsidP="008D646D">
      <w:pPr>
        <w:pStyle w:val="01"/>
        <w:snapToGrid w:val="0"/>
        <w:rPr>
          <w:rFonts w:hint="eastAsia"/>
        </w:rPr>
      </w:pPr>
      <w:r>
        <w:rPr>
          <w:rFonts w:hint="eastAsia"/>
        </w:rPr>
        <w:t>第九条 保荐机构应当按照本指引的要求，对工作底稿建立统一目录，该目录应当便于查阅与核对。对于本指引中确实不适用的部分，应当在工作底稿目录中注明“不适用”。</w:t>
      </w:r>
    </w:p>
    <w:p w:rsidR="008D646D" w:rsidRDefault="008D646D" w:rsidP="008D646D">
      <w:pPr>
        <w:pStyle w:val="01"/>
        <w:snapToGrid w:val="0"/>
        <w:rPr>
          <w:rFonts w:hint="eastAsia"/>
        </w:rPr>
      </w:pPr>
      <w:r>
        <w:rPr>
          <w:rFonts w:hint="eastAsia"/>
        </w:rPr>
        <w:t>第十条 工作底稿应当内容完整、格式规范、标识统一、记录清晰。工作底稿各章节之间应当有明显的分隔标识，不同章节中存在重复的文件资料，可以采用相互引征的方法。</w:t>
      </w:r>
    </w:p>
    <w:p w:rsidR="008D646D" w:rsidRDefault="008D646D" w:rsidP="008D646D">
      <w:pPr>
        <w:pStyle w:val="01"/>
        <w:snapToGrid w:val="0"/>
        <w:rPr>
          <w:rFonts w:hint="eastAsia"/>
        </w:rPr>
      </w:pPr>
      <w:r>
        <w:rPr>
          <w:rFonts w:hint="eastAsia"/>
        </w:rPr>
        <w:t>第十一条 保荐机构应当对招股说明书进行验证，并按照本指引的要求在验证文件与工作底稿之间建立起索引关系。</w:t>
      </w:r>
    </w:p>
    <w:p w:rsidR="008D646D" w:rsidRDefault="008D646D" w:rsidP="008D646D">
      <w:pPr>
        <w:pStyle w:val="01"/>
        <w:snapToGrid w:val="0"/>
        <w:rPr>
          <w:rFonts w:hint="eastAsia"/>
        </w:rPr>
      </w:pPr>
      <w:r>
        <w:rPr>
          <w:rFonts w:hint="eastAsia"/>
        </w:rPr>
        <w:t>第十二条 保荐机构应当建立工作底稿管理制度，明确工作底稿收集整理的责任人员、归档保管流程、借阅程序与检查办法等。</w:t>
      </w:r>
    </w:p>
    <w:p w:rsidR="008D646D" w:rsidRDefault="008D646D" w:rsidP="008D646D">
      <w:pPr>
        <w:pStyle w:val="01"/>
        <w:snapToGrid w:val="0"/>
        <w:rPr>
          <w:rFonts w:hint="eastAsia"/>
        </w:rPr>
      </w:pPr>
      <w:r>
        <w:rPr>
          <w:rFonts w:hint="eastAsia"/>
        </w:rPr>
        <w:t>工作底稿应当至少保存十年。</w:t>
      </w:r>
    </w:p>
    <w:p w:rsidR="008D646D" w:rsidRDefault="008D646D" w:rsidP="008D646D">
      <w:pPr>
        <w:pStyle w:val="01"/>
        <w:snapToGrid w:val="0"/>
        <w:rPr>
          <w:rFonts w:hint="eastAsia"/>
        </w:rPr>
      </w:pPr>
      <w:r>
        <w:rPr>
          <w:rFonts w:hint="eastAsia"/>
        </w:rPr>
        <w:t>第十三条 在项目每一阶段工作完成后，保荐机构应当及时整理工作底稿并归档，并于项目结束时对工作底稿进行统一存放和管理。</w:t>
      </w:r>
    </w:p>
    <w:p w:rsidR="008D646D" w:rsidRDefault="008D646D" w:rsidP="008D646D">
      <w:pPr>
        <w:pStyle w:val="01"/>
        <w:snapToGrid w:val="0"/>
        <w:rPr>
          <w:rFonts w:hint="eastAsia"/>
        </w:rPr>
      </w:pPr>
      <w:r>
        <w:rPr>
          <w:rFonts w:hint="eastAsia"/>
        </w:rPr>
        <w:t>第十四条 保荐机构及相关人员对工作底稿中的未公开披露的信息负有保密责任。</w:t>
      </w:r>
    </w:p>
    <w:p w:rsidR="008D646D" w:rsidRDefault="008D646D" w:rsidP="008D646D">
      <w:pPr>
        <w:pStyle w:val="01"/>
        <w:snapToGrid w:val="0"/>
        <w:ind w:firstLine="480"/>
        <w:rPr>
          <w:rFonts w:ascii="Arial" w:eastAsia="楷体" w:hAnsi="Arial" w:cs="Arial" w:hint="eastAsia"/>
        </w:rPr>
      </w:pPr>
      <w:r>
        <w:rPr>
          <w:rFonts w:hint="eastAsia"/>
        </w:rPr>
        <w:t>第十五条 指引自2009年4月1日起施行。</w:t>
      </w:r>
    </w:p>
    <w:p w:rsidR="007C2CB2" w:rsidRPr="008D646D" w:rsidRDefault="007C2CB2" w:rsidP="00E86E16">
      <w:pPr>
        <w:ind w:firstLine="480"/>
      </w:pPr>
    </w:p>
    <w:sectPr w:rsidR="007C2CB2" w:rsidRPr="008D646D" w:rsidSect="007C2CB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00185"/>
    <w:rsid w:val="00100185"/>
    <w:rsid w:val="001A5FF1"/>
    <w:rsid w:val="00336292"/>
    <w:rsid w:val="004E362B"/>
    <w:rsid w:val="006865F6"/>
    <w:rsid w:val="007C2CB2"/>
    <w:rsid w:val="008B1807"/>
    <w:rsid w:val="008D646D"/>
    <w:rsid w:val="0091257B"/>
    <w:rsid w:val="00974848"/>
    <w:rsid w:val="00993F91"/>
    <w:rsid w:val="009A22DC"/>
    <w:rsid w:val="00A308A3"/>
    <w:rsid w:val="00BC6A61"/>
    <w:rsid w:val="00BE3843"/>
    <w:rsid w:val="00C24CFF"/>
    <w:rsid w:val="00C3552D"/>
    <w:rsid w:val="00C47305"/>
    <w:rsid w:val="00CC7C60"/>
    <w:rsid w:val="00D006D9"/>
    <w:rsid w:val="00D52B0F"/>
    <w:rsid w:val="00E86E16"/>
    <w:rsid w:val="00F16F9E"/>
    <w:rsid w:val="00F442C3"/>
    <w:rsid w:val="00FF55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4"/>
        <w:szCs w:val="22"/>
        <w:lang w:val="en-US" w:eastAsia="zh-CN" w:bidi="ar-SA"/>
      </w:rPr>
    </w:rPrDefault>
    <w:pPrDefault>
      <w:pPr>
        <w:spacing w:line="360" w:lineRule="exact"/>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CB2"/>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646D"/>
    <w:pPr>
      <w:widowControl/>
      <w:spacing w:before="100" w:beforeAutospacing="1" w:after="100" w:afterAutospacing="1" w:line="240" w:lineRule="auto"/>
      <w:ind w:firstLineChars="0" w:firstLine="0"/>
      <w:jc w:val="left"/>
    </w:pPr>
    <w:rPr>
      <w:rFonts w:ascii="宋体" w:hAnsi="宋体" w:cs="宋体"/>
      <w:kern w:val="0"/>
      <w:szCs w:val="24"/>
    </w:rPr>
  </w:style>
  <w:style w:type="character" w:styleId="a4">
    <w:name w:val="Strong"/>
    <w:basedOn w:val="a0"/>
    <w:uiPriority w:val="22"/>
    <w:qFormat/>
    <w:rsid w:val="008D646D"/>
    <w:rPr>
      <w:b/>
      <w:bCs/>
    </w:rPr>
  </w:style>
  <w:style w:type="paragraph" w:customStyle="1" w:styleId="01">
    <w:name w:val="01"/>
    <w:basedOn w:val="a"/>
    <w:rsid w:val="008D646D"/>
    <w:pPr>
      <w:widowControl/>
      <w:wordWrap w:val="0"/>
      <w:spacing w:before="90" w:after="90" w:line="240" w:lineRule="auto"/>
      <w:ind w:firstLineChars="0" w:firstLine="0"/>
      <w:jc w:val="left"/>
    </w:pPr>
    <w:rPr>
      <w:rFonts w:ascii="宋体" w:hAnsi="宋体" w:cs="宋体"/>
      <w:kern w:val="0"/>
      <w:sz w:val="21"/>
      <w:szCs w:val="21"/>
    </w:rPr>
  </w:style>
</w:styles>
</file>

<file path=word/webSettings.xml><?xml version="1.0" encoding="utf-8"?>
<w:webSettings xmlns:r="http://schemas.openxmlformats.org/officeDocument/2006/relationships" xmlns:w="http://schemas.openxmlformats.org/wordprocessingml/2006/main">
  <w:divs>
    <w:div w:id="1803963901">
      <w:bodyDiv w:val="1"/>
      <w:marLeft w:val="0"/>
      <w:marRight w:val="0"/>
      <w:marTop w:val="0"/>
      <w:marBottom w:val="0"/>
      <w:divBdr>
        <w:top w:val="none" w:sz="0" w:space="0" w:color="auto"/>
        <w:left w:val="none" w:sz="0" w:space="0" w:color="auto"/>
        <w:bottom w:val="none" w:sz="0" w:space="0" w:color="auto"/>
        <w:right w:val="none" w:sz="0" w:space="0" w:color="auto"/>
      </w:divBdr>
      <w:divsChild>
        <w:div w:id="694692966">
          <w:marLeft w:val="0"/>
          <w:marRight w:val="0"/>
          <w:marTop w:val="0"/>
          <w:marBottom w:val="0"/>
          <w:divBdr>
            <w:top w:val="none" w:sz="0" w:space="0" w:color="auto"/>
            <w:left w:val="none" w:sz="0" w:space="0" w:color="auto"/>
            <w:bottom w:val="none" w:sz="0" w:space="0" w:color="auto"/>
            <w:right w:val="none" w:sz="0" w:space="0" w:color="auto"/>
          </w:divBdr>
          <w:divsChild>
            <w:div w:id="895628549">
              <w:marLeft w:val="0"/>
              <w:marRight w:val="0"/>
              <w:marTop w:val="0"/>
              <w:marBottom w:val="0"/>
              <w:divBdr>
                <w:top w:val="none" w:sz="0" w:space="0" w:color="auto"/>
                <w:left w:val="none" w:sz="0" w:space="0" w:color="auto"/>
                <w:bottom w:val="none" w:sz="0" w:space="0" w:color="auto"/>
                <w:right w:val="none" w:sz="0" w:space="0" w:color="auto"/>
              </w:divBdr>
              <w:divsChild>
                <w:div w:id="1608390008">
                  <w:marLeft w:val="0"/>
                  <w:marRight w:val="0"/>
                  <w:marTop w:val="0"/>
                  <w:marBottom w:val="0"/>
                  <w:divBdr>
                    <w:top w:val="none" w:sz="0" w:space="0" w:color="auto"/>
                    <w:left w:val="none" w:sz="0" w:space="0" w:color="auto"/>
                    <w:bottom w:val="none" w:sz="0" w:space="0" w:color="auto"/>
                    <w:right w:val="none" w:sz="0" w:space="0" w:color="auto"/>
                  </w:divBdr>
                  <w:divsChild>
                    <w:div w:id="311450565">
                      <w:marLeft w:val="0"/>
                      <w:marRight w:val="0"/>
                      <w:marTop w:val="0"/>
                      <w:marBottom w:val="0"/>
                      <w:divBdr>
                        <w:top w:val="none" w:sz="0" w:space="0" w:color="auto"/>
                        <w:left w:val="none" w:sz="0" w:space="0" w:color="auto"/>
                        <w:bottom w:val="none" w:sz="0" w:space="0" w:color="auto"/>
                        <w:right w:val="none" w:sz="0" w:space="0" w:color="auto"/>
                      </w:divBdr>
                    </w:div>
                    <w:div w:id="2068727078">
                      <w:marLeft w:val="0"/>
                      <w:marRight w:val="0"/>
                      <w:marTop w:val="0"/>
                      <w:marBottom w:val="0"/>
                      <w:divBdr>
                        <w:top w:val="none" w:sz="0" w:space="0" w:color="auto"/>
                        <w:left w:val="none" w:sz="0" w:space="0" w:color="auto"/>
                        <w:bottom w:val="none" w:sz="0" w:space="0" w:color="auto"/>
                        <w:right w:val="none" w:sz="0" w:space="0" w:color="auto"/>
                      </w:divBdr>
                      <w:divsChild>
                        <w:div w:id="1574974838">
                          <w:marLeft w:val="0"/>
                          <w:marRight w:val="0"/>
                          <w:marTop w:val="0"/>
                          <w:marBottom w:val="0"/>
                          <w:divBdr>
                            <w:top w:val="none" w:sz="0" w:space="0" w:color="auto"/>
                            <w:left w:val="none" w:sz="0" w:space="0" w:color="auto"/>
                            <w:bottom w:val="none" w:sz="0" w:space="0" w:color="auto"/>
                            <w:right w:val="none" w:sz="0" w:space="0" w:color="auto"/>
                          </w:divBdr>
                          <w:divsChild>
                            <w:div w:id="1105074971">
                              <w:marLeft w:val="0"/>
                              <w:marRight w:val="0"/>
                              <w:marTop w:val="0"/>
                              <w:marBottom w:val="0"/>
                              <w:divBdr>
                                <w:top w:val="none" w:sz="0" w:space="0" w:color="auto"/>
                                <w:left w:val="none" w:sz="0" w:space="0" w:color="auto"/>
                                <w:bottom w:val="none" w:sz="0" w:space="0" w:color="auto"/>
                                <w:right w:val="none" w:sz="0" w:space="0" w:color="auto"/>
                              </w:divBdr>
                              <w:divsChild>
                                <w:div w:id="873805496">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1529</Characters>
  <Application>Microsoft Office Word</Application>
  <DocSecurity>0</DocSecurity>
  <Lines>12</Lines>
  <Paragraphs>3</Paragraphs>
  <ScaleCrop>false</ScaleCrop>
  <Company/>
  <LinksUpToDate>false</LinksUpToDate>
  <CharactersWithSpaces>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2014-01-15T03:04:00Z</dcterms:created>
  <dcterms:modified xsi:type="dcterms:W3CDTF">2014-01-15T03:04:00Z</dcterms:modified>
</cp:coreProperties>
</file>