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A6" w:rsidRDefault="00277FA6" w:rsidP="00277FA6">
      <w:pPr>
        <w:pStyle w:val="a3"/>
        <w:ind w:firstLine="720"/>
        <w:jc w:val="center"/>
      </w:pPr>
      <w:r>
        <w:rPr>
          <w:rStyle w:val="a4"/>
          <w:rFonts w:ascii="黑体" w:eastAsia="黑体" w:hAnsi="黑体" w:hint="eastAsia"/>
          <w:color w:val="FF0000"/>
          <w:sz w:val="36"/>
          <w:szCs w:val="36"/>
        </w:rPr>
        <w:t>证监会公告[2009]4号－发行证券的公司信息披露</w:t>
      </w:r>
      <w:r>
        <w:rPr>
          <w:rFonts w:ascii="黑体" w:eastAsia="黑体" w:hAnsi="黑体" w:hint="eastAsia"/>
          <w:b/>
          <w:bCs/>
          <w:color w:val="FF0000"/>
          <w:sz w:val="36"/>
          <w:szCs w:val="36"/>
        </w:rPr>
        <w:br/>
      </w:r>
      <w:r>
        <w:rPr>
          <w:rStyle w:val="a4"/>
          <w:rFonts w:ascii="黑体" w:eastAsia="黑体" w:hAnsi="黑体" w:hint="eastAsia"/>
          <w:color w:val="FF0000"/>
          <w:sz w:val="36"/>
          <w:szCs w:val="36"/>
        </w:rPr>
        <w:t xml:space="preserve">内容与格式准则第27号 </w:t>
      </w:r>
      <w:r>
        <w:br/>
      </w:r>
      <w:r>
        <w:br/>
      </w:r>
    </w:p>
    <w:p w:rsidR="00277FA6" w:rsidRDefault="00277FA6" w:rsidP="00277FA6">
      <w:pPr>
        <w:pStyle w:val="01"/>
        <w:snapToGrid w:val="0"/>
        <w:spacing w:before="100"/>
        <w:jc w:val="both"/>
        <w:rPr>
          <w:rFonts w:ascii="Arial" w:eastAsia="楷体" w:hAnsi="Arial" w:cs="Arial"/>
        </w:rPr>
      </w:pPr>
      <w:r>
        <w:rPr>
          <w:rFonts w:hint="eastAsia"/>
        </w:rPr>
        <w:t>现公布《发行证券的公司信息披露内容与格式准则第27号——发行保荐书和发行保荐工作报告》，自2009年4月1日起施行。</w:t>
      </w:r>
    </w:p>
    <w:p w:rsidR="00277FA6" w:rsidRDefault="00277FA6" w:rsidP="00277FA6">
      <w:pPr>
        <w:pStyle w:val="01"/>
        <w:snapToGrid w:val="0"/>
        <w:spacing w:before="100" w:after="100"/>
        <w:ind w:right="840"/>
        <w:jc w:val="right"/>
        <w:textAlignment w:val="baseline"/>
      </w:pPr>
      <w:r>
        <w:rPr>
          <w:rFonts w:hint="eastAsia"/>
        </w:rPr>
        <w:t>二○○九年三月二十七日</w:t>
      </w:r>
    </w:p>
    <w:p w:rsidR="00277FA6" w:rsidRDefault="00277FA6" w:rsidP="00277FA6">
      <w:pPr>
        <w:pStyle w:val="01"/>
        <w:snapToGrid w:val="0"/>
        <w:spacing w:before="100" w:after="100"/>
        <w:ind w:right="840"/>
        <w:jc w:val="right"/>
        <w:textAlignment w:val="baseline"/>
        <w:rPr>
          <w:rFonts w:hint="eastAsia"/>
        </w:rPr>
      </w:pPr>
      <w:r>
        <w:rPr>
          <w:rFonts w:hint="eastAsia"/>
        </w:rPr>
        <w:t> </w:t>
      </w:r>
    </w:p>
    <w:p w:rsidR="00277FA6" w:rsidRDefault="00277FA6" w:rsidP="00277FA6">
      <w:pPr>
        <w:pStyle w:val="01"/>
        <w:snapToGrid w:val="0"/>
        <w:spacing w:before="100" w:after="100"/>
        <w:jc w:val="right"/>
        <w:rPr>
          <w:rFonts w:hint="eastAsia"/>
        </w:rPr>
      </w:pPr>
    </w:p>
    <w:p w:rsidR="00277FA6" w:rsidRDefault="00277FA6" w:rsidP="00277FA6">
      <w:pPr>
        <w:pStyle w:val="01"/>
        <w:snapToGrid w:val="0"/>
        <w:jc w:val="center"/>
        <w:rPr>
          <w:rFonts w:ascii="黑体" w:eastAsia="黑体" w:hAnsi="黑体" w:hint="eastAsia"/>
          <w:sz w:val="24"/>
          <w:szCs w:val="24"/>
        </w:rPr>
      </w:pPr>
      <w:r>
        <w:rPr>
          <w:rFonts w:ascii="黑体" w:eastAsia="黑体" w:hAnsi="黑体" w:hint="eastAsia"/>
          <w:sz w:val="36"/>
          <w:szCs w:val="36"/>
        </w:rPr>
        <w:t>发行证券的公司信息披露内容与格式准则第27号</w:t>
      </w:r>
    </w:p>
    <w:p w:rsidR="00277FA6" w:rsidRDefault="00277FA6" w:rsidP="00277FA6">
      <w:pPr>
        <w:pStyle w:val="01"/>
        <w:snapToGrid w:val="0"/>
        <w:spacing w:before="100" w:after="100"/>
        <w:jc w:val="center"/>
        <w:rPr>
          <w:rFonts w:ascii="Arial" w:eastAsia="楷体" w:hAnsi="Arial" w:cs="Arial" w:hint="eastAsia"/>
        </w:rPr>
      </w:pPr>
      <w:r>
        <w:rPr>
          <w:rFonts w:ascii="黑体" w:eastAsia="黑体" w:hAnsi="黑体" w:hint="eastAsia"/>
          <w:sz w:val="36"/>
          <w:szCs w:val="36"/>
        </w:rPr>
        <w:t>——发行</w:t>
      </w:r>
      <w:proofErr w:type="gramStart"/>
      <w:r>
        <w:rPr>
          <w:rFonts w:ascii="黑体" w:eastAsia="黑体" w:hAnsi="黑体" w:hint="eastAsia"/>
          <w:sz w:val="36"/>
          <w:szCs w:val="36"/>
        </w:rPr>
        <w:t>保荐书</w:t>
      </w:r>
      <w:proofErr w:type="gramEnd"/>
      <w:r>
        <w:rPr>
          <w:rFonts w:ascii="黑体" w:eastAsia="黑体" w:hAnsi="黑体" w:hint="eastAsia"/>
          <w:sz w:val="36"/>
          <w:szCs w:val="36"/>
        </w:rPr>
        <w:t>和发行保荐工作报告</w:t>
      </w:r>
    </w:p>
    <w:p w:rsidR="00277FA6" w:rsidRDefault="00277FA6" w:rsidP="00277FA6">
      <w:pPr>
        <w:pStyle w:val="01"/>
        <w:snapToGrid w:val="0"/>
        <w:spacing w:before="100" w:after="100"/>
        <w:jc w:val="center"/>
        <w:rPr>
          <w:rFonts w:ascii="Arial" w:eastAsia="楷体" w:hAnsi="Arial" w:cs="Arial"/>
        </w:rPr>
      </w:pPr>
      <w:r>
        <w:rPr>
          <w:rFonts w:ascii="黑体" w:eastAsia="黑体" w:hAnsi="黑体" w:hint="eastAsia"/>
          <w:sz w:val="24"/>
          <w:szCs w:val="24"/>
        </w:rPr>
        <w:t>第一章 总 则</w:t>
      </w:r>
    </w:p>
    <w:p w:rsidR="00277FA6" w:rsidRDefault="00277FA6" w:rsidP="00277FA6">
      <w:pPr>
        <w:pStyle w:val="01"/>
        <w:snapToGrid w:val="0"/>
      </w:pPr>
      <w:r>
        <w:rPr>
          <w:rFonts w:hint="eastAsia"/>
        </w:rPr>
        <w:t>第一条 为了规范发行保荐书、发行保荐工作报告的报送行为，加强证券发行的信息披露，提高保荐机构及其保荐代表人的执业水准，根据《证券法》、《证券发行上市保荐业务管理办法》的规定，制定本准则。</w:t>
      </w:r>
    </w:p>
    <w:p w:rsidR="00277FA6" w:rsidRDefault="00277FA6" w:rsidP="00277FA6">
      <w:pPr>
        <w:pStyle w:val="01"/>
        <w:snapToGrid w:val="0"/>
        <w:rPr>
          <w:rFonts w:hint="eastAsia"/>
        </w:rPr>
      </w:pPr>
      <w:r>
        <w:rPr>
          <w:rFonts w:hint="eastAsia"/>
        </w:rPr>
        <w:t>第二条 申请首次公开发行股票并上市的股份有限公司、发行新股或可转换公司债</w:t>
      </w:r>
      <w:proofErr w:type="gramStart"/>
      <w:r>
        <w:rPr>
          <w:rFonts w:hint="eastAsia"/>
        </w:rPr>
        <w:t>券</w:t>
      </w:r>
      <w:proofErr w:type="gramEnd"/>
      <w:r>
        <w:rPr>
          <w:rFonts w:hint="eastAsia"/>
        </w:rPr>
        <w:t>的上市公司（以下简称发行人）所聘请的保荐机构应当按照本准则的要求出具发行</w:t>
      </w:r>
      <w:proofErr w:type="gramStart"/>
      <w:r>
        <w:rPr>
          <w:rFonts w:hint="eastAsia"/>
        </w:rPr>
        <w:t>保荐书</w:t>
      </w:r>
      <w:proofErr w:type="gramEnd"/>
      <w:r>
        <w:rPr>
          <w:rFonts w:hint="eastAsia"/>
        </w:rPr>
        <w:t>和发行保荐工作报告。</w:t>
      </w:r>
    </w:p>
    <w:p w:rsidR="00277FA6" w:rsidRDefault="00277FA6" w:rsidP="00277FA6">
      <w:pPr>
        <w:pStyle w:val="01"/>
        <w:snapToGrid w:val="0"/>
        <w:rPr>
          <w:rFonts w:hint="eastAsia"/>
        </w:rPr>
      </w:pPr>
      <w:r>
        <w:rPr>
          <w:rFonts w:hint="eastAsia"/>
        </w:rPr>
        <w:t>第三条 发行</w:t>
      </w:r>
      <w:proofErr w:type="gramStart"/>
      <w:r>
        <w:rPr>
          <w:rFonts w:hint="eastAsia"/>
        </w:rPr>
        <w:t>保荐书</w:t>
      </w:r>
      <w:proofErr w:type="gramEnd"/>
      <w:r>
        <w:rPr>
          <w:rFonts w:hint="eastAsia"/>
        </w:rPr>
        <w:t>是保荐机构及其保荐代表人为推荐发行人证券发行而出具的正式法律文件，也是评价保荐机构及其保荐代表人从事保荐业务是否诚实守信、勤勉尽责的重要依据。</w:t>
      </w:r>
    </w:p>
    <w:p w:rsidR="00277FA6" w:rsidRDefault="00277FA6" w:rsidP="00277FA6">
      <w:pPr>
        <w:pStyle w:val="01"/>
        <w:snapToGrid w:val="0"/>
        <w:rPr>
          <w:rFonts w:hint="eastAsia"/>
        </w:rPr>
      </w:pPr>
      <w:r>
        <w:rPr>
          <w:rFonts w:hint="eastAsia"/>
        </w:rPr>
        <w:t>第四条 保荐机构应在发行</w:t>
      </w:r>
      <w:proofErr w:type="gramStart"/>
      <w:r>
        <w:rPr>
          <w:rFonts w:hint="eastAsia"/>
        </w:rPr>
        <w:t>保荐书</w:t>
      </w:r>
      <w:proofErr w:type="gramEnd"/>
      <w:r>
        <w:rPr>
          <w:rFonts w:hint="eastAsia"/>
        </w:rPr>
        <w:t>中对发行人是否符合发行条件，发行人存在的主要风险，保荐机构与发行人的关联关系，保荐机构的推荐结论等事项发表明确意见。</w:t>
      </w:r>
    </w:p>
    <w:p w:rsidR="00277FA6" w:rsidRDefault="00277FA6" w:rsidP="00277FA6">
      <w:pPr>
        <w:pStyle w:val="01"/>
        <w:snapToGrid w:val="0"/>
        <w:rPr>
          <w:rFonts w:hint="eastAsia"/>
        </w:rPr>
      </w:pPr>
      <w:r>
        <w:rPr>
          <w:rFonts w:hint="eastAsia"/>
        </w:rPr>
        <w:t>第五条 发行保荐工作报告是发行</w:t>
      </w:r>
      <w:proofErr w:type="gramStart"/>
      <w:r>
        <w:rPr>
          <w:rFonts w:hint="eastAsia"/>
        </w:rPr>
        <w:t>保荐书</w:t>
      </w:r>
      <w:proofErr w:type="gramEnd"/>
      <w:r>
        <w:rPr>
          <w:rFonts w:hint="eastAsia"/>
        </w:rPr>
        <w:t>的辅助性文件。保荐机构应在发行保荐工作报告中，全面记载尽职推荐发行人的主要工作过程，详细说明尽职推荐过程中发现的发行人存在的主要问题及解决情况，充分揭示发行人面临的主要风险。</w:t>
      </w:r>
    </w:p>
    <w:p w:rsidR="00277FA6" w:rsidRDefault="00277FA6" w:rsidP="00277FA6">
      <w:pPr>
        <w:pStyle w:val="01"/>
        <w:snapToGrid w:val="0"/>
        <w:rPr>
          <w:rFonts w:hint="eastAsia"/>
        </w:rPr>
      </w:pPr>
      <w:r>
        <w:rPr>
          <w:rFonts w:hint="eastAsia"/>
        </w:rPr>
        <w:t>第六条 凡是对投资者做出投资决策有重大影响的问题或者风险，发行保荐工作报告均应予以充分关注和揭示，并详尽、完整地陈述分析，就主要问题的解决情况予以说明。</w:t>
      </w:r>
    </w:p>
    <w:p w:rsidR="00277FA6" w:rsidRDefault="00277FA6" w:rsidP="00277FA6">
      <w:pPr>
        <w:pStyle w:val="01"/>
        <w:snapToGrid w:val="0"/>
        <w:rPr>
          <w:rFonts w:hint="eastAsia"/>
        </w:rPr>
      </w:pPr>
      <w:r>
        <w:rPr>
          <w:rFonts w:hint="eastAsia"/>
        </w:rPr>
        <w:t>第七条 发行保荐书、发行保荐工作报告必须建立在对发行人进行全面调查，充分了解发行人经营状况及其面临风险和问题的基础之上，并具备相应的保荐业务工作底稿支持。</w:t>
      </w:r>
    </w:p>
    <w:p w:rsidR="00277FA6" w:rsidRDefault="00277FA6" w:rsidP="00277FA6">
      <w:pPr>
        <w:pStyle w:val="01"/>
        <w:snapToGrid w:val="0"/>
        <w:rPr>
          <w:rFonts w:hint="eastAsia"/>
        </w:rPr>
      </w:pPr>
      <w:r>
        <w:rPr>
          <w:rFonts w:hint="eastAsia"/>
        </w:rPr>
        <w:t>第八条 发行</w:t>
      </w:r>
      <w:proofErr w:type="gramStart"/>
      <w:r>
        <w:rPr>
          <w:rFonts w:hint="eastAsia"/>
        </w:rPr>
        <w:t>保荐书</w:t>
      </w:r>
      <w:proofErr w:type="gramEnd"/>
      <w:r>
        <w:rPr>
          <w:rFonts w:hint="eastAsia"/>
        </w:rPr>
        <w:t>和发行保荐工作报告开头部分应当载明，保荐机构及其保荐代表人是否根据《公司法》、《证券法》等有关法律、法规和中国证监会的有关规定，诚实守信，勤勉尽责，严格按照依法制订的业务规则、行业执业规范和道德准则出具发行</w:t>
      </w:r>
      <w:proofErr w:type="gramStart"/>
      <w:r>
        <w:rPr>
          <w:rFonts w:hint="eastAsia"/>
        </w:rPr>
        <w:t>保荐书</w:t>
      </w:r>
      <w:proofErr w:type="gramEnd"/>
      <w:r>
        <w:rPr>
          <w:rFonts w:hint="eastAsia"/>
        </w:rPr>
        <w:t>和发行保荐工作报告，并保证所出具文件的真实性、准确性和完整性。</w:t>
      </w:r>
    </w:p>
    <w:p w:rsidR="00277FA6" w:rsidRDefault="00277FA6" w:rsidP="00277FA6">
      <w:pPr>
        <w:pStyle w:val="01"/>
        <w:snapToGrid w:val="0"/>
        <w:rPr>
          <w:rFonts w:ascii="Arial" w:eastAsia="楷体" w:hAnsi="Arial" w:cs="Arial" w:hint="eastAsia"/>
        </w:rPr>
      </w:pPr>
      <w:r>
        <w:rPr>
          <w:rFonts w:hint="eastAsia"/>
        </w:rPr>
        <w:t>第九条 保荐机构报送发行</w:t>
      </w:r>
      <w:proofErr w:type="gramStart"/>
      <w:r>
        <w:rPr>
          <w:rFonts w:hint="eastAsia"/>
        </w:rPr>
        <w:t>保荐书</w:t>
      </w:r>
      <w:proofErr w:type="gramEnd"/>
      <w:r>
        <w:rPr>
          <w:rFonts w:hint="eastAsia"/>
        </w:rPr>
        <w:t>和发行保荐工作报告后，发行人情况发生重大变化并影响本次证券发行条件的，保荐机构应当及时对发行</w:t>
      </w:r>
      <w:proofErr w:type="gramStart"/>
      <w:r>
        <w:rPr>
          <w:rFonts w:hint="eastAsia"/>
        </w:rPr>
        <w:t>保荐书</w:t>
      </w:r>
      <w:proofErr w:type="gramEnd"/>
      <w:r>
        <w:rPr>
          <w:rFonts w:hint="eastAsia"/>
        </w:rPr>
        <w:t>和发行保荐工作报告进行补充、更新。</w:t>
      </w:r>
    </w:p>
    <w:p w:rsidR="00277FA6" w:rsidRDefault="00277FA6" w:rsidP="00277FA6">
      <w:pPr>
        <w:pStyle w:val="01"/>
        <w:snapToGrid w:val="0"/>
        <w:spacing w:before="100" w:after="100"/>
        <w:jc w:val="center"/>
        <w:rPr>
          <w:rFonts w:ascii="Arial" w:eastAsia="楷体" w:hAnsi="Arial" w:cs="Arial"/>
        </w:rPr>
      </w:pPr>
      <w:r>
        <w:rPr>
          <w:rFonts w:ascii="黑体" w:eastAsia="黑体" w:hAnsi="黑体" w:hint="eastAsia"/>
          <w:sz w:val="24"/>
          <w:szCs w:val="24"/>
        </w:rPr>
        <w:lastRenderedPageBreak/>
        <w:t>第二章 发行</w:t>
      </w:r>
      <w:proofErr w:type="gramStart"/>
      <w:r>
        <w:rPr>
          <w:rFonts w:ascii="黑体" w:eastAsia="黑体" w:hAnsi="黑体" w:hint="eastAsia"/>
          <w:sz w:val="24"/>
          <w:szCs w:val="24"/>
        </w:rPr>
        <w:t>保荐书</w:t>
      </w:r>
      <w:proofErr w:type="gramEnd"/>
      <w:r>
        <w:rPr>
          <w:rFonts w:ascii="黑体" w:eastAsia="黑体" w:hAnsi="黑体" w:hint="eastAsia"/>
          <w:sz w:val="24"/>
          <w:szCs w:val="24"/>
        </w:rPr>
        <w:t>的必备内容</w:t>
      </w:r>
    </w:p>
    <w:p w:rsidR="00277FA6" w:rsidRDefault="00277FA6" w:rsidP="00277FA6">
      <w:pPr>
        <w:pStyle w:val="01"/>
        <w:snapToGrid w:val="0"/>
        <w:spacing w:before="100" w:after="100"/>
        <w:jc w:val="center"/>
        <w:rPr>
          <w:rFonts w:ascii="Arial" w:eastAsia="楷体" w:hAnsi="Arial" w:cs="Arial"/>
        </w:rPr>
      </w:pPr>
      <w:r>
        <w:rPr>
          <w:rFonts w:ascii="黑体" w:eastAsia="黑体" w:hAnsi="黑体" w:hint="eastAsia"/>
          <w:sz w:val="24"/>
          <w:szCs w:val="24"/>
        </w:rPr>
        <w:t>第一节 本次证券发行基本情况</w:t>
      </w:r>
    </w:p>
    <w:p w:rsidR="00277FA6" w:rsidRDefault="00277FA6" w:rsidP="00277FA6">
      <w:pPr>
        <w:pStyle w:val="01"/>
        <w:snapToGrid w:val="0"/>
      </w:pPr>
      <w:r>
        <w:rPr>
          <w:rFonts w:hint="eastAsia"/>
        </w:rPr>
        <w:t>第十条 保荐机构应简述本次具体负责推荐的保荐代表人，包括保荐代表人姓名、保荐业务执业情况等内容。</w:t>
      </w:r>
    </w:p>
    <w:p w:rsidR="00277FA6" w:rsidRDefault="00277FA6" w:rsidP="00277FA6">
      <w:pPr>
        <w:pStyle w:val="01"/>
        <w:snapToGrid w:val="0"/>
        <w:rPr>
          <w:rFonts w:hint="eastAsia"/>
        </w:rPr>
      </w:pPr>
      <w:r>
        <w:rPr>
          <w:rFonts w:hint="eastAsia"/>
        </w:rPr>
        <w:t>第十一条 保荐机构应简述本次证券发行项目协办人及其他项目组成员，包括项目协办人姓名、保荐业务执业情况，项目组其他成员姓名等内容。</w:t>
      </w:r>
    </w:p>
    <w:p w:rsidR="00277FA6" w:rsidRDefault="00277FA6" w:rsidP="00277FA6">
      <w:pPr>
        <w:pStyle w:val="01"/>
        <w:snapToGrid w:val="0"/>
        <w:rPr>
          <w:rFonts w:hint="eastAsia"/>
        </w:rPr>
      </w:pPr>
      <w:r>
        <w:rPr>
          <w:rFonts w:hint="eastAsia"/>
        </w:rPr>
        <w:t>第十二条 保荐机构应简述发行人情况，包括发行人名称、注册地及时间、联系方式、业务范围、本次证券发行类型等内容。上市公司非公开发行股票的，还应当披露发行人的最新股权结构、前十名股东情况、历次筹资、现金分红及净资产变化表、主要财务数据及财务指标。</w:t>
      </w:r>
    </w:p>
    <w:p w:rsidR="00277FA6" w:rsidRDefault="00277FA6" w:rsidP="00277FA6">
      <w:pPr>
        <w:pStyle w:val="01"/>
        <w:snapToGrid w:val="0"/>
        <w:rPr>
          <w:rFonts w:hint="eastAsia"/>
        </w:rPr>
      </w:pPr>
      <w:r>
        <w:rPr>
          <w:rFonts w:hint="eastAsia"/>
        </w:rPr>
        <w:t>第十三条 保荐机构应详细说明发行人与保荐机构是否存在下列情形：</w:t>
      </w:r>
    </w:p>
    <w:p w:rsidR="00277FA6" w:rsidRDefault="00277FA6" w:rsidP="00277FA6">
      <w:pPr>
        <w:pStyle w:val="01"/>
        <w:snapToGrid w:val="0"/>
        <w:rPr>
          <w:rFonts w:hint="eastAsia"/>
        </w:rPr>
      </w:pPr>
      <w:r>
        <w:rPr>
          <w:rFonts w:hint="eastAsia"/>
        </w:rPr>
        <w:t>（一）保荐机构或其控股股东、实际控制人、重要关联方持有发行人或其控股股东、实际控制人、重要关联</w:t>
      </w:r>
      <w:proofErr w:type="gramStart"/>
      <w:r>
        <w:rPr>
          <w:rFonts w:hint="eastAsia"/>
        </w:rPr>
        <w:t>方股份</w:t>
      </w:r>
      <w:proofErr w:type="gramEnd"/>
      <w:r>
        <w:rPr>
          <w:rFonts w:hint="eastAsia"/>
        </w:rPr>
        <w:t>的情况；</w:t>
      </w:r>
    </w:p>
    <w:p w:rsidR="00277FA6" w:rsidRDefault="00277FA6" w:rsidP="00277FA6">
      <w:pPr>
        <w:pStyle w:val="01"/>
        <w:snapToGrid w:val="0"/>
        <w:rPr>
          <w:rFonts w:hint="eastAsia"/>
        </w:rPr>
      </w:pPr>
      <w:r>
        <w:rPr>
          <w:rFonts w:hint="eastAsia"/>
        </w:rPr>
        <w:t>（二）发行人或其控股股东、实际控制人、重要关联方持有保荐机构或其控股股东、实际控制人、重要关联</w:t>
      </w:r>
      <w:proofErr w:type="gramStart"/>
      <w:r>
        <w:rPr>
          <w:rFonts w:hint="eastAsia"/>
        </w:rPr>
        <w:t>方股份</w:t>
      </w:r>
      <w:proofErr w:type="gramEnd"/>
      <w:r>
        <w:rPr>
          <w:rFonts w:hint="eastAsia"/>
        </w:rPr>
        <w:t>的情况；</w:t>
      </w:r>
    </w:p>
    <w:p w:rsidR="00277FA6" w:rsidRDefault="00277FA6" w:rsidP="00277FA6">
      <w:pPr>
        <w:pStyle w:val="01"/>
        <w:snapToGrid w:val="0"/>
        <w:rPr>
          <w:rFonts w:hint="eastAsia"/>
        </w:rPr>
      </w:pPr>
      <w:r>
        <w:rPr>
          <w:rFonts w:hint="eastAsia"/>
        </w:rPr>
        <w:t>（三）保荐机构的保荐代表人及其配偶，董事、监事、高级管理人员拥有发行人权益、在发行人任职等情况；</w:t>
      </w:r>
    </w:p>
    <w:p w:rsidR="00277FA6" w:rsidRDefault="00277FA6" w:rsidP="00277FA6">
      <w:pPr>
        <w:pStyle w:val="01"/>
        <w:snapToGrid w:val="0"/>
        <w:rPr>
          <w:rFonts w:hint="eastAsia"/>
        </w:rPr>
      </w:pPr>
      <w:r>
        <w:rPr>
          <w:rFonts w:hint="eastAsia"/>
        </w:rPr>
        <w:t>（四）保荐机构的控股股东、实际控制人、重要关联方与发行人控股股东、实际控制人、重要关联方相互提供担保或者融资等情况；</w:t>
      </w:r>
    </w:p>
    <w:p w:rsidR="00277FA6" w:rsidRDefault="00277FA6" w:rsidP="00277FA6">
      <w:pPr>
        <w:pStyle w:val="01"/>
        <w:snapToGrid w:val="0"/>
        <w:rPr>
          <w:rFonts w:hint="eastAsia"/>
        </w:rPr>
      </w:pPr>
      <w:r>
        <w:rPr>
          <w:rFonts w:hint="eastAsia"/>
        </w:rPr>
        <w:t>（五）保荐机构与发行人之间的其他关联关系。</w:t>
      </w:r>
    </w:p>
    <w:p w:rsidR="00277FA6" w:rsidRDefault="00277FA6" w:rsidP="00277FA6">
      <w:pPr>
        <w:pStyle w:val="01"/>
        <w:snapToGrid w:val="0"/>
        <w:rPr>
          <w:rFonts w:hint="eastAsia"/>
        </w:rPr>
      </w:pPr>
      <w:r>
        <w:rPr>
          <w:rFonts w:hint="eastAsia"/>
        </w:rPr>
        <w:t>存在上述情形的，应当重点说明其对保荐机构及其保荐代表人公正履行保荐职责可能产生的影响。</w:t>
      </w:r>
    </w:p>
    <w:p w:rsidR="00277FA6" w:rsidRDefault="00277FA6" w:rsidP="00277FA6">
      <w:pPr>
        <w:pStyle w:val="01"/>
        <w:snapToGrid w:val="0"/>
        <w:rPr>
          <w:rFonts w:ascii="Arial" w:eastAsia="楷体" w:hAnsi="Arial" w:cs="Arial" w:hint="eastAsia"/>
        </w:rPr>
      </w:pPr>
      <w:r>
        <w:rPr>
          <w:rFonts w:hint="eastAsia"/>
        </w:rPr>
        <w:t>第十四条 保荐机构应简述其内部审核程序和内核意见。</w:t>
      </w:r>
    </w:p>
    <w:p w:rsidR="00277FA6" w:rsidRDefault="00277FA6" w:rsidP="00277FA6">
      <w:pPr>
        <w:pStyle w:val="01"/>
        <w:snapToGrid w:val="0"/>
        <w:spacing w:before="100" w:after="100"/>
        <w:jc w:val="center"/>
        <w:rPr>
          <w:rFonts w:ascii="Arial" w:eastAsia="楷体" w:hAnsi="Arial" w:cs="Arial"/>
        </w:rPr>
      </w:pPr>
      <w:r>
        <w:rPr>
          <w:rFonts w:ascii="黑体" w:eastAsia="黑体" w:hAnsi="黑体" w:hint="eastAsia"/>
          <w:sz w:val="24"/>
          <w:szCs w:val="24"/>
        </w:rPr>
        <w:t>第二节 保荐机构承诺事项</w:t>
      </w:r>
    </w:p>
    <w:p w:rsidR="00277FA6" w:rsidRDefault="00277FA6" w:rsidP="00277FA6">
      <w:pPr>
        <w:pStyle w:val="01"/>
        <w:snapToGrid w:val="0"/>
      </w:pPr>
      <w:r>
        <w:rPr>
          <w:rFonts w:hint="eastAsia"/>
        </w:rPr>
        <w:t>第十五条 保荐机构应承诺已按照法律、行政法规和中国证监会的规定，对发行人及其控股股东、实际控制人进行了尽职调查、审慎核查，同意推荐发行人证券发行上市，并据此出具本发行保荐书。</w:t>
      </w:r>
    </w:p>
    <w:p w:rsidR="00277FA6" w:rsidRDefault="00277FA6" w:rsidP="00277FA6">
      <w:pPr>
        <w:pStyle w:val="01"/>
        <w:snapToGrid w:val="0"/>
        <w:rPr>
          <w:rFonts w:ascii="Arial" w:eastAsia="楷体" w:hAnsi="Arial" w:cs="Arial" w:hint="eastAsia"/>
        </w:rPr>
      </w:pPr>
      <w:r>
        <w:rPr>
          <w:rFonts w:hint="eastAsia"/>
        </w:rPr>
        <w:t>第十六条 保荐机构应就《证券发行上市保荐业务管理办法》第33条所列事项做出承诺。</w:t>
      </w:r>
    </w:p>
    <w:p w:rsidR="00277FA6" w:rsidRDefault="00277FA6" w:rsidP="00277FA6">
      <w:pPr>
        <w:pStyle w:val="01"/>
        <w:snapToGrid w:val="0"/>
        <w:spacing w:before="100" w:after="100"/>
        <w:jc w:val="center"/>
        <w:rPr>
          <w:rFonts w:ascii="Arial" w:eastAsia="楷体" w:hAnsi="Arial" w:cs="Arial"/>
        </w:rPr>
      </w:pPr>
      <w:r>
        <w:rPr>
          <w:rFonts w:ascii="黑体" w:eastAsia="黑体" w:hAnsi="黑体" w:hint="eastAsia"/>
          <w:sz w:val="24"/>
          <w:szCs w:val="24"/>
        </w:rPr>
        <w:t>第三节 对本次证券发行的推荐意见</w:t>
      </w:r>
    </w:p>
    <w:p w:rsidR="00277FA6" w:rsidRDefault="00277FA6" w:rsidP="00277FA6">
      <w:pPr>
        <w:pStyle w:val="01"/>
        <w:snapToGrid w:val="0"/>
      </w:pPr>
      <w:r>
        <w:rPr>
          <w:rFonts w:hint="eastAsia"/>
        </w:rPr>
        <w:t>第十七条 保荐机构应在进行充分尽职调查、审慎核查的基础上，对本次证券发行</w:t>
      </w:r>
      <w:proofErr w:type="gramStart"/>
      <w:r>
        <w:rPr>
          <w:rFonts w:hint="eastAsia"/>
        </w:rPr>
        <w:t>明确发表</w:t>
      </w:r>
      <w:proofErr w:type="gramEnd"/>
      <w:r>
        <w:rPr>
          <w:rFonts w:hint="eastAsia"/>
        </w:rPr>
        <w:t>推荐结论。</w:t>
      </w:r>
    </w:p>
    <w:p w:rsidR="00277FA6" w:rsidRDefault="00277FA6" w:rsidP="00277FA6">
      <w:pPr>
        <w:pStyle w:val="01"/>
        <w:snapToGrid w:val="0"/>
        <w:rPr>
          <w:rFonts w:hint="eastAsia"/>
        </w:rPr>
      </w:pPr>
      <w:r>
        <w:rPr>
          <w:rFonts w:hint="eastAsia"/>
        </w:rPr>
        <w:t>第十八条 保荐机构应逐项说明发行人是否已就本次证券发行履行了《公司法》、《证券法》及中国证监会规定的决策程序。</w:t>
      </w:r>
    </w:p>
    <w:p w:rsidR="00277FA6" w:rsidRDefault="00277FA6" w:rsidP="00277FA6">
      <w:pPr>
        <w:pStyle w:val="01"/>
        <w:snapToGrid w:val="0"/>
        <w:rPr>
          <w:rFonts w:hint="eastAsia"/>
        </w:rPr>
      </w:pPr>
      <w:r>
        <w:rPr>
          <w:rFonts w:hint="eastAsia"/>
        </w:rPr>
        <w:t>第十九条 保荐机构应逐项说明本次证券发行是否符合《证券法》规定的发行条件。</w:t>
      </w:r>
    </w:p>
    <w:p w:rsidR="00277FA6" w:rsidRDefault="00277FA6" w:rsidP="00277FA6">
      <w:pPr>
        <w:pStyle w:val="01"/>
        <w:snapToGrid w:val="0"/>
        <w:rPr>
          <w:rFonts w:hint="eastAsia"/>
        </w:rPr>
      </w:pPr>
      <w:r>
        <w:rPr>
          <w:rFonts w:hint="eastAsia"/>
        </w:rPr>
        <w:t>第二十条 保荐机构应逐项说明本次证券发行是否符合《首次公开发行股票并上市管理办法》或者《上市公司证券发行管理办法》规定的发行条件，并载明得出每项结论的查证过程及事实依据。</w:t>
      </w:r>
    </w:p>
    <w:p w:rsidR="00277FA6" w:rsidRDefault="00277FA6" w:rsidP="00277FA6">
      <w:pPr>
        <w:pStyle w:val="01"/>
        <w:snapToGrid w:val="0"/>
        <w:rPr>
          <w:rFonts w:hint="eastAsia"/>
        </w:rPr>
      </w:pPr>
      <w:r>
        <w:rPr>
          <w:rFonts w:hint="eastAsia"/>
        </w:rPr>
        <w:t>第二十一条 保荐机构应结合发行人行业地位、经营模式、产品结构、经营环境、主要客户、重要资产以及技术等影响持续盈利能力的因素，详细说明发行人存在的主要风险，并对发行人的发展前景进行简要评价。</w:t>
      </w:r>
    </w:p>
    <w:p w:rsidR="00277FA6" w:rsidRDefault="00277FA6" w:rsidP="00277FA6">
      <w:pPr>
        <w:pStyle w:val="01"/>
        <w:snapToGrid w:val="0"/>
        <w:rPr>
          <w:rFonts w:ascii="Arial" w:eastAsia="楷体" w:hAnsi="Arial" w:cs="Arial" w:hint="eastAsia"/>
        </w:rPr>
      </w:pPr>
      <w:r>
        <w:rPr>
          <w:rFonts w:hint="eastAsia"/>
        </w:rPr>
        <w:t>第二十二条 发行</w:t>
      </w:r>
      <w:proofErr w:type="gramStart"/>
      <w:r>
        <w:rPr>
          <w:rFonts w:hint="eastAsia"/>
        </w:rPr>
        <w:t>保荐书</w:t>
      </w:r>
      <w:proofErr w:type="gramEnd"/>
      <w:r>
        <w:rPr>
          <w:rFonts w:hint="eastAsia"/>
        </w:rPr>
        <w:t>应由保荐机构法定代表人、保荐业务负责人、内核负责人、保荐代表人和项目协办人签字，加盖保荐机构公章并注明签署日期。</w:t>
      </w:r>
    </w:p>
    <w:p w:rsidR="00277FA6" w:rsidRDefault="00277FA6" w:rsidP="00277FA6">
      <w:pPr>
        <w:pStyle w:val="01"/>
        <w:snapToGrid w:val="0"/>
        <w:spacing w:before="100" w:after="100"/>
        <w:jc w:val="center"/>
        <w:rPr>
          <w:rFonts w:ascii="Arial" w:eastAsia="楷体" w:hAnsi="Arial" w:cs="Arial"/>
        </w:rPr>
      </w:pPr>
      <w:r>
        <w:rPr>
          <w:rFonts w:ascii="黑体" w:eastAsia="黑体" w:hAnsi="黑体" w:hint="eastAsia"/>
          <w:sz w:val="24"/>
          <w:szCs w:val="24"/>
        </w:rPr>
        <w:lastRenderedPageBreak/>
        <w:t>第三章 发行保荐工作报告的必备内容</w:t>
      </w:r>
    </w:p>
    <w:p w:rsidR="00277FA6" w:rsidRDefault="00277FA6" w:rsidP="00277FA6">
      <w:pPr>
        <w:pStyle w:val="01"/>
        <w:snapToGrid w:val="0"/>
        <w:spacing w:before="100" w:after="100"/>
        <w:jc w:val="center"/>
        <w:rPr>
          <w:rFonts w:ascii="Arial" w:eastAsia="楷体" w:hAnsi="Arial" w:cs="Arial"/>
        </w:rPr>
      </w:pPr>
      <w:r>
        <w:rPr>
          <w:rFonts w:ascii="黑体" w:eastAsia="黑体" w:hAnsi="黑体" w:hint="eastAsia"/>
          <w:sz w:val="24"/>
          <w:szCs w:val="24"/>
        </w:rPr>
        <w:t>第一节 项目运作流程</w:t>
      </w:r>
    </w:p>
    <w:p w:rsidR="00277FA6" w:rsidRDefault="00277FA6" w:rsidP="00277FA6">
      <w:pPr>
        <w:pStyle w:val="01"/>
        <w:snapToGrid w:val="0"/>
      </w:pPr>
      <w:r>
        <w:rPr>
          <w:rFonts w:hint="eastAsia"/>
        </w:rPr>
        <w:t>第二十三条 保荐机构应详细说明其内部的项目审核流程。</w:t>
      </w:r>
    </w:p>
    <w:p w:rsidR="00277FA6" w:rsidRDefault="00277FA6" w:rsidP="00277FA6">
      <w:pPr>
        <w:pStyle w:val="01"/>
        <w:snapToGrid w:val="0"/>
        <w:rPr>
          <w:rFonts w:hint="eastAsia"/>
        </w:rPr>
      </w:pPr>
      <w:r>
        <w:rPr>
          <w:rFonts w:hint="eastAsia"/>
        </w:rPr>
        <w:t>第二十四条 保荐机构应详细说明对本次证券发行项目的立项审核主要过程，包括申请立项时间、立项评估决策机构成员构成及立项评估时间。</w:t>
      </w:r>
    </w:p>
    <w:p w:rsidR="00277FA6" w:rsidRDefault="00277FA6" w:rsidP="00277FA6">
      <w:pPr>
        <w:pStyle w:val="01"/>
        <w:snapToGrid w:val="0"/>
        <w:rPr>
          <w:rFonts w:hint="eastAsia"/>
        </w:rPr>
      </w:pPr>
      <w:r>
        <w:rPr>
          <w:rFonts w:hint="eastAsia"/>
        </w:rPr>
        <w:t>第二十五条 保荐机构应详细说明本次证券发行项目执行的主要过程，包括项目执行成员构成、进场工作的时间、尽职调查的主要过程、保荐代表人参与尽职调查的工作时间以及主要过程等。</w:t>
      </w:r>
    </w:p>
    <w:p w:rsidR="00277FA6" w:rsidRDefault="00277FA6" w:rsidP="00277FA6">
      <w:pPr>
        <w:pStyle w:val="01"/>
        <w:snapToGrid w:val="0"/>
        <w:rPr>
          <w:rFonts w:hint="eastAsia"/>
        </w:rPr>
      </w:pPr>
      <w:r>
        <w:rPr>
          <w:rFonts w:hint="eastAsia"/>
        </w:rPr>
        <w:t>第二十六条 保荐机构应详细说明内部核查部门审核本次证券发行项目的主要过程，包括内部核查部门的成员构成、现场核查的次数及工作时间。</w:t>
      </w:r>
    </w:p>
    <w:p w:rsidR="00277FA6" w:rsidRDefault="00277FA6" w:rsidP="00277FA6">
      <w:pPr>
        <w:pStyle w:val="01"/>
        <w:snapToGrid w:val="0"/>
        <w:rPr>
          <w:rFonts w:ascii="Arial" w:eastAsia="楷体" w:hAnsi="Arial" w:cs="Arial" w:hint="eastAsia"/>
        </w:rPr>
      </w:pPr>
      <w:r>
        <w:rPr>
          <w:rFonts w:hint="eastAsia"/>
        </w:rPr>
        <w:t>第二十七条 保荐机构应详细说明内核小组对发行人本次证券发行项目的审核过程，包括内核小组成员构成、内核小组会议时间、内核小组成员意见、内核小组表决结果等。</w:t>
      </w:r>
    </w:p>
    <w:p w:rsidR="00277FA6" w:rsidRDefault="00277FA6" w:rsidP="00277FA6">
      <w:pPr>
        <w:pStyle w:val="01"/>
        <w:snapToGrid w:val="0"/>
        <w:spacing w:before="100" w:after="100"/>
        <w:jc w:val="center"/>
        <w:rPr>
          <w:rFonts w:ascii="Arial" w:eastAsia="楷体" w:hAnsi="Arial" w:cs="Arial"/>
        </w:rPr>
      </w:pPr>
      <w:r>
        <w:rPr>
          <w:rFonts w:ascii="黑体" w:eastAsia="黑体" w:hAnsi="黑体" w:hint="eastAsia"/>
          <w:sz w:val="24"/>
          <w:szCs w:val="24"/>
        </w:rPr>
        <w:t>第二节 项目存在问题及其解决情况</w:t>
      </w:r>
    </w:p>
    <w:p w:rsidR="00277FA6" w:rsidRDefault="00277FA6" w:rsidP="00277FA6">
      <w:pPr>
        <w:pStyle w:val="01"/>
        <w:snapToGrid w:val="0"/>
      </w:pPr>
      <w:r>
        <w:rPr>
          <w:rFonts w:hint="eastAsia"/>
        </w:rPr>
        <w:t>第二十八条 保荐机构应详细说明立项评估决策机构成员意见、立项评估决策机构成员审议情况。</w:t>
      </w:r>
    </w:p>
    <w:p w:rsidR="00277FA6" w:rsidRDefault="00277FA6" w:rsidP="00277FA6">
      <w:pPr>
        <w:pStyle w:val="01"/>
        <w:snapToGrid w:val="0"/>
        <w:rPr>
          <w:rFonts w:hint="eastAsia"/>
        </w:rPr>
      </w:pPr>
      <w:r>
        <w:rPr>
          <w:rFonts w:hint="eastAsia"/>
        </w:rPr>
        <w:t>第二十九条 保荐机构应详细说明项目执行成员在尽职调查过程中发现和关注的主要问题以及对主要问题的研究、分析与处理情况（</w:t>
      </w:r>
      <w:proofErr w:type="gramStart"/>
      <w:r>
        <w:rPr>
          <w:rFonts w:hint="eastAsia"/>
        </w:rPr>
        <w:t>如协调</w:t>
      </w:r>
      <w:proofErr w:type="gramEnd"/>
      <w:r>
        <w:rPr>
          <w:rFonts w:hint="eastAsia"/>
        </w:rPr>
        <w:t>发行人和证券服务机构召开定期会议、专题会议以及重大事项临时会议的主要内容等），重点说明对主要问题的解决情况。</w:t>
      </w:r>
    </w:p>
    <w:p w:rsidR="00277FA6" w:rsidRDefault="00277FA6" w:rsidP="00277FA6">
      <w:pPr>
        <w:pStyle w:val="01"/>
        <w:snapToGrid w:val="0"/>
        <w:rPr>
          <w:rFonts w:hint="eastAsia"/>
        </w:rPr>
      </w:pPr>
      <w:r>
        <w:rPr>
          <w:rFonts w:hint="eastAsia"/>
        </w:rPr>
        <w:t>第三十条 保荐机构应详细说明内部核查部门关注的主要问题，逐项说明对内部核查部门意见的具体落实情况。</w:t>
      </w:r>
    </w:p>
    <w:p w:rsidR="00277FA6" w:rsidRDefault="00277FA6" w:rsidP="00277FA6">
      <w:pPr>
        <w:pStyle w:val="01"/>
        <w:snapToGrid w:val="0"/>
        <w:rPr>
          <w:rFonts w:hint="eastAsia"/>
        </w:rPr>
      </w:pPr>
      <w:r>
        <w:rPr>
          <w:rFonts w:hint="eastAsia"/>
        </w:rPr>
        <w:t>第三十一条 保荐机构应详细说明内核小组会议讨论的主要问题及审核意见，逐项说明对内核小组意见的具体落实情况。</w:t>
      </w:r>
    </w:p>
    <w:p w:rsidR="00277FA6" w:rsidRDefault="00277FA6" w:rsidP="00277FA6">
      <w:pPr>
        <w:pStyle w:val="01"/>
        <w:snapToGrid w:val="0"/>
        <w:rPr>
          <w:rFonts w:hint="eastAsia"/>
        </w:rPr>
      </w:pPr>
      <w:r>
        <w:rPr>
          <w:rFonts w:hint="eastAsia"/>
        </w:rPr>
        <w:t>第三十二条 保荐机构应陈述核查证券服务机构出具专业意见的情况，说明证券服务机构出具专业意见与保荐机构所作判断存在的差异，对其中的重大差异，应详细说明研究并予以解决的过程。</w:t>
      </w:r>
    </w:p>
    <w:p w:rsidR="00277FA6" w:rsidRDefault="00277FA6" w:rsidP="00277FA6">
      <w:pPr>
        <w:pStyle w:val="01"/>
        <w:snapToGrid w:val="0"/>
        <w:rPr>
          <w:rFonts w:ascii="Arial" w:eastAsia="楷体" w:hAnsi="Arial" w:cs="Arial" w:hint="eastAsia"/>
        </w:rPr>
      </w:pPr>
      <w:r>
        <w:rPr>
          <w:rFonts w:hint="eastAsia"/>
        </w:rPr>
        <w:t>第三十三条 发行保荐工作报告应由保荐机构法定代表人、保荐业务负责人、内核负责人、保荐业务部门负责人、保荐代表人和项目协办人签字，加盖保荐机构公章并注明签署日期。</w:t>
      </w:r>
    </w:p>
    <w:p w:rsidR="00277FA6" w:rsidRDefault="00277FA6" w:rsidP="00277FA6">
      <w:pPr>
        <w:pStyle w:val="01"/>
        <w:snapToGrid w:val="0"/>
        <w:spacing w:before="100" w:after="100"/>
        <w:jc w:val="center"/>
        <w:rPr>
          <w:rFonts w:ascii="Arial" w:eastAsia="楷体" w:hAnsi="Arial" w:cs="Arial"/>
        </w:rPr>
      </w:pPr>
      <w:r>
        <w:rPr>
          <w:rFonts w:ascii="黑体" w:eastAsia="黑体" w:hAnsi="黑体" w:hint="eastAsia"/>
          <w:sz w:val="24"/>
          <w:szCs w:val="24"/>
        </w:rPr>
        <w:t>第四章 附 则</w:t>
      </w:r>
    </w:p>
    <w:p w:rsidR="00277FA6" w:rsidRDefault="00277FA6" w:rsidP="00277FA6">
      <w:pPr>
        <w:pStyle w:val="01"/>
        <w:snapToGrid w:val="0"/>
        <w:spacing w:before="100" w:after="100"/>
        <w:ind w:firstLine="480"/>
        <w:rPr>
          <w:rFonts w:ascii="Arial" w:eastAsia="楷体" w:hAnsi="Arial" w:cs="Arial"/>
        </w:rPr>
      </w:pPr>
      <w:r>
        <w:rPr>
          <w:rFonts w:hint="eastAsia"/>
        </w:rPr>
        <w:t>第三十四条 本准则自2009年4月1日起施行。</w:t>
      </w:r>
    </w:p>
    <w:p w:rsidR="007C2CB2" w:rsidRPr="00277FA6" w:rsidRDefault="007C2CB2" w:rsidP="00E86E16">
      <w:pPr>
        <w:ind w:firstLine="480"/>
      </w:pPr>
    </w:p>
    <w:sectPr w:rsidR="007C2CB2" w:rsidRPr="00277FA6"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3ACF"/>
    <w:rsid w:val="001A5FF1"/>
    <w:rsid w:val="00277FA6"/>
    <w:rsid w:val="00336292"/>
    <w:rsid w:val="004E362B"/>
    <w:rsid w:val="006865F6"/>
    <w:rsid w:val="007C2CB2"/>
    <w:rsid w:val="00844661"/>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83ACF"/>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FA6"/>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277FA6"/>
    <w:rPr>
      <w:b/>
      <w:bCs/>
    </w:rPr>
  </w:style>
  <w:style w:type="paragraph" w:customStyle="1" w:styleId="01">
    <w:name w:val="01"/>
    <w:basedOn w:val="a"/>
    <w:rsid w:val="00277FA6"/>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982660004">
      <w:bodyDiv w:val="1"/>
      <w:marLeft w:val="0"/>
      <w:marRight w:val="0"/>
      <w:marTop w:val="0"/>
      <w:marBottom w:val="0"/>
      <w:divBdr>
        <w:top w:val="none" w:sz="0" w:space="0" w:color="auto"/>
        <w:left w:val="none" w:sz="0" w:space="0" w:color="auto"/>
        <w:bottom w:val="none" w:sz="0" w:space="0" w:color="auto"/>
        <w:right w:val="none" w:sz="0" w:space="0" w:color="auto"/>
      </w:divBdr>
      <w:divsChild>
        <w:div w:id="1634364081">
          <w:marLeft w:val="0"/>
          <w:marRight w:val="0"/>
          <w:marTop w:val="0"/>
          <w:marBottom w:val="0"/>
          <w:divBdr>
            <w:top w:val="none" w:sz="0" w:space="0" w:color="auto"/>
            <w:left w:val="none" w:sz="0" w:space="0" w:color="auto"/>
            <w:bottom w:val="none" w:sz="0" w:space="0" w:color="auto"/>
            <w:right w:val="none" w:sz="0" w:space="0" w:color="auto"/>
          </w:divBdr>
          <w:divsChild>
            <w:div w:id="2048485452">
              <w:marLeft w:val="0"/>
              <w:marRight w:val="0"/>
              <w:marTop w:val="0"/>
              <w:marBottom w:val="0"/>
              <w:divBdr>
                <w:top w:val="none" w:sz="0" w:space="0" w:color="auto"/>
                <w:left w:val="none" w:sz="0" w:space="0" w:color="auto"/>
                <w:bottom w:val="none" w:sz="0" w:space="0" w:color="auto"/>
                <w:right w:val="none" w:sz="0" w:space="0" w:color="auto"/>
              </w:divBdr>
              <w:divsChild>
                <w:div w:id="1199467010">
                  <w:marLeft w:val="0"/>
                  <w:marRight w:val="0"/>
                  <w:marTop w:val="0"/>
                  <w:marBottom w:val="0"/>
                  <w:divBdr>
                    <w:top w:val="none" w:sz="0" w:space="0" w:color="auto"/>
                    <w:left w:val="none" w:sz="0" w:space="0" w:color="auto"/>
                    <w:bottom w:val="none" w:sz="0" w:space="0" w:color="auto"/>
                    <w:right w:val="none" w:sz="0" w:space="0" w:color="auto"/>
                  </w:divBdr>
                  <w:divsChild>
                    <w:div w:id="398986768">
                      <w:marLeft w:val="0"/>
                      <w:marRight w:val="0"/>
                      <w:marTop w:val="0"/>
                      <w:marBottom w:val="0"/>
                      <w:divBdr>
                        <w:top w:val="none" w:sz="0" w:space="0" w:color="auto"/>
                        <w:left w:val="none" w:sz="0" w:space="0" w:color="auto"/>
                        <w:bottom w:val="none" w:sz="0" w:space="0" w:color="auto"/>
                        <w:right w:val="none" w:sz="0" w:space="0" w:color="auto"/>
                      </w:divBdr>
                    </w:div>
                    <w:div w:id="969357741">
                      <w:marLeft w:val="0"/>
                      <w:marRight w:val="0"/>
                      <w:marTop w:val="0"/>
                      <w:marBottom w:val="0"/>
                      <w:divBdr>
                        <w:top w:val="none" w:sz="0" w:space="0" w:color="auto"/>
                        <w:left w:val="none" w:sz="0" w:space="0" w:color="auto"/>
                        <w:bottom w:val="none" w:sz="0" w:space="0" w:color="auto"/>
                        <w:right w:val="none" w:sz="0" w:space="0" w:color="auto"/>
                      </w:divBdr>
                      <w:divsChild>
                        <w:div w:id="1186793978">
                          <w:marLeft w:val="0"/>
                          <w:marRight w:val="0"/>
                          <w:marTop w:val="0"/>
                          <w:marBottom w:val="0"/>
                          <w:divBdr>
                            <w:top w:val="none" w:sz="0" w:space="0" w:color="auto"/>
                            <w:left w:val="none" w:sz="0" w:space="0" w:color="auto"/>
                            <w:bottom w:val="none" w:sz="0" w:space="0" w:color="auto"/>
                            <w:right w:val="none" w:sz="0" w:space="0" w:color="auto"/>
                          </w:divBdr>
                          <w:divsChild>
                            <w:div w:id="331759022">
                              <w:marLeft w:val="0"/>
                              <w:marRight w:val="0"/>
                              <w:marTop w:val="0"/>
                              <w:marBottom w:val="0"/>
                              <w:divBdr>
                                <w:top w:val="none" w:sz="0" w:space="0" w:color="auto"/>
                                <w:left w:val="none" w:sz="0" w:space="0" w:color="auto"/>
                                <w:bottom w:val="none" w:sz="0" w:space="0" w:color="auto"/>
                                <w:right w:val="none" w:sz="0" w:space="0" w:color="auto"/>
                              </w:divBdr>
                              <w:divsChild>
                                <w:div w:id="199328917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2014-01-15T03:05:00Z</dcterms:created>
  <dcterms:modified xsi:type="dcterms:W3CDTF">2014-01-15T03:05:00Z</dcterms:modified>
</cp:coreProperties>
</file>