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61" w:rsidRDefault="008D0A61" w:rsidP="008D0A61">
      <w:pPr>
        <w:pStyle w:val="a3"/>
        <w:ind w:firstLine="720"/>
        <w:jc w:val="center"/>
      </w:pPr>
      <w:r>
        <w:rPr>
          <w:rStyle w:val="a4"/>
          <w:rFonts w:ascii="黑体" w:eastAsia="黑体" w:hAnsi="黑体" w:hint="eastAsia"/>
          <w:color w:val="FF0000"/>
          <w:sz w:val="36"/>
          <w:szCs w:val="36"/>
        </w:rPr>
        <w:t xml:space="preserve">证监会公告[2009]1号－证券投资咨询机构2008年度年检公告 </w:t>
      </w:r>
      <w:r>
        <w:br/>
      </w:r>
      <w:r>
        <w:br/>
      </w:r>
    </w:p>
    <w:p w:rsidR="008D0A61" w:rsidRDefault="008D0A61" w:rsidP="008D0A61">
      <w:pPr>
        <w:pStyle w:val="161"/>
        <w:snapToGrid w:val="0"/>
      </w:pPr>
      <w:r>
        <w:rPr>
          <w:rFonts w:hint="eastAsia"/>
        </w:rPr>
        <w:t>根据《证券、期货投资咨询管理暂行办法》（证委发〔1997〕96号），现就证券投资咨询机构2008年度检查有关事宜公告如下：</w:t>
      </w:r>
    </w:p>
    <w:p w:rsidR="008D0A61" w:rsidRDefault="008D0A61" w:rsidP="008D0A61">
      <w:pPr>
        <w:pStyle w:val="161"/>
        <w:snapToGrid w:val="0"/>
        <w:rPr>
          <w:rFonts w:ascii="黑体" w:eastAsia="黑体" w:hAnsi="黑体" w:hint="eastAsia"/>
          <w:sz w:val="24"/>
          <w:szCs w:val="24"/>
        </w:rPr>
      </w:pPr>
      <w:r>
        <w:rPr>
          <w:rFonts w:ascii="黑体" w:eastAsia="黑体" w:hAnsi="黑体" w:hint="eastAsia"/>
          <w:sz w:val="24"/>
          <w:szCs w:val="24"/>
        </w:rPr>
        <w:t>一、年检对象和检查期间</w:t>
      </w:r>
    </w:p>
    <w:p w:rsidR="008D0A61" w:rsidRDefault="008D0A61" w:rsidP="008D0A61">
      <w:pPr>
        <w:pStyle w:val="161"/>
        <w:snapToGrid w:val="0"/>
        <w:rPr>
          <w:rFonts w:hint="eastAsia"/>
        </w:rPr>
      </w:pPr>
      <w:r>
        <w:rPr>
          <w:rFonts w:hint="eastAsia"/>
        </w:rPr>
        <w:t>年检对象是具备证券投资咨询业务资格的专营类证券投资咨询机构，包括：（1）通过2007年度年检的证券投资咨询机构；（2）申请暂停证券投资咨询业务的证券投资咨询机构；（3）立案稽查已结案，未被取消证券投资咨询业务资格的证券投资咨询机构。正在立案稽查的专营类证券投资咨询机构不参加年检。</w:t>
      </w:r>
    </w:p>
    <w:p w:rsidR="008D0A61" w:rsidRDefault="008D0A61" w:rsidP="008D0A61">
      <w:pPr>
        <w:pStyle w:val="161"/>
        <w:snapToGrid w:val="0"/>
        <w:rPr>
          <w:rFonts w:hint="eastAsia"/>
        </w:rPr>
      </w:pPr>
      <w:r>
        <w:rPr>
          <w:rFonts w:hint="eastAsia"/>
        </w:rPr>
        <w:t>检查期间为2008年1月1日至2008年12月31日。</w:t>
      </w:r>
    </w:p>
    <w:p w:rsidR="008D0A61" w:rsidRDefault="008D0A61" w:rsidP="008D0A61">
      <w:pPr>
        <w:pStyle w:val="161"/>
        <w:snapToGrid w:val="0"/>
        <w:rPr>
          <w:rFonts w:ascii="黑体" w:eastAsia="黑体" w:hAnsi="黑体" w:hint="eastAsia"/>
          <w:sz w:val="24"/>
          <w:szCs w:val="24"/>
        </w:rPr>
      </w:pPr>
      <w:r>
        <w:rPr>
          <w:rFonts w:ascii="黑体" w:eastAsia="黑体" w:hAnsi="黑体" w:hint="eastAsia"/>
          <w:sz w:val="24"/>
          <w:szCs w:val="24"/>
        </w:rPr>
        <w:t>二、年检报送材料</w:t>
      </w:r>
    </w:p>
    <w:p w:rsidR="008D0A61" w:rsidRDefault="008D0A61" w:rsidP="008D0A61">
      <w:pPr>
        <w:pStyle w:val="161"/>
        <w:snapToGrid w:val="0"/>
        <w:rPr>
          <w:rFonts w:hint="eastAsia"/>
        </w:rPr>
      </w:pPr>
      <w:r>
        <w:rPr>
          <w:rFonts w:hint="eastAsia"/>
        </w:rPr>
        <w:t>（一）年度检查申请表（附件1）。</w:t>
      </w:r>
    </w:p>
    <w:p w:rsidR="008D0A61" w:rsidRDefault="008D0A61" w:rsidP="008D0A61">
      <w:pPr>
        <w:pStyle w:val="161"/>
        <w:snapToGrid w:val="0"/>
        <w:rPr>
          <w:rFonts w:hint="eastAsia"/>
        </w:rPr>
      </w:pPr>
      <w:r>
        <w:rPr>
          <w:rFonts w:hint="eastAsia"/>
        </w:rPr>
        <w:t>（二）年度工作报告（参考内容见附件2）。</w:t>
      </w:r>
    </w:p>
    <w:p w:rsidR="008D0A61" w:rsidRDefault="008D0A61" w:rsidP="008D0A61">
      <w:pPr>
        <w:pStyle w:val="161"/>
        <w:snapToGrid w:val="0"/>
        <w:rPr>
          <w:rFonts w:hint="eastAsia"/>
        </w:rPr>
      </w:pPr>
      <w:r>
        <w:rPr>
          <w:rFonts w:hint="eastAsia"/>
        </w:rPr>
        <w:t>（三）2008年年度审计报告（包括资产负债表、损益表、现金流量表、会计报表附注等）。</w:t>
      </w:r>
    </w:p>
    <w:p w:rsidR="008D0A61" w:rsidRDefault="008D0A61" w:rsidP="008D0A61">
      <w:pPr>
        <w:pStyle w:val="161"/>
        <w:snapToGrid w:val="0"/>
        <w:rPr>
          <w:rFonts w:hint="eastAsia"/>
        </w:rPr>
      </w:pPr>
      <w:r>
        <w:rPr>
          <w:rFonts w:hint="eastAsia"/>
        </w:rPr>
        <w:t>（四）中国证监会及其派出机构要求报送的其他材料。</w:t>
      </w:r>
    </w:p>
    <w:p w:rsidR="008D0A61" w:rsidRDefault="008D0A61" w:rsidP="008D0A61">
      <w:pPr>
        <w:pStyle w:val="161"/>
        <w:snapToGrid w:val="0"/>
        <w:rPr>
          <w:rFonts w:ascii="黑体" w:eastAsia="黑体" w:hAnsi="黑体" w:hint="eastAsia"/>
          <w:sz w:val="24"/>
          <w:szCs w:val="24"/>
        </w:rPr>
      </w:pPr>
      <w:r>
        <w:rPr>
          <w:rFonts w:ascii="黑体" w:eastAsia="黑体" w:hAnsi="黑体" w:hint="eastAsia"/>
          <w:sz w:val="24"/>
          <w:szCs w:val="24"/>
        </w:rPr>
        <w:t>三、年检标准</w:t>
      </w:r>
    </w:p>
    <w:p w:rsidR="008D0A61" w:rsidRDefault="008D0A61" w:rsidP="008D0A61">
      <w:pPr>
        <w:pStyle w:val="161"/>
        <w:snapToGrid w:val="0"/>
        <w:rPr>
          <w:rFonts w:hint="eastAsia"/>
        </w:rPr>
      </w:pPr>
      <w:r>
        <w:rPr>
          <w:rFonts w:hint="eastAsia"/>
        </w:rPr>
        <w:t>（一）检查期间存在以下情形之一的证券投资咨询机构，责令限期整改，期限为1个月：</w:t>
      </w:r>
    </w:p>
    <w:p w:rsidR="008D0A61" w:rsidRDefault="008D0A61" w:rsidP="008D0A61">
      <w:pPr>
        <w:pStyle w:val="161"/>
        <w:snapToGrid w:val="0"/>
        <w:rPr>
          <w:rFonts w:hint="eastAsia"/>
        </w:rPr>
      </w:pPr>
      <w:r>
        <w:rPr>
          <w:rFonts w:hint="eastAsia"/>
        </w:rPr>
        <w:t>1.内部控制薄弱、人员和分支机构管理混乱。</w:t>
      </w:r>
    </w:p>
    <w:p w:rsidR="008D0A61" w:rsidRDefault="008D0A61" w:rsidP="008D0A61">
      <w:pPr>
        <w:pStyle w:val="161"/>
        <w:snapToGrid w:val="0"/>
        <w:rPr>
          <w:rFonts w:hint="eastAsia"/>
        </w:rPr>
      </w:pPr>
      <w:r>
        <w:rPr>
          <w:rFonts w:hint="eastAsia"/>
        </w:rPr>
        <w:t>2.检查期间对应当报告或者备案的事项多次发生漏报、迟报或者不报。</w:t>
      </w:r>
    </w:p>
    <w:p w:rsidR="008D0A61" w:rsidRDefault="008D0A61" w:rsidP="008D0A61">
      <w:pPr>
        <w:pStyle w:val="161"/>
        <w:snapToGrid w:val="0"/>
        <w:rPr>
          <w:rFonts w:hint="eastAsia"/>
        </w:rPr>
      </w:pPr>
      <w:r>
        <w:rPr>
          <w:rFonts w:hint="eastAsia"/>
        </w:rPr>
        <w:t>3.未落实《关于规范证券投资咨询机构和广播电视证券节目的通知》（证监发〔2006〕104号）要求，参与的广播电视证券节目不规范，存在宣传</w:t>
      </w:r>
      <w:proofErr w:type="gramStart"/>
      <w:r>
        <w:rPr>
          <w:rFonts w:hint="eastAsia"/>
        </w:rPr>
        <w:t>过往荐股业绩</w:t>
      </w:r>
      <w:proofErr w:type="gramEnd"/>
      <w:r>
        <w:rPr>
          <w:rFonts w:hint="eastAsia"/>
        </w:rPr>
        <w:t>、产品、机构和人员的能力，播出客户招揽内容，违反监管规定擅自播出电话、传真、短信及网址等联络方式等问题。</w:t>
      </w:r>
    </w:p>
    <w:p w:rsidR="008D0A61" w:rsidRDefault="008D0A61" w:rsidP="008D0A61">
      <w:pPr>
        <w:pStyle w:val="161"/>
        <w:snapToGrid w:val="0"/>
        <w:rPr>
          <w:rFonts w:hint="eastAsia"/>
        </w:rPr>
      </w:pPr>
      <w:r>
        <w:rPr>
          <w:rFonts w:hint="eastAsia"/>
        </w:rPr>
        <w:t>4.人员管理不规范，聘请无执业资格人员或其他机构执业人员，代表本机构从事证券投资咨询业务；或者本机构执业人员代表未取得业务许可的机构从事证券投资咨询业务。</w:t>
      </w:r>
    </w:p>
    <w:p w:rsidR="008D0A61" w:rsidRDefault="008D0A61" w:rsidP="008D0A61">
      <w:pPr>
        <w:pStyle w:val="161"/>
        <w:snapToGrid w:val="0"/>
        <w:rPr>
          <w:rFonts w:hint="eastAsia"/>
        </w:rPr>
      </w:pPr>
      <w:r>
        <w:rPr>
          <w:rFonts w:hint="eastAsia"/>
        </w:rPr>
        <w:t>5.以夸大、</w:t>
      </w:r>
      <w:proofErr w:type="gramStart"/>
      <w:r>
        <w:rPr>
          <w:rFonts w:hint="eastAsia"/>
        </w:rPr>
        <w:t>虚报荐股业绩</w:t>
      </w:r>
      <w:proofErr w:type="gramEnd"/>
      <w:r>
        <w:rPr>
          <w:rFonts w:hint="eastAsia"/>
        </w:rPr>
        <w:t>等方式，进行不实、诱导性的广告及营销活动，或者传播其他虚假、片面和误导性的信息。</w:t>
      </w:r>
    </w:p>
    <w:p w:rsidR="008D0A61" w:rsidRDefault="008D0A61" w:rsidP="008D0A61">
      <w:pPr>
        <w:pStyle w:val="161"/>
        <w:snapToGrid w:val="0"/>
        <w:rPr>
          <w:rFonts w:hint="eastAsia"/>
        </w:rPr>
      </w:pPr>
      <w:r>
        <w:rPr>
          <w:rFonts w:hint="eastAsia"/>
        </w:rPr>
        <w:t>6.未按照《会员制证券投资咨询业务管理暂行规定》要求，履行报备程序，停止招收异地会员，提存风险准备金等。</w:t>
      </w:r>
    </w:p>
    <w:p w:rsidR="008D0A61" w:rsidRDefault="008D0A61" w:rsidP="008D0A61">
      <w:pPr>
        <w:pStyle w:val="161"/>
        <w:snapToGrid w:val="0"/>
        <w:rPr>
          <w:rFonts w:hint="eastAsia"/>
        </w:rPr>
      </w:pPr>
      <w:r>
        <w:rPr>
          <w:rFonts w:hint="eastAsia"/>
        </w:rPr>
        <w:t>7.以虚假信息、市场传言或者内幕信息为依据，或者断章取义地引用、篡改有关信息、资料，向投资者提供投资分析、预测或者建议；就同一问题向不同客户提供的投资分析或者建议不一致。</w:t>
      </w:r>
    </w:p>
    <w:p w:rsidR="008D0A61" w:rsidRDefault="008D0A61" w:rsidP="008D0A61">
      <w:pPr>
        <w:pStyle w:val="161"/>
        <w:snapToGrid w:val="0"/>
        <w:rPr>
          <w:rFonts w:hint="eastAsia"/>
        </w:rPr>
      </w:pPr>
      <w:r>
        <w:rPr>
          <w:rFonts w:hint="eastAsia"/>
        </w:rPr>
        <w:t>8.在报刊、电台、电视台、网站或者其他传播媒体上向投资者发表投资咨询文章、报告或者意见时，未注明机构名称和执业人员真实姓名，未对投资风险作充分说明；在向投资者提供的证券、期货投资咨询传真件上，未注明机构名称、地址、联系电话和联系人姓名。</w:t>
      </w:r>
    </w:p>
    <w:p w:rsidR="008D0A61" w:rsidRDefault="008D0A61" w:rsidP="008D0A61">
      <w:pPr>
        <w:pStyle w:val="161"/>
        <w:snapToGrid w:val="0"/>
        <w:rPr>
          <w:rFonts w:hint="eastAsia"/>
        </w:rPr>
      </w:pPr>
      <w:r>
        <w:rPr>
          <w:rFonts w:hint="eastAsia"/>
        </w:rPr>
        <w:t>9.向投资者或社会公众提供的投资咨询相关资料，</w:t>
      </w:r>
      <w:proofErr w:type="gramStart"/>
      <w:r>
        <w:rPr>
          <w:rFonts w:hint="eastAsia"/>
        </w:rPr>
        <w:t>自提供</w:t>
      </w:r>
      <w:proofErr w:type="gramEnd"/>
      <w:r>
        <w:rPr>
          <w:rFonts w:hint="eastAsia"/>
        </w:rPr>
        <w:t>之日</w:t>
      </w:r>
      <w:proofErr w:type="gramStart"/>
      <w:r>
        <w:rPr>
          <w:rFonts w:hint="eastAsia"/>
        </w:rPr>
        <w:t>起未能</w:t>
      </w:r>
      <w:proofErr w:type="gramEnd"/>
      <w:r>
        <w:rPr>
          <w:rFonts w:hint="eastAsia"/>
        </w:rPr>
        <w:t>保存2年；向媒体提供的投资咨询相关稿件，</w:t>
      </w:r>
      <w:proofErr w:type="gramStart"/>
      <w:r>
        <w:rPr>
          <w:rFonts w:hint="eastAsia"/>
        </w:rPr>
        <w:t>自提供</w:t>
      </w:r>
      <w:proofErr w:type="gramEnd"/>
      <w:r>
        <w:rPr>
          <w:rFonts w:hint="eastAsia"/>
        </w:rPr>
        <w:t>之日</w:t>
      </w:r>
      <w:proofErr w:type="gramStart"/>
      <w:r>
        <w:rPr>
          <w:rFonts w:hint="eastAsia"/>
        </w:rPr>
        <w:t>起未能</w:t>
      </w:r>
      <w:proofErr w:type="gramEnd"/>
      <w:r>
        <w:rPr>
          <w:rFonts w:hint="eastAsia"/>
        </w:rPr>
        <w:t>以书面形式保存3年。</w:t>
      </w:r>
    </w:p>
    <w:p w:rsidR="008D0A61" w:rsidRDefault="008D0A61" w:rsidP="008D0A61">
      <w:pPr>
        <w:pStyle w:val="161"/>
        <w:snapToGrid w:val="0"/>
        <w:rPr>
          <w:rFonts w:hint="eastAsia"/>
        </w:rPr>
      </w:pPr>
      <w:r>
        <w:rPr>
          <w:rFonts w:hint="eastAsia"/>
        </w:rPr>
        <w:lastRenderedPageBreak/>
        <w:t>10.检查期间被证券监管部门通报批评、高管人员被正式谈话提醒（指正式发函通知并做监管谈话记录的）两次以上。</w:t>
      </w:r>
    </w:p>
    <w:p w:rsidR="008D0A61" w:rsidRDefault="008D0A61" w:rsidP="008D0A61">
      <w:pPr>
        <w:pStyle w:val="161"/>
        <w:snapToGrid w:val="0"/>
        <w:rPr>
          <w:rFonts w:hint="eastAsia"/>
        </w:rPr>
      </w:pPr>
      <w:r>
        <w:rPr>
          <w:rFonts w:hint="eastAsia"/>
        </w:rPr>
        <w:t>11.检查期间受投诉、举报次数较多，经查属实，未能妥善处理。</w:t>
      </w:r>
    </w:p>
    <w:p w:rsidR="008D0A61" w:rsidRDefault="008D0A61" w:rsidP="008D0A61">
      <w:pPr>
        <w:pStyle w:val="161"/>
        <w:snapToGrid w:val="0"/>
        <w:rPr>
          <w:rFonts w:hint="eastAsia"/>
        </w:rPr>
      </w:pPr>
      <w:r>
        <w:rPr>
          <w:rFonts w:hint="eastAsia"/>
        </w:rPr>
        <w:t>12.中国证监会及其派出机构依据法律法规及审慎监管原则认定的其他情形。</w:t>
      </w:r>
    </w:p>
    <w:p w:rsidR="008D0A61" w:rsidRDefault="008D0A61" w:rsidP="008D0A61">
      <w:pPr>
        <w:pStyle w:val="161"/>
        <w:snapToGrid w:val="0"/>
        <w:rPr>
          <w:rFonts w:hint="eastAsia"/>
        </w:rPr>
      </w:pPr>
      <w:r>
        <w:rPr>
          <w:rFonts w:hint="eastAsia"/>
        </w:rPr>
        <w:t>整改期间停止新增证券投资咨询业务，也不得以其他方式变相开展证券投资咨询业务。我会根据整改情况进行审核，整改验收情况将作为是否通过年检的重要依据。</w:t>
      </w:r>
    </w:p>
    <w:p w:rsidR="008D0A61" w:rsidRDefault="008D0A61" w:rsidP="008D0A61">
      <w:pPr>
        <w:pStyle w:val="161"/>
        <w:snapToGrid w:val="0"/>
        <w:rPr>
          <w:rFonts w:hint="eastAsia"/>
        </w:rPr>
      </w:pPr>
      <w:r>
        <w:rPr>
          <w:rFonts w:hint="eastAsia"/>
        </w:rPr>
        <w:t>（二）检查期间存在以下情形之一的证券投资咨询机构，不予通过年检：</w:t>
      </w:r>
    </w:p>
    <w:p w:rsidR="008D0A61" w:rsidRDefault="008D0A61" w:rsidP="008D0A61">
      <w:pPr>
        <w:pStyle w:val="161"/>
        <w:snapToGrid w:val="0"/>
        <w:rPr>
          <w:rFonts w:hint="eastAsia"/>
        </w:rPr>
      </w:pPr>
      <w:r>
        <w:rPr>
          <w:rFonts w:hint="eastAsia"/>
        </w:rPr>
        <w:t>1.不能持续符合证券投资咨询业务资格条件。</w:t>
      </w:r>
    </w:p>
    <w:p w:rsidR="008D0A61" w:rsidRDefault="008D0A61" w:rsidP="008D0A61">
      <w:pPr>
        <w:pStyle w:val="161"/>
        <w:snapToGrid w:val="0"/>
        <w:rPr>
          <w:rFonts w:hint="eastAsia"/>
        </w:rPr>
      </w:pPr>
      <w:r>
        <w:rPr>
          <w:rFonts w:hint="eastAsia"/>
        </w:rPr>
        <w:t>2.拒不整改、未按期上报整改报告、不能在规定时间内完成整改、整改没有明显效果或者在整改期内继续开展新的证券投资咨询业务。</w:t>
      </w:r>
    </w:p>
    <w:p w:rsidR="008D0A61" w:rsidRDefault="008D0A61" w:rsidP="008D0A61">
      <w:pPr>
        <w:pStyle w:val="161"/>
        <w:snapToGrid w:val="0"/>
        <w:rPr>
          <w:rFonts w:hint="eastAsia"/>
        </w:rPr>
      </w:pPr>
      <w:r>
        <w:rPr>
          <w:rFonts w:hint="eastAsia"/>
        </w:rPr>
        <w:t>3.参与向社会公众非法买卖或代理买卖未上市公司股票等非法证券活动。</w:t>
      </w:r>
    </w:p>
    <w:p w:rsidR="008D0A61" w:rsidRDefault="008D0A61" w:rsidP="008D0A61">
      <w:pPr>
        <w:pStyle w:val="161"/>
        <w:snapToGrid w:val="0"/>
        <w:rPr>
          <w:rFonts w:hint="eastAsia"/>
        </w:rPr>
      </w:pPr>
      <w:r>
        <w:rPr>
          <w:rFonts w:hint="eastAsia"/>
        </w:rPr>
        <w:t>4.检查期间对应当报告的事项拒不按要求报送；或者多次对应当报告或备案的事项漏报、迟报，情节严重。</w:t>
      </w:r>
    </w:p>
    <w:p w:rsidR="008D0A61" w:rsidRDefault="008D0A61" w:rsidP="008D0A61">
      <w:pPr>
        <w:pStyle w:val="161"/>
        <w:snapToGrid w:val="0"/>
        <w:rPr>
          <w:rFonts w:hint="eastAsia"/>
        </w:rPr>
      </w:pPr>
      <w:r>
        <w:rPr>
          <w:rFonts w:hint="eastAsia"/>
        </w:rPr>
        <w:t>5.未在规定时间内、按规定要求提交年检材料、履行年检义务，或者报送的文件、资料存在虚假陈述或重大遗漏。</w:t>
      </w:r>
    </w:p>
    <w:p w:rsidR="008D0A61" w:rsidRDefault="008D0A61" w:rsidP="008D0A61">
      <w:pPr>
        <w:pStyle w:val="161"/>
        <w:snapToGrid w:val="0"/>
        <w:rPr>
          <w:rFonts w:hint="eastAsia"/>
        </w:rPr>
      </w:pPr>
      <w:r>
        <w:rPr>
          <w:rFonts w:hint="eastAsia"/>
        </w:rPr>
        <w:t>6.未按规定进行信息公示，或者公示内容存在虚假陈述或重大遗漏。</w:t>
      </w:r>
    </w:p>
    <w:p w:rsidR="008D0A61" w:rsidRDefault="008D0A61" w:rsidP="008D0A61">
      <w:pPr>
        <w:pStyle w:val="161"/>
        <w:snapToGrid w:val="0"/>
        <w:rPr>
          <w:rFonts w:hint="eastAsia"/>
        </w:rPr>
      </w:pPr>
      <w:r>
        <w:rPr>
          <w:rFonts w:hint="eastAsia"/>
        </w:rPr>
        <w:t>7.采取各种方式拒绝、阻碍、故意逃避证券监管部门依法进行现场检查、专项核查及日常监管。</w:t>
      </w:r>
    </w:p>
    <w:p w:rsidR="008D0A61" w:rsidRDefault="008D0A61" w:rsidP="008D0A61">
      <w:pPr>
        <w:pStyle w:val="161"/>
        <w:snapToGrid w:val="0"/>
        <w:rPr>
          <w:rFonts w:hint="eastAsia"/>
        </w:rPr>
      </w:pPr>
      <w:r>
        <w:rPr>
          <w:rFonts w:hint="eastAsia"/>
        </w:rPr>
        <w:t>8.出资不实，经查属实。</w:t>
      </w:r>
    </w:p>
    <w:p w:rsidR="008D0A61" w:rsidRDefault="008D0A61" w:rsidP="008D0A61">
      <w:pPr>
        <w:pStyle w:val="161"/>
        <w:snapToGrid w:val="0"/>
        <w:rPr>
          <w:rFonts w:hint="eastAsia"/>
        </w:rPr>
      </w:pPr>
      <w:r>
        <w:rPr>
          <w:rFonts w:hint="eastAsia"/>
        </w:rPr>
        <w:t>9.资不抵债，无法持续经营。</w:t>
      </w:r>
    </w:p>
    <w:p w:rsidR="008D0A61" w:rsidRDefault="008D0A61" w:rsidP="008D0A61">
      <w:pPr>
        <w:pStyle w:val="161"/>
        <w:snapToGrid w:val="0"/>
        <w:rPr>
          <w:rFonts w:hint="eastAsia"/>
        </w:rPr>
      </w:pPr>
      <w:r>
        <w:rPr>
          <w:rFonts w:hint="eastAsia"/>
        </w:rPr>
        <w:t>10.内部管理混乱，聘请无执业资格人员或其他机构执业人员代表本机构从事证券投资咨询业务，情节严重。</w:t>
      </w:r>
    </w:p>
    <w:p w:rsidR="008D0A61" w:rsidRDefault="008D0A61" w:rsidP="008D0A61">
      <w:pPr>
        <w:pStyle w:val="161"/>
        <w:snapToGrid w:val="0"/>
        <w:rPr>
          <w:rFonts w:hint="eastAsia"/>
        </w:rPr>
      </w:pPr>
      <w:r>
        <w:rPr>
          <w:rFonts w:hint="eastAsia"/>
        </w:rPr>
        <w:t>11.出租、出借证券投资咨询业务资格证书和执业人员资格证书。</w:t>
      </w:r>
    </w:p>
    <w:p w:rsidR="008D0A61" w:rsidRDefault="008D0A61" w:rsidP="008D0A61">
      <w:pPr>
        <w:pStyle w:val="161"/>
        <w:snapToGrid w:val="0"/>
        <w:rPr>
          <w:rFonts w:hint="eastAsia"/>
        </w:rPr>
      </w:pPr>
      <w:r>
        <w:rPr>
          <w:rFonts w:hint="eastAsia"/>
        </w:rPr>
        <w:t>12.检查期间受投诉、举报次数较多，经查属实，情节严重，影响恶劣，公司未能妥善处理。</w:t>
      </w:r>
    </w:p>
    <w:p w:rsidR="008D0A61" w:rsidRDefault="008D0A61" w:rsidP="008D0A61">
      <w:pPr>
        <w:pStyle w:val="161"/>
        <w:snapToGrid w:val="0"/>
        <w:rPr>
          <w:rFonts w:hint="eastAsia"/>
        </w:rPr>
      </w:pPr>
      <w:r>
        <w:rPr>
          <w:rFonts w:hint="eastAsia"/>
        </w:rPr>
        <w:t>13.违反《证券法》第一百七十一条规定，存在代理委托人从事证券投资、与委托人约定分享证券投资收益或者分担证券投资损失、买卖本咨询机构提供服务的上市公司股票等情形。</w:t>
      </w:r>
    </w:p>
    <w:p w:rsidR="008D0A61" w:rsidRDefault="008D0A61" w:rsidP="008D0A61">
      <w:pPr>
        <w:pStyle w:val="161"/>
        <w:snapToGrid w:val="0"/>
        <w:rPr>
          <w:rFonts w:hint="eastAsia"/>
        </w:rPr>
      </w:pPr>
      <w:r>
        <w:rPr>
          <w:rFonts w:hint="eastAsia"/>
        </w:rPr>
        <w:t>14.因违法违规行为受到刑事制裁。</w:t>
      </w:r>
    </w:p>
    <w:p w:rsidR="008D0A61" w:rsidRDefault="008D0A61" w:rsidP="008D0A61">
      <w:pPr>
        <w:pStyle w:val="161"/>
        <w:snapToGrid w:val="0"/>
        <w:rPr>
          <w:rFonts w:hint="eastAsia"/>
        </w:rPr>
      </w:pPr>
      <w:r>
        <w:rPr>
          <w:rFonts w:hint="eastAsia"/>
        </w:rPr>
        <w:t>15.因违法违规受到证券监管部门行政处罚两次以上，情节严重。</w:t>
      </w:r>
    </w:p>
    <w:p w:rsidR="008D0A61" w:rsidRDefault="008D0A61" w:rsidP="008D0A61">
      <w:pPr>
        <w:pStyle w:val="161"/>
        <w:snapToGrid w:val="0"/>
        <w:rPr>
          <w:rFonts w:hint="eastAsia"/>
        </w:rPr>
      </w:pPr>
      <w:r>
        <w:rPr>
          <w:rFonts w:hint="eastAsia"/>
        </w:rPr>
        <w:t>16.中国证监会及其派出机构依据法律法规及审慎监管原则认定的其他情形。</w:t>
      </w:r>
    </w:p>
    <w:p w:rsidR="008D0A61" w:rsidRDefault="008D0A61" w:rsidP="008D0A61">
      <w:pPr>
        <w:pStyle w:val="161"/>
        <w:snapToGrid w:val="0"/>
        <w:rPr>
          <w:rFonts w:ascii="黑体" w:eastAsia="黑体" w:hAnsi="黑体" w:hint="eastAsia"/>
          <w:sz w:val="24"/>
          <w:szCs w:val="24"/>
        </w:rPr>
      </w:pPr>
      <w:r>
        <w:rPr>
          <w:rFonts w:ascii="黑体" w:eastAsia="黑体" w:hAnsi="黑体" w:hint="eastAsia"/>
          <w:sz w:val="24"/>
          <w:szCs w:val="24"/>
        </w:rPr>
        <w:t>四、年检工作要求</w:t>
      </w:r>
    </w:p>
    <w:p w:rsidR="008D0A61" w:rsidRDefault="008D0A61" w:rsidP="008D0A61">
      <w:pPr>
        <w:pStyle w:val="161"/>
        <w:snapToGrid w:val="0"/>
        <w:rPr>
          <w:rFonts w:hint="eastAsia"/>
        </w:rPr>
      </w:pPr>
      <w:r>
        <w:rPr>
          <w:rFonts w:hint="eastAsia"/>
        </w:rPr>
        <w:t>（一）参加年检的证券投资咨询机构应当于2009年4月30日前将书面年检申报材料报送</w:t>
      </w:r>
      <w:proofErr w:type="gramStart"/>
      <w:r>
        <w:rPr>
          <w:rFonts w:hint="eastAsia"/>
        </w:rPr>
        <w:t>注册地证监</w:t>
      </w:r>
      <w:proofErr w:type="gramEnd"/>
      <w:r>
        <w:rPr>
          <w:rFonts w:hint="eastAsia"/>
        </w:rPr>
        <w:t>局，将申报材料电子版录入机构监管综合信息系统。设有分支机构的参检机构，应当参照年检报送材料格式填写分支机构有关情况，于2009年4月30日前将分支机构情况同时报送注册地和分支机构所在地证监局。未按规定及时报送年检材料的机构，不得继续从事证券投资咨询业务。</w:t>
      </w:r>
    </w:p>
    <w:p w:rsidR="008D0A61" w:rsidRDefault="008D0A61" w:rsidP="008D0A61">
      <w:pPr>
        <w:pStyle w:val="161"/>
        <w:snapToGrid w:val="0"/>
        <w:rPr>
          <w:rFonts w:hint="eastAsia"/>
        </w:rPr>
      </w:pPr>
      <w:r>
        <w:rPr>
          <w:rFonts w:hint="eastAsia"/>
        </w:rPr>
        <w:t>（二）年检报送材料中，要求法定代表人和填报人签字项必须为手写签名。</w:t>
      </w:r>
    </w:p>
    <w:p w:rsidR="008D0A61" w:rsidRDefault="008D0A61" w:rsidP="008D0A61">
      <w:pPr>
        <w:pStyle w:val="161"/>
        <w:snapToGrid w:val="0"/>
        <w:spacing w:line="360" w:lineRule="auto"/>
        <w:ind w:right="840" w:firstLine="480"/>
        <w:jc w:val="right"/>
        <w:textAlignment w:val="baseline"/>
        <w:rPr>
          <w:rFonts w:hint="eastAsia"/>
        </w:rPr>
      </w:pPr>
      <w:r>
        <w:rPr>
          <w:rFonts w:hint="eastAsia"/>
        </w:rPr>
        <w:t>二○○九年二月二十七日</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1159"/>
    <w:rsid w:val="001A5FF1"/>
    <w:rsid w:val="0023696B"/>
    <w:rsid w:val="00336292"/>
    <w:rsid w:val="004E362B"/>
    <w:rsid w:val="006865F6"/>
    <w:rsid w:val="007C2CB2"/>
    <w:rsid w:val="008B1807"/>
    <w:rsid w:val="008D0A61"/>
    <w:rsid w:val="0091257B"/>
    <w:rsid w:val="00974848"/>
    <w:rsid w:val="00993F91"/>
    <w:rsid w:val="009A22DC"/>
    <w:rsid w:val="00A308A3"/>
    <w:rsid w:val="00BC6A61"/>
    <w:rsid w:val="00BE3843"/>
    <w:rsid w:val="00C24CFF"/>
    <w:rsid w:val="00C3552D"/>
    <w:rsid w:val="00C47305"/>
    <w:rsid w:val="00C51159"/>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A61"/>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8D0A61"/>
    <w:rPr>
      <w:b/>
      <w:bCs/>
    </w:rPr>
  </w:style>
  <w:style w:type="paragraph" w:customStyle="1" w:styleId="161">
    <w:name w:val="161"/>
    <w:basedOn w:val="a"/>
    <w:rsid w:val="008D0A61"/>
    <w:pPr>
      <w:widowControl/>
      <w:wordWrap w:val="0"/>
      <w:spacing w:before="90" w:after="90" w:line="240" w:lineRule="auto"/>
      <w:ind w:firstLineChars="0" w:firstLine="420"/>
      <w:jc w:val="left"/>
    </w:pPr>
    <w:rPr>
      <w:rFonts w:ascii="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1871842518">
      <w:bodyDiv w:val="1"/>
      <w:marLeft w:val="0"/>
      <w:marRight w:val="0"/>
      <w:marTop w:val="0"/>
      <w:marBottom w:val="0"/>
      <w:divBdr>
        <w:top w:val="none" w:sz="0" w:space="0" w:color="auto"/>
        <w:left w:val="none" w:sz="0" w:space="0" w:color="auto"/>
        <w:bottom w:val="none" w:sz="0" w:space="0" w:color="auto"/>
        <w:right w:val="none" w:sz="0" w:space="0" w:color="auto"/>
      </w:divBdr>
      <w:divsChild>
        <w:div w:id="186598768">
          <w:marLeft w:val="0"/>
          <w:marRight w:val="0"/>
          <w:marTop w:val="0"/>
          <w:marBottom w:val="0"/>
          <w:divBdr>
            <w:top w:val="none" w:sz="0" w:space="0" w:color="auto"/>
            <w:left w:val="none" w:sz="0" w:space="0" w:color="auto"/>
            <w:bottom w:val="none" w:sz="0" w:space="0" w:color="auto"/>
            <w:right w:val="none" w:sz="0" w:space="0" w:color="auto"/>
          </w:divBdr>
          <w:divsChild>
            <w:div w:id="200751148">
              <w:marLeft w:val="0"/>
              <w:marRight w:val="0"/>
              <w:marTop w:val="0"/>
              <w:marBottom w:val="0"/>
              <w:divBdr>
                <w:top w:val="none" w:sz="0" w:space="0" w:color="auto"/>
                <w:left w:val="none" w:sz="0" w:space="0" w:color="auto"/>
                <w:bottom w:val="none" w:sz="0" w:space="0" w:color="auto"/>
                <w:right w:val="none" w:sz="0" w:space="0" w:color="auto"/>
              </w:divBdr>
              <w:divsChild>
                <w:div w:id="1194153783">
                  <w:marLeft w:val="0"/>
                  <w:marRight w:val="0"/>
                  <w:marTop w:val="0"/>
                  <w:marBottom w:val="0"/>
                  <w:divBdr>
                    <w:top w:val="none" w:sz="0" w:space="0" w:color="auto"/>
                    <w:left w:val="none" w:sz="0" w:space="0" w:color="auto"/>
                    <w:bottom w:val="none" w:sz="0" w:space="0" w:color="auto"/>
                    <w:right w:val="none" w:sz="0" w:space="0" w:color="auto"/>
                  </w:divBdr>
                  <w:divsChild>
                    <w:div w:id="152768240">
                      <w:marLeft w:val="0"/>
                      <w:marRight w:val="0"/>
                      <w:marTop w:val="0"/>
                      <w:marBottom w:val="0"/>
                      <w:divBdr>
                        <w:top w:val="none" w:sz="0" w:space="0" w:color="auto"/>
                        <w:left w:val="none" w:sz="0" w:space="0" w:color="auto"/>
                        <w:bottom w:val="none" w:sz="0" w:space="0" w:color="auto"/>
                        <w:right w:val="none" w:sz="0" w:space="0" w:color="auto"/>
                      </w:divBdr>
                    </w:div>
                    <w:div w:id="483352051">
                      <w:marLeft w:val="0"/>
                      <w:marRight w:val="0"/>
                      <w:marTop w:val="0"/>
                      <w:marBottom w:val="0"/>
                      <w:divBdr>
                        <w:top w:val="none" w:sz="0" w:space="0" w:color="auto"/>
                        <w:left w:val="none" w:sz="0" w:space="0" w:color="auto"/>
                        <w:bottom w:val="none" w:sz="0" w:space="0" w:color="auto"/>
                        <w:right w:val="none" w:sz="0" w:space="0" w:color="auto"/>
                      </w:divBdr>
                      <w:divsChild>
                        <w:div w:id="1184318326">
                          <w:marLeft w:val="0"/>
                          <w:marRight w:val="0"/>
                          <w:marTop w:val="0"/>
                          <w:marBottom w:val="0"/>
                          <w:divBdr>
                            <w:top w:val="none" w:sz="0" w:space="0" w:color="auto"/>
                            <w:left w:val="none" w:sz="0" w:space="0" w:color="auto"/>
                            <w:bottom w:val="none" w:sz="0" w:space="0" w:color="auto"/>
                            <w:right w:val="none" w:sz="0" w:space="0" w:color="auto"/>
                          </w:divBdr>
                          <w:divsChild>
                            <w:div w:id="1822496905">
                              <w:marLeft w:val="0"/>
                              <w:marRight w:val="0"/>
                              <w:marTop w:val="0"/>
                              <w:marBottom w:val="0"/>
                              <w:divBdr>
                                <w:top w:val="none" w:sz="0" w:space="0" w:color="auto"/>
                                <w:left w:val="none" w:sz="0" w:space="0" w:color="auto"/>
                                <w:bottom w:val="none" w:sz="0" w:space="0" w:color="auto"/>
                                <w:right w:val="none" w:sz="0" w:space="0" w:color="auto"/>
                              </w:divBdr>
                              <w:divsChild>
                                <w:div w:id="12243140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2014-01-15T03:07:00Z</dcterms:created>
  <dcterms:modified xsi:type="dcterms:W3CDTF">2014-01-15T03:07:00Z</dcterms:modified>
</cp:coreProperties>
</file>