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4E" w:rsidRDefault="0095134E" w:rsidP="0095134E">
      <w:pPr>
        <w:pStyle w:val="a3"/>
        <w:ind w:firstLine="720"/>
        <w:jc w:val="center"/>
      </w:pPr>
      <w:r>
        <w:rPr>
          <w:rStyle w:val="a4"/>
          <w:rFonts w:ascii="黑体" w:eastAsia="黑体" w:hAnsi="黑体" w:hint="eastAsia"/>
          <w:color w:val="FF0000"/>
          <w:sz w:val="36"/>
          <w:szCs w:val="36"/>
        </w:rPr>
        <w:t>证监会公告[2008]24号－关于规范控股、参股期</w:t>
      </w:r>
      <w:r>
        <w:rPr>
          <w:rFonts w:ascii="黑体" w:eastAsia="黑体" w:hAnsi="黑体" w:hint="eastAsia"/>
          <w:b/>
          <w:bCs/>
          <w:color w:val="FF0000"/>
          <w:sz w:val="36"/>
          <w:szCs w:val="36"/>
        </w:rPr>
        <w:br/>
      </w:r>
      <w:proofErr w:type="gramStart"/>
      <w:r>
        <w:rPr>
          <w:rStyle w:val="a4"/>
          <w:rFonts w:ascii="黑体" w:eastAsia="黑体" w:hAnsi="黑体" w:hint="eastAsia"/>
          <w:color w:val="FF0000"/>
          <w:sz w:val="36"/>
          <w:szCs w:val="36"/>
        </w:rPr>
        <w:t>货公司</w:t>
      </w:r>
      <w:proofErr w:type="gramEnd"/>
      <w:r>
        <w:rPr>
          <w:rStyle w:val="a4"/>
          <w:rFonts w:ascii="黑体" w:eastAsia="黑体" w:hAnsi="黑体" w:hint="eastAsia"/>
          <w:color w:val="FF0000"/>
          <w:sz w:val="36"/>
          <w:szCs w:val="36"/>
        </w:rPr>
        <w:t xml:space="preserve">有关问题的规定 </w:t>
      </w:r>
      <w:r>
        <w:br/>
      </w:r>
      <w:r>
        <w:br/>
      </w:r>
    </w:p>
    <w:p w:rsidR="0095134E" w:rsidRDefault="0095134E" w:rsidP="0095134E">
      <w:pPr>
        <w:pStyle w:val="151"/>
        <w:snapToGrid w:val="0"/>
        <w:jc w:val="center"/>
        <w:rPr>
          <w:rFonts w:ascii="Times New Roman" w:eastAsia="楷体" w:hAnsi="Times New Roman" w:cs="Times New Roman"/>
        </w:rPr>
      </w:pPr>
      <w:r>
        <w:rPr>
          <w:rFonts w:ascii="黑体" w:eastAsia="黑体" w:hAnsi="黑体" w:cs="Times New Roman"/>
          <w:sz w:val="36"/>
          <w:szCs w:val="36"/>
        </w:rPr>
        <w:t>中国证券监督管理委员会公告</w:t>
      </w:r>
    </w:p>
    <w:p w:rsidR="0095134E" w:rsidRDefault="0095134E" w:rsidP="0095134E">
      <w:pPr>
        <w:pStyle w:val="151"/>
        <w:snapToGrid w:val="0"/>
        <w:jc w:val="center"/>
        <w:rPr>
          <w:rFonts w:ascii="Times New Roman" w:eastAsia="楷体" w:hAnsi="Times New Roman" w:cs="Times New Roman"/>
        </w:rPr>
      </w:pPr>
      <w:r>
        <w:rPr>
          <w:rFonts w:ascii="Times New Roman" w:eastAsia="楷体" w:hAnsi="Times New Roman" w:cs="Times New Roman"/>
        </w:rPr>
        <w:t>[2008]24</w:t>
      </w:r>
      <w:r>
        <w:rPr>
          <w:rFonts w:ascii="黑体" w:eastAsia="黑体" w:hAnsi="黑体" w:cs="Times New Roman"/>
        </w:rPr>
        <w:t>号</w:t>
      </w:r>
    </w:p>
    <w:p w:rsidR="0095134E" w:rsidRDefault="0095134E" w:rsidP="0095134E">
      <w:pPr>
        <w:pStyle w:val="151"/>
        <w:snapToGrid w:val="0"/>
        <w:rPr>
          <w:rFonts w:ascii="Times New Roman" w:eastAsia="楷体" w:hAnsi="Times New Roman" w:cs="Times New Roman"/>
          <w:sz w:val="21"/>
          <w:szCs w:val="21"/>
        </w:rPr>
      </w:pPr>
      <w:r>
        <w:rPr>
          <w:rFonts w:cs="Times New Roman"/>
          <w:sz w:val="21"/>
          <w:szCs w:val="21"/>
        </w:rPr>
        <w:t>现公布《关于规范控股、参股期货公司有关问题的规定》，自2008年6月1日起施行。</w:t>
      </w:r>
    </w:p>
    <w:p w:rsidR="0095134E" w:rsidRDefault="0095134E" w:rsidP="0095134E">
      <w:pPr>
        <w:pStyle w:val="151"/>
        <w:snapToGrid w:val="0"/>
        <w:spacing w:line="360" w:lineRule="auto"/>
        <w:ind w:right="840"/>
        <w:jc w:val="right"/>
        <w:textAlignment w:val="baseline"/>
      </w:pPr>
      <w:r>
        <w:rPr>
          <w:rFonts w:hint="eastAsia"/>
          <w:sz w:val="21"/>
          <w:szCs w:val="21"/>
        </w:rPr>
        <w:t>二○○八年五月二十二日</w:t>
      </w:r>
    </w:p>
    <w:p w:rsidR="0095134E" w:rsidRDefault="0095134E" w:rsidP="0095134E">
      <w:pPr>
        <w:pStyle w:val="151"/>
        <w:snapToGrid w:val="0"/>
        <w:spacing w:line="360" w:lineRule="auto"/>
        <w:ind w:right="840"/>
        <w:jc w:val="right"/>
        <w:textAlignment w:val="baseline"/>
        <w:rPr>
          <w:rFonts w:hint="eastAsia"/>
          <w:sz w:val="21"/>
          <w:szCs w:val="21"/>
        </w:rPr>
      </w:pPr>
      <w:r>
        <w:rPr>
          <w:rFonts w:hint="eastAsia"/>
        </w:rPr>
        <w:t> </w:t>
      </w:r>
    </w:p>
    <w:p w:rsidR="0095134E" w:rsidRDefault="0095134E" w:rsidP="0095134E">
      <w:pPr>
        <w:pStyle w:val="151"/>
        <w:snapToGrid w:val="0"/>
        <w:jc w:val="center"/>
        <w:rPr>
          <w:rFonts w:ascii="黑体" w:eastAsia="黑体" w:hAnsi="黑体" w:hint="eastAsia"/>
        </w:rPr>
      </w:pPr>
      <w:r>
        <w:rPr>
          <w:rFonts w:ascii="黑体" w:eastAsia="黑体" w:hAnsi="黑体" w:hint="eastAsia"/>
        </w:rPr>
        <w:t>关于规范控股、参股期货公司有关问题的规定</w:t>
      </w:r>
    </w:p>
    <w:p w:rsidR="0095134E" w:rsidRDefault="0095134E" w:rsidP="0095134E">
      <w:pPr>
        <w:pStyle w:val="151"/>
        <w:snapToGrid w:val="0"/>
        <w:rPr>
          <w:rFonts w:hint="eastAsia"/>
          <w:sz w:val="21"/>
          <w:szCs w:val="21"/>
        </w:rPr>
      </w:pPr>
      <w:r>
        <w:rPr>
          <w:rFonts w:hint="eastAsia"/>
          <w:sz w:val="21"/>
          <w:szCs w:val="21"/>
        </w:rPr>
        <w:t>为进一步明确对期货公司股东的监管要求，理顺期货公司股权关系，促进期货公司</w:t>
      </w:r>
      <w:proofErr w:type="gramStart"/>
      <w:r>
        <w:rPr>
          <w:rFonts w:hint="eastAsia"/>
          <w:sz w:val="21"/>
          <w:szCs w:val="21"/>
        </w:rPr>
        <w:t>做优做</w:t>
      </w:r>
      <w:proofErr w:type="gramEnd"/>
      <w:r>
        <w:rPr>
          <w:rFonts w:hint="eastAsia"/>
          <w:sz w:val="21"/>
          <w:szCs w:val="21"/>
        </w:rPr>
        <w:t>强，防止控股股东与期货公司以及关联期货公司之间出现风险传递、不当利益输送等问题，根据《中华人民共和国公司法》、《期货交易管理条例》及《期货公司管理办法》（证监会令第43号）等有关规定，现就控股、参股期货公司的有关问题规定如下：</w:t>
      </w:r>
    </w:p>
    <w:p w:rsidR="0095134E" w:rsidRDefault="0095134E" w:rsidP="0095134E">
      <w:pPr>
        <w:pStyle w:val="151"/>
        <w:snapToGrid w:val="0"/>
        <w:rPr>
          <w:rFonts w:hint="eastAsia"/>
          <w:sz w:val="21"/>
          <w:szCs w:val="21"/>
        </w:rPr>
      </w:pPr>
      <w:r>
        <w:rPr>
          <w:rFonts w:hint="eastAsia"/>
          <w:sz w:val="21"/>
          <w:szCs w:val="21"/>
        </w:rPr>
        <w:t>一、现阶段，同一主体控股和参股期货公司的数量不得超过2家，其中控股期货公司的数量不得超过1家（控股、参股期货公司的认定标准见附件）。</w:t>
      </w:r>
    </w:p>
    <w:p w:rsidR="0095134E" w:rsidRDefault="0095134E" w:rsidP="0095134E">
      <w:pPr>
        <w:pStyle w:val="151"/>
        <w:snapToGrid w:val="0"/>
        <w:rPr>
          <w:rFonts w:hint="eastAsia"/>
          <w:sz w:val="21"/>
          <w:szCs w:val="21"/>
        </w:rPr>
      </w:pPr>
      <w:r>
        <w:rPr>
          <w:rFonts w:hint="eastAsia"/>
          <w:sz w:val="21"/>
          <w:szCs w:val="21"/>
        </w:rPr>
        <w:t>二、现有期货公司的股权结构及相关投资主体控股、参股期货公司的行为不符合前条规定的，应当及时整改，并在本规定施行之日起2年内达到监管要求。</w:t>
      </w:r>
    </w:p>
    <w:p w:rsidR="0095134E" w:rsidRDefault="0095134E" w:rsidP="0095134E">
      <w:pPr>
        <w:pStyle w:val="151"/>
        <w:snapToGrid w:val="0"/>
        <w:rPr>
          <w:rFonts w:hint="eastAsia"/>
          <w:sz w:val="21"/>
          <w:szCs w:val="21"/>
        </w:rPr>
      </w:pPr>
      <w:r>
        <w:rPr>
          <w:rFonts w:hint="eastAsia"/>
          <w:sz w:val="21"/>
          <w:szCs w:val="21"/>
        </w:rPr>
        <w:t>三、本规定自2008年6月1日起施行。</w:t>
      </w:r>
    </w:p>
    <w:p w:rsidR="0095134E" w:rsidRDefault="0095134E" w:rsidP="0095134E">
      <w:pPr>
        <w:pStyle w:val="151"/>
        <w:snapToGrid w:val="0"/>
        <w:rPr>
          <w:rFonts w:hint="eastAsia"/>
          <w:sz w:val="21"/>
          <w:szCs w:val="21"/>
        </w:rPr>
      </w:pPr>
      <w:r>
        <w:rPr>
          <w:rFonts w:hint="eastAsia"/>
          <w:sz w:val="21"/>
          <w:szCs w:val="21"/>
        </w:rPr>
        <w:t>附件：控股、参股期货公司的认定标准</w:t>
      </w:r>
    </w:p>
    <w:p w:rsidR="0095134E" w:rsidRDefault="0095134E" w:rsidP="0095134E">
      <w:pPr>
        <w:pStyle w:val="151"/>
        <w:snapToGrid w:val="0"/>
        <w:jc w:val="center"/>
        <w:rPr>
          <w:rFonts w:ascii="黑体" w:eastAsia="黑体" w:hAnsi="黑体" w:hint="eastAsia"/>
        </w:rPr>
      </w:pPr>
      <w:r>
        <w:rPr>
          <w:rFonts w:ascii="黑体" w:eastAsia="黑体" w:hAnsi="黑体" w:hint="eastAsia"/>
        </w:rPr>
        <w:t>控股、参股期货公司的认定标准</w:t>
      </w:r>
    </w:p>
    <w:p w:rsidR="0095134E" w:rsidRDefault="0095134E" w:rsidP="0095134E">
      <w:pPr>
        <w:pStyle w:val="151"/>
        <w:snapToGrid w:val="0"/>
        <w:rPr>
          <w:rFonts w:ascii="黑体" w:eastAsia="黑体" w:hAnsi="黑体" w:hint="eastAsia"/>
        </w:rPr>
      </w:pPr>
      <w:r>
        <w:rPr>
          <w:rFonts w:ascii="黑体" w:eastAsia="黑体" w:hAnsi="黑体" w:hint="eastAsia"/>
        </w:rPr>
        <w:t>一、关于控股期货公司</w:t>
      </w:r>
    </w:p>
    <w:p w:rsidR="0095134E" w:rsidRDefault="0095134E" w:rsidP="0095134E">
      <w:pPr>
        <w:pStyle w:val="151"/>
        <w:snapToGrid w:val="0"/>
        <w:rPr>
          <w:rFonts w:hint="eastAsia"/>
          <w:sz w:val="21"/>
          <w:szCs w:val="21"/>
        </w:rPr>
      </w:pPr>
      <w:r>
        <w:rPr>
          <w:rFonts w:hint="eastAsia"/>
          <w:sz w:val="21"/>
          <w:szCs w:val="21"/>
        </w:rPr>
        <w:t>（一）出资额占期货公司出资总额50%以上的；</w:t>
      </w:r>
    </w:p>
    <w:p w:rsidR="0095134E" w:rsidRDefault="0095134E" w:rsidP="0095134E">
      <w:pPr>
        <w:pStyle w:val="151"/>
        <w:snapToGrid w:val="0"/>
        <w:rPr>
          <w:rFonts w:hint="eastAsia"/>
          <w:sz w:val="21"/>
          <w:szCs w:val="21"/>
        </w:rPr>
      </w:pPr>
      <w:r>
        <w:rPr>
          <w:rFonts w:hint="eastAsia"/>
          <w:sz w:val="21"/>
          <w:szCs w:val="21"/>
        </w:rPr>
        <w:t>（二）出资额的比例虽然不足50%，但依其出资额所享有的表决权已足以对期货公司股东会的决议产生重大影响的；</w:t>
      </w:r>
    </w:p>
    <w:p w:rsidR="0095134E" w:rsidRDefault="0095134E" w:rsidP="0095134E">
      <w:pPr>
        <w:pStyle w:val="151"/>
        <w:snapToGrid w:val="0"/>
        <w:rPr>
          <w:rFonts w:hint="eastAsia"/>
          <w:sz w:val="21"/>
          <w:szCs w:val="21"/>
        </w:rPr>
      </w:pPr>
      <w:r>
        <w:rPr>
          <w:rFonts w:hint="eastAsia"/>
          <w:sz w:val="21"/>
          <w:szCs w:val="21"/>
        </w:rPr>
        <w:t>（三）出资额的比例虽然不足50%，但通过投资关系、协议或者其他安排，其实际支配的表决权足以对期货公司股东会的决议产生重大影响，或者能够决定期货公司董事会半数以上成员选任的；</w:t>
      </w:r>
    </w:p>
    <w:p w:rsidR="0095134E" w:rsidRDefault="0095134E" w:rsidP="0095134E">
      <w:pPr>
        <w:pStyle w:val="151"/>
        <w:snapToGrid w:val="0"/>
        <w:rPr>
          <w:rFonts w:hint="eastAsia"/>
          <w:sz w:val="21"/>
          <w:szCs w:val="21"/>
        </w:rPr>
      </w:pPr>
      <w:r>
        <w:rPr>
          <w:rFonts w:hint="eastAsia"/>
          <w:sz w:val="21"/>
          <w:szCs w:val="21"/>
        </w:rPr>
        <w:t>（四）虽不是期货公司的股东，但通过投资关系、协议或者其他安排，能够实际支配公司行为的；</w:t>
      </w:r>
    </w:p>
    <w:p w:rsidR="0095134E" w:rsidRDefault="0095134E" w:rsidP="0095134E">
      <w:pPr>
        <w:pStyle w:val="151"/>
        <w:snapToGrid w:val="0"/>
        <w:rPr>
          <w:rFonts w:hint="eastAsia"/>
          <w:sz w:val="21"/>
          <w:szCs w:val="21"/>
        </w:rPr>
      </w:pPr>
      <w:r>
        <w:rPr>
          <w:rFonts w:hint="eastAsia"/>
          <w:sz w:val="21"/>
          <w:szCs w:val="21"/>
        </w:rPr>
        <w:t>（五）中国证监会认定的其他情形。</w:t>
      </w:r>
    </w:p>
    <w:p w:rsidR="0095134E" w:rsidRDefault="0095134E" w:rsidP="0095134E">
      <w:pPr>
        <w:pStyle w:val="151"/>
        <w:snapToGrid w:val="0"/>
        <w:rPr>
          <w:rFonts w:hint="eastAsia"/>
          <w:sz w:val="21"/>
          <w:szCs w:val="21"/>
        </w:rPr>
      </w:pPr>
      <w:r>
        <w:rPr>
          <w:rFonts w:hint="eastAsia"/>
          <w:sz w:val="21"/>
          <w:szCs w:val="21"/>
        </w:rPr>
        <w:t>上述第（二）、（三）项“对期货公司股东会的决议产生重大影响”，是指在期货公司股东会审议《中华人民共和国公司法》第三十八条规定的事项或者股东提出的其他议案时，能够促成或者阻止股东会决议通过的情形。</w:t>
      </w:r>
    </w:p>
    <w:p w:rsidR="0095134E" w:rsidRDefault="0095134E" w:rsidP="0095134E">
      <w:pPr>
        <w:pStyle w:val="151"/>
        <w:snapToGrid w:val="0"/>
        <w:rPr>
          <w:rFonts w:ascii="黑体" w:eastAsia="黑体" w:hAnsi="黑体" w:hint="eastAsia"/>
        </w:rPr>
      </w:pPr>
      <w:r>
        <w:rPr>
          <w:rFonts w:ascii="黑体" w:eastAsia="黑体" w:hAnsi="黑体" w:hint="eastAsia"/>
        </w:rPr>
        <w:t>二、关于参股期货公司</w:t>
      </w:r>
    </w:p>
    <w:p w:rsidR="0095134E" w:rsidRDefault="0095134E" w:rsidP="0095134E">
      <w:pPr>
        <w:pStyle w:val="151"/>
        <w:snapToGrid w:val="0"/>
        <w:rPr>
          <w:rFonts w:hint="eastAsia"/>
          <w:sz w:val="21"/>
          <w:szCs w:val="21"/>
        </w:rPr>
      </w:pPr>
      <w:r>
        <w:rPr>
          <w:rFonts w:hint="eastAsia"/>
          <w:sz w:val="21"/>
          <w:szCs w:val="21"/>
        </w:rPr>
        <w:t>“参股”是指在不构成控股期货公司的情况下，直接持有期货公司股权，以及不直接持有期货公司股权，但是通过投资关系、协议或者其他安排，间接持有期货公司股权。</w:t>
      </w:r>
    </w:p>
    <w:p w:rsidR="0095134E" w:rsidRDefault="0095134E" w:rsidP="0095134E">
      <w:pPr>
        <w:pStyle w:val="151"/>
        <w:snapToGrid w:val="0"/>
        <w:rPr>
          <w:rFonts w:ascii="黑体" w:eastAsia="黑体" w:hAnsi="黑体" w:hint="eastAsia"/>
        </w:rPr>
      </w:pPr>
      <w:r>
        <w:rPr>
          <w:rFonts w:ascii="黑体" w:eastAsia="黑体" w:hAnsi="黑体" w:hint="eastAsia"/>
        </w:rPr>
        <w:lastRenderedPageBreak/>
        <w:t>三、不计入控股、参股期货公司数量范围的情形</w:t>
      </w:r>
    </w:p>
    <w:p w:rsidR="0095134E" w:rsidRDefault="0095134E" w:rsidP="0095134E">
      <w:pPr>
        <w:pStyle w:val="151"/>
        <w:snapToGrid w:val="0"/>
        <w:rPr>
          <w:rFonts w:hint="eastAsia"/>
          <w:sz w:val="21"/>
          <w:szCs w:val="21"/>
        </w:rPr>
      </w:pPr>
      <w:r>
        <w:rPr>
          <w:rFonts w:hint="eastAsia"/>
          <w:sz w:val="21"/>
          <w:szCs w:val="21"/>
        </w:rPr>
        <w:t>（一）直接及间接持有期货公司5%以下（不含5%）股权；</w:t>
      </w:r>
    </w:p>
    <w:p w:rsidR="0095134E" w:rsidRDefault="0095134E" w:rsidP="0095134E">
      <w:pPr>
        <w:pStyle w:val="151"/>
        <w:snapToGrid w:val="0"/>
        <w:rPr>
          <w:rFonts w:hint="eastAsia"/>
          <w:sz w:val="21"/>
          <w:szCs w:val="21"/>
        </w:rPr>
      </w:pPr>
      <w:r>
        <w:rPr>
          <w:rFonts w:hint="eastAsia"/>
          <w:sz w:val="21"/>
          <w:szCs w:val="21"/>
        </w:rPr>
        <w:t>（二）同一主体通过直接或间接持有证券公司的股权而控</w:t>
      </w:r>
    </w:p>
    <w:p w:rsidR="0095134E" w:rsidRDefault="0095134E" w:rsidP="0095134E">
      <w:pPr>
        <w:pStyle w:val="151"/>
        <w:snapToGrid w:val="0"/>
        <w:rPr>
          <w:rFonts w:hint="eastAsia"/>
          <w:sz w:val="21"/>
          <w:szCs w:val="21"/>
        </w:rPr>
      </w:pPr>
      <w:r>
        <w:rPr>
          <w:rFonts w:hint="eastAsia"/>
          <w:sz w:val="21"/>
          <w:szCs w:val="21"/>
        </w:rPr>
        <w:t>股、参股期货公司；</w:t>
      </w:r>
    </w:p>
    <w:p w:rsidR="0095134E" w:rsidRDefault="0095134E" w:rsidP="0095134E">
      <w:pPr>
        <w:pStyle w:val="151"/>
        <w:snapToGrid w:val="0"/>
        <w:rPr>
          <w:rFonts w:hint="eastAsia"/>
          <w:sz w:val="21"/>
          <w:szCs w:val="21"/>
        </w:rPr>
      </w:pPr>
      <w:r>
        <w:rPr>
          <w:rFonts w:hint="eastAsia"/>
          <w:sz w:val="21"/>
          <w:szCs w:val="21"/>
        </w:rPr>
        <w:t>（三）中国证监会认定的其他情形。</w:t>
      </w:r>
    </w:p>
    <w:p w:rsidR="007C2CB2" w:rsidRPr="0095134E" w:rsidRDefault="007C2CB2" w:rsidP="00E86E16">
      <w:pPr>
        <w:ind w:firstLine="480"/>
      </w:pPr>
    </w:p>
    <w:sectPr w:rsidR="007C2CB2" w:rsidRPr="0095134E"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0AA6"/>
    <w:rsid w:val="00140AA6"/>
    <w:rsid w:val="001A5FF1"/>
    <w:rsid w:val="00205687"/>
    <w:rsid w:val="00336292"/>
    <w:rsid w:val="004E362B"/>
    <w:rsid w:val="006865F6"/>
    <w:rsid w:val="007C2CB2"/>
    <w:rsid w:val="008B1807"/>
    <w:rsid w:val="0091257B"/>
    <w:rsid w:val="0095134E"/>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34E"/>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95134E"/>
    <w:rPr>
      <w:b/>
      <w:bCs/>
    </w:rPr>
  </w:style>
  <w:style w:type="paragraph" w:customStyle="1" w:styleId="151">
    <w:name w:val="151"/>
    <w:basedOn w:val="a"/>
    <w:rsid w:val="0095134E"/>
    <w:pPr>
      <w:widowControl/>
      <w:wordWrap w:val="0"/>
      <w:spacing w:before="90" w:after="90" w:line="240" w:lineRule="auto"/>
      <w:ind w:firstLineChars="0" w:firstLine="420"/>
      <w:jc w:val="left"/>
    </w:pPr>
    <w:rPr>
      <w:rFonts w:ascii="宋体" w:hAnsi="宋体" w:cs="宋体"/>
      <w:kern w:val="0"/>
      <w:szCs w:val="24"/>
    </w:rPr>
  </w:style>
</w:styles>
</file>

<file path=word/webSettings.xml><?xml version="1.0" encoding="utf-8"?>
<w:webSettings xmlns:r="http://schemas.openxmlformats.org/officeDocument/2006/relationships" xmlns:w="http://schemas.openxmlformats.org/wordprocessingml/2006/main">
  <w:divs>
    <w:div w:id="1769696899">
      <w:bodyDiv w:val="1"/>
      <w:marLeft w:val="0"/>
      <w:marRight w:val="0"/>
      <w:marTop w:val="0"/>
      <w:marBottom w:val="0"/>
      <w:divBdr>
        <w:top w:val="none" w:sz="0" w:space="0" w:color="auto"/>
        <w:left w:val="none" w:sz="0" w:space="0" w:color="auto"/>
        <w:bottom w:val="none" w:sz="0" w:space="0" w:color="auto"/>
        <w:right w:val="none" w:sz="0" w:space="0" w:color="auto"/>
      </w:divBdr>
      <w:divsChild>
        <w:div w:id="1992782332">
          <w:marLeft w:val="0"/>
          <w:marRight w:val="0"/>
          <w:marTop w:val="0"/>
          <w:marBottom w:val="0"/>
          <w:divBdr>
            <w:top w:val="none" w:sz="0" w:space="0" w:color="auto"/>
            <w:left w:val="none" w:sz="0" w:space="0" w:color="auto"/>
            <w:bottom w:val="none" w:sz="0" w:space="0" w:color="auto"/>
            <w:right w:val="none" w:sz="0" w:space="0" w:color="auto"/>
          </w:divBdr>
          <w:divsChild>
            <w:div w:id="822351586">
              <w:marLeft w:val="0"/>
              <w:marRight w:val="0"/>
              <w:marTop w:val="0"/>
              <w:marBottom w:val="0"/>
              <w:divBdr>
                <w:top w:val="none" w:sz="0" w:space="0" w:color="auto"/>
                <w:left w:val="none" w:sz="0" w:space="0" w:color="auto"/>
                <w:bottom w:val="none" w:sz="0" w:space="0" w:color="auto"/>
                <w:right w:val="none" w:sz="0" w:space="0" w:color="auto"/>
              </w:divBdr>
              <w:divsChild>
                <w:div w:id="731002381">
                  <w:marLeft w:val="0"/>
                  <w:marRight w:val="0"/>
                  <w:marTop w:val="0"/>
                  <w:marBottom w:val="0"/>
                  <w:divBdr>
                    <w:top w:val="none" w:sz="0" w:space="0" w:color="auto"/>
                    <w:left w:val="none" w:sz="0" w:space="0" w:color="auto"/>
                    <w:bottom w:val="none" w:sz="0" w:space="0" w:color="auto"/>
                    <w:right w:val="none" w:sz="0" w:space="0" w:color="auto"/>
                  </w:divBdr>
                  <w:divsChild>
                    <w:div w:id="1675107929">
                      <w:marLeft w:val="0"/>
                      <w:marRight w:val="0"/>
                      <w:marTop w:val="0"/>
                      <w:marBottom w:val="0"/>
                      <w:divBdr>
                        <w:top w:val="none" w:sz="0" w:space="0" w:color="auto"/>
                        <w:left w:val="none" w:sz="0" w:space="0" w:color="auto"/>
                        <w:bottom w:val="none" w:sz="0" w:space="0" w:color="auto"/>
                        <w:right w:val="none" w:sz="0" w:space="0" w:color="auto"/>
                      </w:divBdr>
                    </w:div>
                    <w:div w:id="578518800">
                      <w:marLeft w:val="0"/>
                      <w:marRight w:val="0"/>
                      <w:marTop w:val="0"/>
                      <w:marBottom w:val="0"/>
                      <w:divBdr>
                        <w:top w:val="none" w:sz="0" w:space="0" w:color="auto"/>
                        <w:left w:val="none" w:sz="0" w:space="0" w:color="auto"/>
                        <w:bottom w:val="none" w:sz="0" w:space="0" w:color="auto"/>
                        <w:right w:val="none" w:sz="0" w:space="0" w:color="auto"/>
                      </w:divBdr>
                      <w:divsChild>
                        <w:div w:id="1690570727">
                          <w:marLeft w:val="0"/>
                          <w:marRight w:val="0"/>
                          <w:marTop w:val="0"/>
                          <w:marBottom w:val="0"/>
                          <w:divBdr>
                            <w:top w:val="none" w:sz="0" w:space="0" w:color="auto"/>
                            <w:left w:val="none" w:sz="0" w:space="0" w:color="auto"/>
                            <w:bottom w:val="none" w:sz="0" w:space="0" w:color="auto"/>
                            <w:right w:val="none" w:sz="0" w:space="0" w:color="auto"/>
                          </w:divBdr>
                          <w:divsChild>
                            <w:div w:id="389233811">
                              <w:marLeft w:val="0"/>
                              <w:marRight w:val="0"/>
                              <w:marTop w:val="0"/>
                              <w:marBottom w:val="0"/>
                              <w:divBdr>
                                <w:top w:val="none" w:sz="0" w:space="0" w:color="auto"/>
                                <w:left w:val="none" w:sz="0" w:space="0" w:color="auto"/>
                                <w:bottom w:val="none" w:sz="0" w:space="0" w:color="auto"/>
                                <w:right w:val="none" w:sz="0" w:space="0" w:color="auto"/>
                              </w:divBdr>
                              <w:divsChild>
                                <w:div w:id="119080356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2014-01-15T06:03:00Z</dcterms:created>
  <dcterms:modified xsi:type="dcterms:W3CDTF">2014-01-15T06:03:00Z</dcterms:modified>
</cp:coreProperties>
</file>