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71" w:rsidRDefault="00052D71" w:rsidP="00052D71">
      <w:pPr>
        <w:pStyle w:val="a3"/>
        <w:ind w:firstLine="720"/>
        <w:jc w:val="center"/>
      </w:pPr>
      <w:r>
        <w:rPr>
          <w:rStyle w:val="a4"/>
          <w:rFonts w:ascii="黑体" w:eastAsia="黑体" w:hAnsi="黑体" w:hint="eastAsia"/>
          <w:color w:val="FF0000"/>
          <w:sz w:val="36"/>
          <w:szCs w:val="36"/>
        </w:rPr>
        <w:t>证监会公告[2008]18号－中国证券监督管理委员</w:t>
      </w:r>
      <w:r>
        <w:rPr>
          <w:rFonts w:ascii="黑体" w:eastAsia="黑体" w:hAnsi="黑体" w:hint="eastAsia"/>
          <w:b/>
          <w:bCs/>
          <w:color w:val="FF0000"/>
          <w:sz w:val="36"/>
          <w:szCs w:val="36"/>
        </w:rPr>
        <w:br/>
      </w:r>
      <w:proofErr w:type="gramStart"/>
      <w:r>
        <w:rPr>
          <w:rStyle w:val="a4"/>
          <w:rFonts w:ascii="黑体" w:eastAsia="黑体" w:hAnsi="黑体" w:hint="eastAsia"/>
          <w:color w:val="FF0000"/>
          <w:sz w:val="36"/>
          <w:szCs w:val="36"/>
        </w:rPr>
        <w:t>会证券</w:t>
      </w:r>
      <w:proofErr w:type="gramEnd"/>
      <w:r>
        <w:rPr>
          <w:rStyle w:val="a4"/>
          <w:rFonts w:ascii="黑体" w:eastAsia="黑体" w:hAnsi="黑体" w:hint="eastAsia"/>
          <w:color w:val="FF0000"/>
          <w:sz w:val="36"/>
          <w:szCs w:val="36"/>
        </w:rPr>
        <w:t xml:space="preserve">期货监督管理信息公开办法（试行） </w:t>
      </w:r>
      <w:r>
        <w:br/>
      </w:r>
      <w:r>
        <w:br/>
      </w:r>
    </w:p>
    <w:p w:rsidR="00052D71" w:rsidRDefault="00052D71" w:rsidP="00052D71">
      <w:pPr>
        <w:pStyle w:val="01"/>
        <w:snapToGrid w:val="0"/>
        <w:spacing w:before="100"/>
        <w:jc w:val="both"/>
      </w:pPr>
      <w:r>
        <w:rPr>
          <w:rFonts w:hint="eastAsia"/>
        </w:rPr>
        <w:t>现公布《中国证券监督管理委员会证券期货监督管理信息公开办法（试行）》，自2008年5月1日起施行。</w:t>
      </w:r>
    </w:p>
    <w:p w:rsidR="00052D71" w:rsidRDefault="00052D71" w:rsidP="00052D71">
      <w:pPr>
        <w:pStyle w:val="01"/>
        <w:snapToGrid w:val="0"/>
        <w:spacing w:before="100" w:after="100"/>
        <w:ind w:right="840"/>
        <w:jc w:val="right"/>
        <w:textAlignment w:val="baseline"/>
        <w:rPr>
          <w:rFonts w:hint="eastAsia"/>
        </w:rPr>
      </w:pPr>
      <w:r>
        <w:rPr>
          <w:rFonts w:hint="eastAsia"/>
        </w:rPr>
        <w:t>中国证券监督管理委员会</w:t>
      </w:r>
    </w:p>
    <w:p w:rsidR="00052D71" w:rsidRDefault="00052D71" w:rsidP="00052D71">
      <w:pPr>
        <w:pStyle w:val="01"/>
        <w:snapToGrid w:val="0"/>
        <w:spacing w:before="100" w:after="100"/>
        <w:ind w:right="840"/>
        <w:jc w:val="right"/>
        <w:textAlignment w:val="baseline"/>
        <w:rPr>
          <w:rFonts w:hint="eastAsia"/>
        </w:rPr>
      </w:pPr>
      <w:r>
        <w:rPr>
          <w:rFonts w:hint="eastAsia"/>
        </w:rPr>
        <w:t>二○○八年四月二十五日</w:t>
      </w:r>
    </w:p>
    <w:p w:rsidR="00052D71" w:rsidRDefault="00052D71" w:rsidP="00052D71">
      <w:pPr>
        <w:pStyle w:val="01"/>
        <w:snapToGrid w:val="0"/>
        <w:spacing w:before="100" w:after="100"/>
        <w:jc w:val="center"/>
        <w:rPr>
          <w:rFonts w:hint="eastAsia"/>
        </w:rPr>
      </w:pPr>
      <w:r>
        <w:rPr>
          <w:rFonts w:hint="eastAsia"/>
        </w:rPr>
        <w:t xml:space="preserve"> </w:t>
      </w:r>
    </w:p>
    <w:p w:rsidR="00052D71" w:rsidRDefault="00052D71" w:rsidP="00052D71">
      <w:pPr>
        <w:pStyle w:val="01"/>
        <w:snapToGrid w:val="0"/>
        <w:spacing w:before="100" w:after="100"/>
        <w:jc w:val="center"/>
        <w:rPr>
          <w:rFonts w:hint="eastAsia"/>
          <w:sz w:val="36"/>
          <w:szCs w:val="36"/>
        </w:rPr>
      </w:pPr>
      <w:r>
        <w:rPr>
          <w:rFonts w:ascii="黑体" w:eastAsia="黑体" w:hAnsi="黑体" w:hint="eastAsia"/>
          <w:sz w:val="36"/>
          <w:szCs w:val="36"/>
        </w:rPr>
        <w:t>中国证券监督管理委员会</w:t>
      </w:r>
    </w:p>
    <w:p w:rsidR="00052D71" w:rsidRDefault="00052D71" w:rsidP="00052D71">
      <w:pPr>
        <w:pStyle w:val="01"/>
        <w:snapToGrid w:val="0"/>
        <w:spacing w:before="100" w:after="100"/>
        <w:jc w:val="center"/>
        <w:rPr>
          <w:rFonts w:hint="eastAsia"/>
        </w:rPr>
      </w:pPr>
      <w:r>
        <w:rPr>
          <w:rFonts w:ascii="黑体" w:eastAsia="黑体" w:hAnsi="黑体" w:hint="eastAsia"/>
          <w:sz w:val="36"/>
          <w:szCs w:val="36"/>
        </w:rPr>
        <w:t>证券期货监督管理信息公开办法（试行）</w:t>
      </w:r>
    </w:p>
    <w:p w:rsidR="00052D71" w:rsidRDefault="00052D71" w:rsidP="00052D71">
      <w:pPr>
        <w:pStyle w:val="01"/>
        <w:snapToGrid w:val="0"/>
        <w:rPr>
          <w:rFonts w:hint="eastAsia"/>
        </w:rPr>
      </w:pPr>
      <w:r>
        <w:rPr>
          <w:rFonts w:hint="eastAsia"/>
        </w:rPr>
        <w:t>第一条 为了提高中国证券监督管理委员会监管透明度，促进依法行政，依据《证券法》及证券期货法律法规、《中华人民共和国政府信息公开条例》，制定本办法。</w:t>
      </w:r>
    </w:p>
    <w:p w:rsidR="00052D71" w:rsidRDefault="00052D71" w:rsidP="00052D71">
      <w:pPr>
        <w:pStyle w:val="01"/>
        <w:snapToGrid w:val="0"/>
        <w:rPr>
          <w:rFonts w:hint="eastAsia"/>
        </w:rPr>
      </w:pPr>
      <w:r>
        <w:rPr>
          <w:rFonts w:hint="eastAsia"/>
        </w:rPr>
        <w:t>第二条 本办法所称监管信息，是指中国证券监督管理委员会（以下简称中国证监会）及其派出机构在依法履行证券期货市场监督管理职能的过程中制作或者获取的，以一定形式记录、保存的信息。</w:t>
      </w:r>
    </w:p>
    <w:p w:rsidR="00052D71" w:rsidRDefault="00052D71" w:rsidP="00052D71">
      <w:pPr>
        <w:pStyle w:val="01"/>
        <w:snapToGrid w:val="0"/>
        <w:rPr>
          <w:rFonts w:hint="eastAsia"/>
        </w:rPr>
      </w:pPr>
      <w:r>
        <w:rPr>
          <w:rFonts w:hint="eastAsia"/>
        </w:rPr>
        <w:t>第三条 中国证监会办公厅是中国证监会监管信息公开工作的主管部门，负责推进、指导、协调、监督中国证监会的监管信息公开工作。</w:t>
      </w:r>
    </w:p>
    <w:p w:rsidR="00052D71" w:rsidRDefault="00052D71" w:rsidP="00052D71">
      <w:pPr>
        <w:pStyle w:val="01"/>
        <w:snapToGrid w:val="0"/>
        <w:rPr>
          <w:rFonts w:hint="eastAsia"/>
        </w:rPr>
      </w:pPr>
      <w:r>
        <w:rPr>
          <w:rFonts w:hint="eastAsia"/>
        </w:rPr>
        <w:t>派出机构办公室（综合处）是派出机构监管信息公开工作的主管部门，负责推进、指导、协调、监督派出机构区域的监管信息公开工作。</w:t>
      </w:r>
    </w:p>
    <w:p w:rsidR="00052D71" w:rsidRDefault="00052D71" w:rsidP="00052D71">
      <w:pPr>
        <w:pStyle w:val="01"/>
        <w:snapToGrid w:val="0"/>
        <w:rPr>
          <w:rFonts w:hint="eastAsia"/>
        </w:rPr>
      </w:pPr>
      <w:r>
        <w:rPr>
          <w:rFonts w:hint="eastAsia"/>
        </w:rPr>
        <w:t>第四条 中国证监会公开监管信息，应当遵循证券期货市场公开、公平、公正的原则。</w:t>
      </w:r>
    </w:p>
    <w:p w:rsidR="00052D71" w:rsidRDefault="00052D71" w:rsidP="00052D71">
      <w:pPr>
        <w:pStyle w:val="01"/>
        <w:snapToGrid w:val="0"/>
        <w:rPr>
          <w:rFonts w:hint="eastAsia"/>
        </w:rPr>
      </w:pPr>
      <w:r>
        <w:rPr>
          <w:rFonts w:hint="eastAsia"/>
        </w:rPr>
        <w:t>第五条 中国证监会及其派出机构公开监管信息，不得危及证券期货市场秩序、投资者合法权益、国家安全、公共安全、经济安全和社会稳定。</w:t>
      </w:r>
    </w:p>
    <w:p w:rsidR="00052D71" w:rsidRDefault="00052D71" w:rsidP="00052D71">
      <w:pPr>
        <w:pStyle w:val="01"/>
        <w:snapToGrid w:val="0"/>
        <w:rPr>
          <w:rFonts w:hint="eastAsia"/>
        </w:rPr>
      </w:pPr>
      <w:r>
        <w:rPr>
          <w:rFonts w:hint="eastAsia"/>
        </w:rPr>
        <w:t>第六条 中国证监会及其派出机构应当及时、准确地公开监管信息。中国证监会发现影响或者可能影响社会稳定、扰乱证券期货市场秩序的虚假或者不完整信息的，可以依据市场实际情况和审慎原则，在职责范围内予以澄清。</w:t>
      </w:r>
    </w:p>
    <w:p w:rsidR="00052D71" w:rsidRDefault="00052D71" w:rsidP="00052D71">
      <w:pPr>
        <w:pStyle w:val="01"/>
        <w:snapToGrid w:val="0"/>
        <w:rPr>
          <w:rFonts w:hint="eastAsia"/>
        </w:rPr>
      </w:pPr>
      <w:r>
        <w:rPr>
          <w:rFonts w:hint="eastAsia"/>
        </w:rPr>
        <w:t>第七条 中国证监会及其派出机构应当主动公开下列监管信息：</w:t>
      </w:r>
    </w:p>
    <w:p w:rsidR="00052D71" w:rsidRDefault="00052D71" w:rsidP="00052D71">
      <w:pPr>
        <w:pStyle w:val="01"/>
        <w:snapToGrid w:val="0"/>
        <w:rPr>
          <w:rFonts w:hint="eastAsia"/>
        </w:rPr>
      </w:pPr>
      <w:r>
        <w:rPr>
          <w:rFonts w:hint="eastAsia"/>
        </w:rPr>
        <w:t>（一）中国证监会及其派出机构的机构设置、工作职责、联系方式等；</w:t>
      </w:r>
    </w:p>
    <w:p w:rsidR="00052D71" w:rsidRDefault="00052D71" w:rsidP="00052D71">
      <w:pPr>
        <w:pStyle w:val="01"/>
        <w:snapToGrid w:val="0"/>
        <w:rPr>
          <w:rFonts w:hint="eastAsia"/>
        </w:rPr>
      </w:pPr>
      <w:r>
        <w:rPr>
          <w:rFonts w:hint="eastAsia"/>
        </w:rPr>
        <w:t>（二）证券期货规章、规范性文件；</w:t>
      </w:r>
    </w:p>
    <w:p w:rsidR="00052D71" w:rsidRDefault="00052D71" w:rsidP="00052D71">
      <w:pPr>
        <w:pStyle w:val="01"/>
        <w:snapToGrid w:val="0"/>
        <w:rPr>
          <w:rFonts w:hint="eastAsia"/>
        </w:rPr>
      </w:pPr>
      <w:r>
        <w:rPr>
          <w:rFonts w:hint="eastAsia"/>
        </w:rPr>
        <w:t>（三）证券期货市场发展规划、发展报告；</w:t>
      </w:r>
    </w:p>
    <w:p w:rsidR="00052D71" w:rsidRDefault="00052D71" w:rsidP="00052D71">
      <w:pPr>
        <w:pStyle w:val="01"/>
        <w:snapToGrid w:val="0"/>
        <w:rPr>
          <w:rFonts w:hint="eastAsia"/>
        </w:rPr>
      </w:pPr>
      <w:r>
        <w:rPr>
          <w:rFonts w:hint="eastAsia"/>
        </w:rPr>
        <w:t>（四）纳入国家统计指标体系的证券期货市场统计信息；</w:t>
      </w:r>
    </w:p>
    <w:p w:rsidR="00052D71" w:rsidRDefault="00052D71" w:rsidP="00052D71">
      <w:pPr>
        <w:pStyle w:val="01"/>
        <w:snapToGrid w:val="0"/>
        <w:rPr>
          <w:rFonts w:hint="eastAsia"/>
        </w:rPr>
      </w:pPr>
      <w:r>
        <w:rPr>
          <w:rFonts w:hint="eastAsia"/>
        </w:rPr>
        <w:t>（五）行政许可事项、依据、条件、数量、程序、期限、材料目录、审批机构和核准结果等；</w:t>
      </w:r>
    </w:p>
    <w:p w:rsidR="00052D71" w:rsidRDefault="00052D71" w:rsidP="00052D71">
      <w:pPr>
        <w:pStyle w:val="01"/>
        <w:snapToGrid w:val="0"/>
        <w:rPr>
          <w:rFonts w:hint="eastAsia"/>
        </w:rPr>
      </w:pPr>
      <w:r>
        <w:rPr>
          <w:rFonts w:hint="eastAsia"/>
        </w:rPr>
        <w:t>（六）证券、期货交易所上市品种的批准结果；</w:t>
      </w:r>
    </w:p>
    <w:p w:rsidR="00052D71" w:rsidRDefault="00052D71" w:rsidP="00052D71">
      <w:pPr>
        <w:pStyle w:val="01"/>
        <w:snapToGrid w:val="0"/>
        <w:rPr>
          <w:rFonts w:hint="eastAsia"/>
        </w:rPr>
      </w:pPr>
      <w:r>
        <w:rPr>
          <w:rFonts w:hint="eastAsia"/>
        </w:rPr>
        <w:t>（七）证券、期货交易所、证券登记、托管、结算机构、证券业协会、期货业协会章程以及自律规则等的批准、备案结果；</w:t>
      </w:r>
    </w:p>
    <w:p w:rsidR="00052D71" w:rsidRDefault="00052D71" w:rsidP="00052D71">
      <w:pPr>
        <w:pStyle w:val="01"/>
        <w:snapToGrid w:val="0"/>
        <w:rPr>
          <w:rFonts w:hint="eastAsia"/>
        </w:rPr>
      </w:pPr>
      <w:r>
        <w:rPr>
          <w:rFonts w:hint="eastAsia"/>
        </w:rPr>
        <w:lastRenderedPageBreak/>
        <w:t>（八）中国证监会批准的证券、期货经营机构，基金管理公司，以及从事证券服务业务的投资咨询机构、财务顾问机构、资信评级机构、资产评估机构、会计师事务所等的名称、地址和联系方式；</w:t>
      </w:r>
    </w:p>
    <w:p w:rsidR="00052D71" w:rsidRDefault="00052D71" w:rsidP="00052D71">
      <w:pPr>
        <w:pStyle w:val="01"/>
        <w:snapToGrid w:val="0"/>
        <w:rPr>
          <w:rFonts w:hint="eastAsia"/>
        </w:rPr>
      </w:pPr>
      <w:r>
        <w:rPr>
          <w:rFonts w:hint="eastAsia"/>
        </w:rPr>
        <w:t>（九）市场禁入、行政处罚、行政复议决定；</w:t>
      </w:r>
    </w:p>
    <w:p w:rsidR="00052D71" w:rsidRDefault="00052D71" w:rsidP="00052D71">
      <w:pPr>
        <w:pStyle w:val="01"/>
        <w:snapToGrid w:val="0"/>
        <w:rPr>
          <w:rFonts w:hint="eastAsia"/>
        </w:rPr>
      </w:pPr>
      <w:r>
        <w:rPr>
          <w:rFonts w:hint="eastAsia"/>
        </w:rPr>
        <w:t>（十）其他依照法律、行政法规和中国证监会有关规定应当公开的信息。</w:t>
      </w:r>
    </w:p>
    <w:p w:rsidR="00052D71" w:rsidRDefault="00052D71" w:rsidP="00052D71">
      <w:pPr>
        <w:pStyle w:val="01"/>
        <w:snapToGrid w:val="0"/>
        <w:rPr>
          <w:rFonts w:hint="eastAsia"/>
        </w:rPr>
      </w:pPr>
      <w:r>
        <w:rPr>
          <w:rFonts w:hint="eastAsia"/>
        </w:rPr>
        <w:t>第八条 中国证监会及其派出机构对外公布监管信息，应当自该信息形成或者变更之日起20个工作日内予以公开。法律、行政法规对监管信息公开的期限另有规定的，从其规定。</w:t>
      </w:r>
    </w:p>
    <w:p w:rsidR="00052D71" w:rsidRDefault="00052D71" w:rsidP="00052D71">
      <w:pPr>
        <w:pStyle w:val="01"/>
        <w:snapToGrid w:val="0"/>
        <w:rPr>
          <w:rFonts w:hint="eastAsia"/>
        </w:rPr>
      </w:pPr>
      <w:r>
        <w:rPr>
          <w:rFonts w:hint="eastAsia"/>
        </w:rPr>
        <w:t>第九条 中国证监会公开监管信息涉及其他行政机关的，由中国证监会办公厅与有关行政机关进行沟通、确认。派出机构公开监管信息涉及其他行政机关的，由派出机构与有关行政机关进行沟通、确认。</w:t>
      </w:r>
    </w:p>
    <w:p w:rsidR="00052D71" w:rsidRDefault="00052D71" w:rsidP="00052D71">
      <w:pPr>
        <w:pStyle w:val="01"/>
        <w:snapToGrid w:val="0"/>
        <w:rPr>
          <w:rFonts w:hint="eastAsia"/>
        </w:rPr>
      </w:pPr>
      <w:r>
        <w:rPr>
          <w:rFonts w:hint="eastAsia"/>
        </w:rPr>
        <w:t>第十条 中国证监会及其派出机构在公开监管信息前，应当按照《中华人民共和国保守国家秘密法》和中国证监会保密制度对拟公开的监管信息进行审查。</w:t>
      </w:r>
    </w:p>
    <w:p w:rsidR="00052D71" w:rsidRDefault="00052D71" w:rsidP="00052D71">
      <w:pPr>
        <w:pStyle w:val="01"/>
        <w:snapToGrid w:val="0"/>
        <w:rPr>
          <w:rFonts w:hint="eastAsia"/>
        </w:rPr>
      </w:pPr>
      <w:r>
        <w:rPr>
          <w:rFonts w:hint="eastAsia"/>
        </w:rPr>
        <w:t>中国证监会及其派出机构对监管信息不能确定是否可以公开时，应当报中国证监会保密委员会确定。</w:t>
      </w:r>
    </w:p>
    <w:p w:rsidR="00052D71" w:rsidRDefault="00052D71" w:rsidP="00052D71">
      <w:pPr>
        <w:pStyle w:val="01"/>
        <w:snapToGrid w:val="0"/>
        <w:rPr>
          <w:rFonts w:hint="eastAsia"/>
        </w:rPr>
      </w:pPr>
      <w:r>
        <w:rPr>
          <w:rFonts w:hint="eastAsia"/>
        </w:rPr>
        <w:t>中国证监会及其派出机构不得公开涉及国家秘密、商业秘密、个人隐私的监管信息。但是，经权利人同意或者依照法律、行政法规和中国证监会有关规定应当披露或者中国证监会认为不公开可能对公共利益造成重大影响的涉及商业秘密、个人隐私的监管信息，可以予以公开。</w:t>
      </w:r>
    </w:p>
    <w:p w:rsidR="00052D71" w:rsidRDefault="00052D71" w:rsidP="00052D71">
      <w:pPr>
        <w:pStyle w:val="01"/>
        <w:snapToGrid w:val="0"/>
        <w:rPr>
          <w:rFonts w:hint="eastAsia"/>
        </w:rPr>
      </w:pPr>
      <w:r>
        <w:rPr>
          <w:rFonts w:hint="eastAsia"/>
        </w:rPr>
        <w:t>第十一条 中国证监会及其派出机构应当将主动公开的监管信息，通过中国证监会网站、中国证监会公告、新闻发布会以及报刊、广播、电视等其他便于公众知晓的方式公开。</w:t>
      </w:r>
    </w:p>
    <w:p w:rsidR="00052D71" w:rsidRDefault="00052D71" w:rsidP="00052D71">
      <w:pPr>
        <w:pStyle w:val="01"/>
        <w:snapToGrid w:val="0"/>
        <w:rPr>
          <w:rFonts w:hint="eastAsia"/>
        </w:rPr>
      </w:pPr>
      <w:r>
        <w:rPr>
          <w:rFonts w:hint="eastAsia"/>
        </w:rPr>
        <w:t>中国证监会按照国家相关规定向国家档案馆、公共图书馆提供主动公开的监管信息。</w:t>
      </w:r>
    </w:p>
    <w:p w:rsidR="00052D71" w:rsidRDefault="00052D71" w:rsidP="00052D71">
      <w:pPr>
        <w:pStyle w:val="01"/>
        <w:snapToGrid w:val="0"/>
        <w:rPr>
          <w:rFonts w:hint="eastAsia"/>
        </w:rPr>
      </w:pPr>
      <w:r>
        <w:rPr>
          <w:rFonts w:hint="eastAsia"/>
        </w:rPr>
        <w:t>第十二条 除本办法第六条规定的主动公开的监管信息外，公民、法人和其他组织可以根据自身生产、生活、科研等特殊需要，向中国证监会办公厅和派出机构指定的具体机构申请获取相关监管信息。</w:t>
      </w:r>
    </w:p>
    <w:p w:rsidR="00052D71" w:rsidRDefault="00052D71" w:rsidP="00052D71">
      <w:pPr>
        <w:pStyle w:val="01"/>
        <w:snapToGrid w:val="0"/>
        <w:rPr>
          <w:rFonts w:hint="eastAsia"/>
        </w:rPr>
      </w:pPr>
      <w:r>
        <w:rPr>
          <w:rFonts w:hint="eastAsia"/>
        </w:rPr>
        <w:t>公民、法人和其他组织申请获取相关监管信息满足下列条件的，中国证监会及其派出机构应当提供：</w:t>
      </w:r>
    </w:p>
    <w:p w:rsidR="00052D71" w:rsidRDefault="00052D71" w:rsidP="00052D71">
      <w:pPr>
        <w:pStyle w:val="01"/>
        <w:snapToGrid w:val="0"/>
        <w:rPr>
          <w:rFonts w:hint="eastAsia"/>
        </w:rPr>
      </w:pPr>
      <w:r>
        <w:rPr>
          <w:rFonts w:hint="eastAsia"/>
        </w:rPr>
        <w:t>（一）申请公开的监管信息与申请人利益直接相关；</w:t>
      </w:r>
    </w:p>
    <w:p w:rsidR="00052D71" w:rsidRDefault="00052D71" w:rsidP="00052D71">
      <w:pPr>
        <w:pStyle w:val="01"/>
        <w:snapToGrid w:val="0"/>
        <w:rPr>
          <w:rFonts w:hint="eastAsia"/>
        </w:rPr>
      </w:pPr>
      <w:r>
        <w:rPr>
          <w:rFonts w:hint="eastAsia"/>
        </w:rPr>
        <w:t>（二）依照法律、行政法规和中国证监会有关规定，申请公开的监管信息不属于应当同时向所有投资者公开披露的信息；</w:t>
      </w:r>
    </w:p>
    <w:p w:rsidR="00052D71" w:rsidRDefault="00052D71" w:rsidP="00052D71">
      <w:pPr>
        <w:pStyle w:val="01"/>
        <w:snapToGrid w:val="0"/>
        <w:rPr>
          <w:rFonts w:hint="eastAsia"/>
        </w:rPr>
      </w:pPr>
      <w:r>
        <w:rPr>
          <w:rFonts w:hint="eastAsia"/>
        </w:rPr>
        <w:t>（三）申请公开的监管信息不涉及国家秘密；</w:t>
      </w:r>
    </w:p>
    <w:p w:rsidR="00052D71" w:rsidRDefault="00052D71" w:rsidP="00052D71">
      <w:pPr>
        <w:pStyle w:val="01"/>
        <w:snapToGrid w:val="0"/>
        <w:rPr>
          <w:rFonts w:hint="eastAsia"/>
        </w:rPr>
      </w:pPr>
      <w:r>
        <w:rPr>
          <w:rFonts w:hint="eastAsia"/>
        </w:rPr>
        <w:t>（四）涉及商业秘密、个人隐私的，经书面征求第三方的意见，第三方同意公开。</w:t>
      </w:r>
    </w:p>
    <w:p w:rsidR="00052D71" w:rsidRDefault="00052D71" w:rsidP="00052D71">
      <w:pPr>
        <w:pStyle w:val="01"/>
        <w:snapToGrid w:val="0"/>
        <w:rPr>
          <w:rFonts w:hint="eastAsia"/>
        </w:rPr>
      </w:pPr>
      <w:r>
        <w:rPr>
          <w:rFonts w:hint="eastAsia"/>
        </w:rPr>
        <w:t>第十三条 公民、法人和其他组织提出与其生产、生活、科研等特殊需要无关的监管信息公开申请，中国证监会不予提供；公民、法人和其他组织提出的监管信息公开申请可能危及证券期货市场秩序、投资者合法权益、国家安全、公共安全、经济安全和社会稳定的，中国证监会不予答复。</w:t>
      </w:r>
    </w:p>
    <w:p w:rsidR="00052D71" w:rsidRDefault="00052D71" w:rsidP="00052D71">
      <w:pPr>
        <w:pStyle w:val="01"/>
        <w:snapToGrid w:val="0"/>
        <w:rPr>
          <w:rFonts w:hint="eastAsia"/>
        </w:rPr>
      </w:pPr>
      <w:r>
        <w:rPr>
          <w:rFonts w:hint="eastAsia"/>
        </w:rPr>
        <w:t>第十四条 公民、法人和其他组织申请获取的监管信息不属于中国证监会公开职责范围的，中国证监会不予答复；对于能够确定该监管信息的公开机关的，应当告知申请人。</w:t>
      </w:r>
    </w:p>
    <w:p w:rsidR="00052D71" w:rsidRDefault="00052D71" w:rsidP="00052D71">
      <w:pPr>
        <w:pStyle w:val="01"/>
        <w:snapToGrid w:val="0"/>
        <w:rPr>
          <w:rFonts w:hint="eastAsia"/>
        </w:rPr>
      </w:pPr>
      <w:r>
        <w:rPr>
          <w:rFonts w:hint="eastAsia"/>
        </w:rPr>
        <w:t>第十五条 监管信息公开申请受理机构收到信息公开申请，能够当场答复的，应当当场予以答复；不能当场答复的，应当予以登记，转交有关部门办理。</w:t>
      </w:r>
    </w:p>
    <w:p w:rsidR="00052D71" w:rsidRDefault="00052D71" w:rsidP="00052D71">
      <w:pPr>
        <w:pStyle w:val="01"/>
        <w:snapToGrid w:val="0"/>
        <w:rPr>
          <w:rFonts w:hint="eastAsia"/>
        </w:rPr>
      </w:pPr>
      <w:r>
        <w:rPr>
          <w:rFonts w:hint="eastAsia"/>
        </w:rPr>
        <w:t>不能当场答复的，中国证监会及其派出机构应当在收到申请之日起15个工作日内予以答复；不能在15个工作日内</w:t>
      </w:r>
      <w:proofErr w:type="gramStart"/>
      <w:r>
        <w:rPr>
          <w:rFonts w:hint="eastAsia"/>
        </w:rPr>
        <w:t>作出</w:t>
      </w:r>
      <w:proofErr w:type="gramEnd"/>
      <w:r>
        <w:rPr>
          <w:rFonts w:hint="eastAsia"/>
        </w:rPr>
        <w:t>答复的，经中国证监会办公厅负责人或者派出机构分管监管信息公开工作的负责人同意，可以适当延长答复期限，并书面告知申请人，延长答复的期限最长不得超过15个工作日。</w:t>
      </w:r>
    </w:p>
    <w:p w:rsidR="00052D71" w:rsidRDefault="00052D71" w:rsidP="00052D71">
      <w:pPr>
        <w:pStyle w:val="01"/>
        <w:snapToGrid w:val="0"/>
        <w:rPr>
          <w:rFonts w:hint="eastAsia"/>
        </w:rPr>
      </w:pPr>
      <w:r>
        <w:rPr>
          <w:rFonts w:hint="eastAsia"/>
        </w:rPr>
        <w:lastRenderedPageBreak/>
        <w:t>监管信息涉及第三方权益的，征求第三</w:t>
      </w:r>
      <w:proofErr w:type="gramStart"/>
      <w:r>
        <w:rPr>
          <w:rFonts w:hint="eastAsia"/>
        </w:rPr>
        <w:t>方意见</w:t>
      </w:r>
      <w:proofErr w:type="gramEnd"/>
      <w:r>
        <w:rPr>
          <w:rFonts w:hint="eastAsia"/>
        </w:rPr>
        <w:t>所需时间不计算在本条第二款规定的期限内。</w:t>
      </w:r>
    </w:p>
    <w:p w:rsidR="00052D71" w:rsidRDefault="00052D71" w:rsidP="00052D71">
      <w:pPr>
        <w:pStyle w:val="01"/>
        <w:snapToGrid w:val="0"/>
        <w:rPr>
          <w:rFonts w:hint="eastAsia"/>
        </w:rPr>
      </w:pPr>
      <w:r>
        <w:rPr>
          <w:rFonts w:hint="eastAsia"/>
        </w:rPr>
        <w:t>第十六条 中国证监会及其派出机构依申请提供监管信息的收费标准和收费程序按照国家有关规定执行。</w:t>
      </w:r>
    </w:p>
    <w:p w:rsidR="00052D71" w:rsidRDefault="00052D71" w:rsidP="00052D71">
      <w:pPr>
        <w:pStyle w:val="01"/>
        <w:snapToGrid w:val="0"/>
        <w:rPr>
          <w:rFonts w:hint="eastAsia"/>
        </w:rPr>
      </w:pPr>
      <w:r>
        <w:rPr>
          <w:rFonts w:hint="eastAsia"/>
        </w:rPr>
        <w:t>第十七条 中国证监会办公厅负责编写中国证监会监管信息公开工作年度报告，并在每年3月31日前公布。</w:t>
      </w:r>
    </w:p>
    <w:p w:rsidR="00052D71" w:rsidRDefault="00052D71" w:rsidP="00052D71">
      <w:pPr>
        <w:pStyle w:val="01"/>
        <w:snapToGrid w:val="0"/>
        <w:rPr>
          <w:rFonts w:hint="eastAsia"/>
        </w:rPr>
      </w:pPr>
      <w:r>
        <w:rPr>
          <w:rFonts w:hint="eastAsia"/>
        </w:rPr>
        <w:t>第十八条 中国证监会应当建立健全监管信息公开工作考核制度、社会评议制度和责任追究制度，定期对监管信息公开工作进行考核、评议。</w:t>
      </w:r>
    </w:p>
    <w:p w:rsidR="00052D71" w:rsidRDefault="00052D71" w:rsidP="00052D71">
      <w:pPr>
        <w:pStyle w:val="01"/>
        <w:snapToGrid w:val="0"/>
        <w:rPr>
          <w:rFonts w:hint="eastAsia"/>
        </w:rPr>
      </w:pPr>
      <w:r>
        <w:rPr>
          <w:rFonts w:hint="eastAsia"/>
        </w:rPr>
        <w:t>中国证监会监察局负责对中国证监会及其派出机构监管信息公开的实施情况进行监督检查。</w:t>
      </w:r>
    </w:p>
    <w:p w:rsidR="00052D71" w:rsidRDefault="00052D71" w:rsidP="00052D71">
      <w:pPr>
        <w:pStyle w:val="01"/>
        <w:snapToGrid w:val="0"/>
        <w:rPr>
          <w:rFonts w:hint="eastAsia"/>
        </w:rPr>
      </w:pPr>
      <w:r>
        <w:rPr>
          <w:rFonts w:hint="eastAsia"/>
        </w:rPr>
        <w:t>第十九条 中国证监会相关部门、派出机构违反本办法规定，有下列情形之一的，责令改正；情节严重的，对负有直接责任的主管人员和其他直接责任人员依法给予行政处分：</w:t>
      </w:r>
    </w:p>
    <w:p w:rsidR="00052D71" w:rsidRDefault="00052D71" w:rsidP="00052D71">
      <w:pPr>
        <w:pStyle w:val="01"/>
        <w:snapToGrid w:val="0"/>
        <w:rPr>
          <w:rFonts w:hint="eastAsia"/>
        </w:rPr>
      </w:pPr>
      <w:r>
        <w:rPr>
          <w:rFonts w:hint="eastAsia"/>
        </w:rPr>
        <w:t>（一）不依法履行监管信息公开义务；</w:t>
      </w:r>
    </w:p>
    <w:p w:rsidR="00052D71" w:rsidRDefault="00052D71" w:rsidP="00052D71">
      <w:pPr>
        <w:pStyle w:val="01"/>
        <w:snapToGrid w:val="0"/>
        <w:rPr>
          <w:rFonts w:hint="eastAsia"/>
        </w:rPr>
      </w:pPr>
      <w:r>
        <w:rPr>
          <w:rFonts w:hint="eastAsia"/>
        </w:rPr>
        <w:t>（二）不及时更新监管信息内容、监管信息公开指南和监管信息公开目录；</w:t>
      </w:r>
    </w:p>
    <w:p w:rsidR="00052D71" w:rsidRDefault="00052D71" w:rsidP="00052D71">
      <w:pPr>
        <w:pStyle w:val="01"/>
        <w:snapToGrid w:val="0"/>
        <w:rPr>
          <w:rFonts w:hint="eastAsia"/>
        </w:rPr>
      </w:pPr>
      <w:r>
        <w:rPr>
          <w:rFonts w:hint="eastAsia"/>
        </w:rPr>
        <w:t>（三）在公开监管信息过程中违反规定收取费用；</w:t>
      </w:r>
    </w:p>
    <w:p w:rsidR="00052D71" w:rsidRDefault="00052D71" w:rsidP="00052D71">
      <w:pPr>
        <w:pStyle w:val="01"/>
        <w:snapToGrid w:val="0"/>
        <w:rPr>
          <w:rFonts w:hint="eastAsia"/>
        </w:rPr>
      </w:pPr>
      <w:r>
        <w:rPr>
          <w:rFonts w:hint="eastAsia"/>
        </w:rPr>
        <w:t>（四）通过其他组织、个人以有偿服务方式提供监管信息；</w:t>
      </w:r>
    </w:p>
    <w:p w:rsidR="00052D71" w:rsidRDefault="00052D71" w:rsidP="00052D71">
      <w:pPr>
        <w:pStyle w:val="01"/>
        <w:snapToGrid w:val="0"/>
        <w:rPr>
          <w:rFonts w:hint="eastAsia"/>
        </w:rPr>
      </w:pPr>
      <w:r>
        <w:rPr>
          <w:rFonts w:hint="eastAsia"/>
        </w:rPr>
        <w:t>（五）公开不应当公开的监管信息；</w:t>
      </w:r>
    </w:p>
    <w:p w:rsidR="00052D71" w:rsidRDefault="00052D71" w:rsidP="00052D71">
      <w:pPr>
        <w:pStyle w:val="01"/>
        <w:snapToGrid w:val="0"/>
        <w:rPr>
          <w:rFonts w:hint="eastAsia"/>
        </w:rPr>
      </w:pPr>
      <w:r>
        <w:rPr>
          <w:rFonts w:hint="eastAsia"/>
        </w:rPr>
        <w:t>（六）违反《中华人民共和国政府信息公开条例》和本办法规定的其他行为。</w:t>
      </w:r>
    </w:p>
    <w:p w:rsidR="00052D71" w:rsidRDefault="00052D71" w:rsidP="00052D71">
      <w:pPr>
        <w:pStyle w:val="01"/>
        <w:snapToGrid w:val="0"/>
        <w:rPr>
          <w:rFonts w:hint="eastAsia"/>
        </w:rPr>
      </w:pPr>
      <w:r>
        <w:rPr>
          <w:rFonts w:hint="eastAsia"/>
        </w:rPr>
        <w:t>第二十条 本办法自2008年5月1日起施行。</w:t>
      </w:r>
    </w:p>
    <w:p w:rsidR="00052D71" w:rsidRDefault="00052D71" w:rsidP="00052D71">
      <w:pPr>
        <w:pStyle w:val="01"/>
        <w:snapToGrid w:val="0"/>
        <w:ind w:firstLine="480"/>
        <w:rPr>
          <w:rFonts w:hint="eastAsia"/>
        </w:rPr>
      </w:pPr>
    </w:p>
    <w:p w:rsidR="007C2CB2" w:rsidRPr="00052D71" w:rsidRDefault="007C2CB2" w:rsidP="00E86E16">
      <w:pPr>
        <w:ind w:firstLine="480"/>
      </w:pPr>
    </w:p>
    <w:sectPr w:rsidR="007C2CB2" w:rsidRPr="00052D71"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A79"/>
    <w:rsid w:val="00052D71"/>
    <w:rsid w:val="001A5FF1"/>
    <w:rsid w:val="00336292"/>
    <w:rsid w:val="004E362B"/>
    <w:rsid w:val="005C7A79"/>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32154"/>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D71"/>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052D71"/>
    <w:rPr>
      <w:b/>
      <w:bCs/>
    </w:rPr>
  </w:style>
  <w:style w:type="paragraph" w:customStyle="1" w:styleId="01">
    <w:name w:val="01"/>
    <w:basedOn w:val="a"/>
    <w:rsid w:val="00052D71"/>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705010568">
      <w:bodyDiv w:val="1"/>
      <w:marLeft w:val="0"/>
      <w:marRight w:val="0"/>
      <w:marTop w:val="0"/>
      <w:marBottom w:val="0"/>
      <w:divBdr>
        <w:top w:val="none" w:sz="0" w:space="0" w:color="auto"/>
        <w:left w:val="none" w:sz="0" w:space="0" w:color="auto"/>
        <w:bottom w:val="none" w:sz="0" w:space="0" w:color="auto"/>
        <w:right w:val="none" w:sz="0" w:space="0" w:color="auto"/>
      </w:divBdr>
      <w:divsChild>
        <w:div w:id="1857650386">
          <w:marLeft w:val="0"/>
          <w:marRight w:val="0"/>
          <w:marTop w:val="0"/>
          <w:marBottom w:val="0"/>
          <w:divBdr>
            <w:top w:val="none" w:sz="0" w:space="0" w:color="auto"/>
            <w:left w:val="none" w:sz="0" w:space="0" w:color="auto"/>
            <w:bottom w:val="none" w:sz="0" w:space="0" w:color="auto"/>
            <w:right w:val="none" w:sz="0" w:space="0" w:color="auto"/>
          </w:divBdr>
          <w:divsChild>
            <w:div w:id="1608654456">
              <w:marLeft w:val="0"/>
              <w:marRight w:val="0"/>
              <w:marTop w:val="0"/>
              <w:marBottom w:val="0"/>
              <w:divBdr>
                <w:top w:val="none" w:sz="0" w:space="0" w:color="auto"/>
                <w:left w:val="none" w:sz="0" w:space="0" w:color="auto"/>
                <w:bottom w:val="none" w:sz="0" w:space="0" w:color="auto"/>
                <w:right w:val="none" w:sz="0" w:space="0" w:color="auto"/>
              </w:divBdr>
              <w:divsChild>
                <w:div w:id="2076736887">
                  <w:marLeft w:val="0"/>
                  <w:marRight w:val="0"/>
                  <w:marTop w:val="0"/>
                  <w:marBottom w:val="0"/>
                  <w:divBdr>
                    <w:top w:val="none" w:sz="0" w:space="0" w:color="auto"/>
                    <w:left w:val="none" w:sz="0" w:space="0" w:color="auto"/>
                    <w:bottom w:val="none" w:sz="0" w:space="0" w:color="auto"/>
                    <w:right w:val="none" w:sz="0" w:space="0" w:color="auto"/>
                  </w:divBdr>
                  <w:divsChild>
                    <w:div w:id="365914335">
                      <w:marLeft w:val="0"/>
                      <w:marRight w:val="0"/>
                      <w:marTop w:val="0"/>
                      <w:marBottom w:val="0"/>
                      <w:divBdr>
                        <w:top w:val="none" w:sz="0" w:space="0" w:color="auto"/>
                        <w:left w:val="none" w:sz="0" w:space="0" w:color="auto"/>
                        <w:bottom w:val="none" w:sz="0" w:space="0" w:color="auto"/>
                        <w:right w:val="none" w:sz="0" w:space="0" w:color="auto"/>
                      </w:divBdr>
                    </w:div>
                    <w:div w:id="1064377406">
                      <w:marLeft w:val="0"/>
                      <w:marRight w:val="0"/>
                      <w:marTop w:val="0"/>
                      <w:marBottom w:val="0"/>
                      <w:divBdr>
                        <w:top w:val="none" w:sz="0" w:space="0" w:color="auto"/>
                        <w:left w:val="none" w:sz="0" w:space="0" w:color="auto"/>
                        <w:bottom w:val="none" w:sz="0" w:space="0" w:color="auto"/>
                        <w:right w:val="none" w:sz="0" w:space="0" w:color="auto"/>
                      </w:divBdr>
                      <w:divsChild>
                        <w:div w:id="885795748">
                          <w:marLeft w:val="0"/>
                          <w:marRight w:val="0"/>
                          <w:marTop w:val="0"/>
                          <w:marBottom w:val="0"/>
                          <w:divBdr>
                            <w:top w:val="none" w:sz="0" w:space="0" w:color="auto"/>
                            <w:left w:val="none" w:sz="0" w:space="0" w:color="auto"/>
                            <w:bottom w:val="none" w:sz="0" w:space="0" w:color="auto"/>
                            <w:right w:val="none" w:sz="0" w:space="0" w:color="auto"/>
                          </w:divBdr>
                          <w:divsChild>
                            <w:div w:id="1213735713">
                              <w:marLeft w:val="0"/>
                              <w:marRight w:val="0"/>
                              <w:marTop w:val="0"/>
                              <w:marBottom w:val="0"/>
                              <w:divBdr>
                                <w:top w:val="none" w:sz="0" w:space="0" w:color="auto"/>
                                <w:left w:val="none" w:sz="0" w:space="0" w:color="auto"/>
                                <w:bottom w:val="none" w:sz="0" w:space="0" w:color="auto"/>
                                <w:right w:val="none" w:sz="0" w:space="0" w:color="auto"/>
                              </w:divBdr>
                              <w:divsChild>
                                <w:div w:id="172205215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2014-01-15T06:42:00Z</dcterms:created>
  <dcterms:modified xsi:type="dcterms:W3CDTF">2014-01-15T06:42:00Z</dcterms:modified>
</cp:coreProperties>
</file>